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val="0"/>
        <w:widowControl w:val="0"/>
        <w:tabs>
          <w:tab w:val="left" w:pos="0"/>
        </w:tabs>
        <w:kinsoku/>
        <w:wordWrap w:val="0"/>
        <w:overflowPunct/>
        <w:topLinePunct w:val="0"/>
        <w:autoSpaceDE w:val="0"/>
        <w:autoSpaceDN w:val="0"/>
        <w:bidi w:val="0"/>
        <w:adjustRightInd w:val="0"/>
        <w:snapToGrid/>
        <w:spacing w:before="0" w:after="0" w:line="312" w:lineRule="auto"/>
        <w:jc w:val="center"/>
        <w:textAlignment w:val="auto"/>
        <w:rPr>
          <w:rFonts w:hint="eastAsia" w:asciiTheme="minorEastAsia" w:hAnsiTheme="minorEastAsia" w:eastAsiaTheme="minorEastAsia" w:cstheme="minorEastAsia"/>
          <w:color w:val="auto"/>
          <w:sz w:val="32"/>
          <w:szCs w:val="32"/>
          <w:highlight w:val="none"/>
          <w:u w:val="single"/>
          <w:lang w:eastAsia="zh-CN"/>
        </w:rPr>
      </w:pPr>
      <w:bookmarkStart w:id="0" w:name="_Toc35393809"/>
      <w:bookmarkStart w:id="1" w:name="_Toc28359022"/>
      <w:r>
        <w:rPr>
          <w:rFonts w:hint="eastAsia" w:asciiTheme="minorEastAsia" w:hAnsiTheme="minorEastAsia" w:eastAsiaTheme="minorEastAsia" w:cstheme="minorEastAsia"/>
          <w:sz w:val="32"/>
          <w:szCs w:val="32"/>
        </w:rPr>
        <w:t>华夏城投项目管理有限公司</w:t>
      </w:r>
      <w:r>
        <w:rPr>
          <w:rFonts w:hint="eastAsia" w:asciiTheme="minorEastAsia" w:hAnsiTheme="minorEastAsia" w:eastAsiaTheme="minorEastAsia" w:cstheme="minorEastAsia"/>
          <w:sz w:val="32"/>
          <w:szCs w:val="32"/>
          <w:lang w:eastAsia="zh-CN"/>
        </w:rPr>
        <w:t>关于</w:t>
      </w:r>
      <w:r>
        <w:rPr>
          <w:rFonts w:hint="eastAsia" w:asciiTheme="minorEastAsia" w:hAnsiTheme="minorEastAsia" w:eastAsiaTheme="minorEastAsia" w:cstheme="minorEastAsia"/>
          <w:color w:val="auto"/>
          <w:sz w:val="32"/>
          <w:szCs w:val="32"/>
          <w:highlight w:val="none"/>
          <w:u w:val="single"/>
          <w:lang w:eastAsia="zh-CN"/>
        </w:rPr>
        <w:t>2022年广西商业人才需求调研报告、教师教学能力大赛作品制作包装制作服务采购</w:t>
      </w:r>
    </w:p>
    <w:p>
      <w:pPr>
        <w:pStyle w:val="4"/>
        <w:keepNext/>
        <w:keepLines/>
        <w:pageBreakBefore w:val="0"/>
        <w:widowControl w:val="0"/>
        <w:tabs>
          <w:tab w:val="left" w:pos="0"/>
        </w:tabs>
        <w:kinsoku/>
        <w:wordWrap w:val="0"/>
        <w:overflowPunct/>
        <w:topLinePunct w:val="0"/>
        <w:autoSpaceDE w:val="0"/>
        <w:autoSpaceDN w:val="0"/>
        <w:bidi w:val="0"/>
        <w:adjustRightInd w:val="0"/>
        <w:snapToGrid/>
        <w:spacing w:before="0" w:after="0" w:line="312" w:lineRule="auto"/>
        <w:jc w:val="center"/>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lang w:val="en-US" w:eastAsia="zh-CN"/>
        </w:rPr>
        <w:t>项目编号：</w:t>
      </w:r>
      <w:r>
        <w:rPr>
          <w:rFonts w:hint="eastAsia" w:asciiTheme="minorEastAsia" w:hAnsiTheme="minorEastAsia" w:eastAsiaTheme="minorEastAsia" w:cstheme="minorEastAsia"/>
          <w:color w:val="auto"/>
          <w:sz w:val="32"/>
          <w:szCs w:val="16"/>
          <w:highlight w:val="none"/>
          <w:shd w:val="clear" w:color="auto" w:fill="FFFFFF"/>
          <w:lang w:eastAsia="zh-CN"/>
        </w:rPr>
        <w:t xml:space="preserve">HXCTGX-CFZB-2022-007 </w:t>
      </w:r>
      <w:r>
        <w:rPr>
          <w:rFonts w:hint="eastAsia" w:asciiTheme="minorEastAsia" w:hAnsiTheme="minorEastAsia" w:eastAsiaTheme="minorEastAsia" w:cstheme="minorEastAsia"/>
          <w:sz w:val="32"/>
          <w:szCs w:val="32"/>
          <w:lang w:eastAsia="zh-CN"/>
        </w:rPr>
        <w:t>）</w:t>
      </w:r>
      <w:r>
        <w:rPr>
          <w:rFonts w:hint="eastAsia" w:asciiTheme="minorEastAsia" w:hAnsiTheme="minorEastAsia" w:eastAsiaTheme="minorEastAsia" w:cstheme="minorEastAsia"/>
          <w:sz w:val="32"/>
          <w:szCs w:val="32"/>
        </w:rPr>
        <w:t>成交结果公告</w:t>
      </w:r>
      <w:bookmarkEnd w:id="0"/>
      <w:bookmarkEnd w:id="1"/>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32"/>
          <w:szCs w:val="32"/>
        </w:rPr>
      </w:pPr>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24"/>
          <w:szCs w:val="24"/>
          <w:lang w:eastAsia="zh-CN"/>
        </w:rPr>
      </w:pPr>
      <w:r>
        <w:rPr>
          <w:rFonts w:hint="eastAsia" w:ascii="宋体" w:hAnsi="宋体" w:eastAsia="宋体" w:cs="宋体"/>
          <w:sz w:val="24"/>
          <w:szCs w:val="24"/>
        </w:rPr>
        <w:t>一、项目编号：</w:t>
      </w:r>
      <w:r>
        <w:rPr>
          <w:rFonts w:hint="eastAsia" w:ascii="宋体" w:hAnsi="宋体" w:cs="宋体"/>
          <w:color w:val="auto"/>
          <w:sz w:val="24"/>
          <w:szCs w:val="24"/>
          <w:highlight w:val="none"/>
          <w:shd w:val="clear" w:color="auto" w:fill="FFFFFF"/>
          <w:lang w:eastAsia="zh-CN"/>
        </w:rPr>
        <w:t xml:space="preserve">HXCTGX-CFZB-2022-007 </w:t>
      </w:r>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24"/>
          <w:szCs w:val="24"/>
          <w:u w:val="single"/>
          <w:lang w:eastAsia="zh-CN"/>
        </w:rPr>
      </w:pPr>
      <w:r>
        <w:rPr>
          <w:rFonts w:hint="eastAsia" w:ascii="宋体" w:hAnsi="宋体" w:eastAsia="宋体" w:cs="宋体"/>
          <w:sz w:val="24"/>
          <w:szCs w:val="24"/>
        </w:rPr>
        <w:t>二、项目名称：</w:t>
      </w:r>
      <w:r>
        <w:rPr>
          <w:rFonts w:hint="eastAsia" w:ascii="宋体" w:hAnsi="宋体" w:cs="宋体"/>
          <w:color w:val="auto"/>
          <w:sz w:val="24"/>
          <w:szCs w:val="24"/>
          <w:highlight w:val="none"/>
          <w:u w:val="none"/>
          <w:lang w:eastAsia="zh-CN"/>
        </w:rPr>
        <w:t>2022年广西商业人才需求调研报告、教师教学能力大赛作品制作包装制作服务采购</w:t>
      </w:r>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三、成交信息</w:t>
      </w:r>
    </w:p>
    <w:tbl>
      <w:tblPr>
        <w:tblStyle w:val="15"/>
        <w:tblW w:w="9727" w:type="dxa"/>
        <w:tblInd w:w="-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8"/>
        <w:gridCol w:w="1898"/>
        <w:gridCol w:w="2790"/>
        <w:gridCol w:w="4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838"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宋体"/>
                <w:bCs/>
                <w:color w:val="000000"/>
                <w:spacing w:val="6"/>
                <w:sz w:val="24"/>
                <w:szCs w:val="24"/>
              </w:rPr>
              <w:t>序号</w:t>
            </w:r>
          </w:p>
        </w:tc>
        <w:tc>
          <w:tcPr>
            <w:tcW w:w="1898"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宋体"/>
                <w:bCs/>
                <w:color w:val="000000"/>
                <w:spacing w:val="6"/>
                <w:sz w:val="24"/>
                <w:szCs w:val="24"/>
                <w:lang w:val="en-US" w:eastAsia="zh-CN"/>
              </w:rPr>
              <w:t>成交金额(元)</w:t>
            </w:r>
          </w:p>
        </w:tc>
        <w:tc>
          <w:tcPr>
            <w:tcW w:w="2790"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宋体"/>
                <w:bCs/>
                <w:color w:val="000000"/>
                <w:spacing w:val="6"/>
                <w:sz w:val="24"/>
                <w:szCs w:val="24"/>
                <w:lang w:val="en-US" w:eastAsia="zh-CN"/>
              </w:rPr>
              <w:t>成交供应商名称</w:t>
            </w:r>
          </w:p>
        </w:tc>
        <w:tc>
          <w:tcPr>
            <w:tcW w:w="4201"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kern w:val="2"/>
                <w:sz w:val="24"/>
                <w:szCs w:val="24"/>
                <w:lang w:val="en-US" w:eastAsia="zh-CN" w:bidi="ar-SA"/>
              </w:rPr>
            </w:pPr>
            <w:r>
              <w:rPr>
                <w:rFonts w:hint="eastAsia" w:ascii="宋体" w:hAnsi="宋体" w:eastAsia="宋体" w:cs="宋体"/>
                <w:bCs/>
                <w:color w:val="000000"/>
                <w:spacing w:val="6"/>
                <w:sz w:val="24"/>
                <w:szCs w:val="24"/>
                <w:lang w:val="en-US" w:eastAsia="zh-CN"/>
              </w:rPr>
              <w:t>成交供应商</w:t>
            </w:r>
            <w:r>
              <w:rPr>
                <w:rFonts w:hint="eastAsia" w:ascii="宋体" w:hAnsi="宋体" w:eastAsia="宋体" w:cs="宋体"/>
                <w:bCs/>
                <w:color w:val="000000"/>
                <w:spacing w:val="6"/>
                <w:sz w:val="24"/>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8"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宋体"/>
                <w:bCs/>
                <w:color w:val="000000"/>
                <w:spacing w:val="6"/>
                <w:sz w:val="24"/>
                <w:szCs w:val="24"/>
                <w:lang w:val="en-US" w:eastAsia="zh-CN"/>
              </w:rPr>
              <w:t>A</w:t>
            </w:r>
          </w:p>
        </w:tc>
        <w:tc>
          <w:tcPr>
            <w:tcW w:w="1898"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Times New Roman"/>
                <w:color w:val="auto"/>
                <w:sz w:val="24"/>
                <w:szCs w:val="24"/>
                <w:lang w:val="en-US" w:eastAsia="zh-CN"/>
              </w:rPr>
              <w:t>99000.00</w:t>
            </w:r>
          </w:p>
        </w:tc>
        <w:tc>
          <w:tcPr>
            <w:tcW w:w="2790"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宋体"/>
                <w:bCs/>
                <w:color w:val="000000"/>
                <w:spacing w:val="6"/>
                <w:sz w:val="24"/>
                <w:szCs w:val="24"/>
                <w:lang w:val="en-US" w:eastAsia="zh-CN"/>
              </w:rPr>
              <w:t>广西穆学教育科技有限公司</w:t>
            </w:r>
          </w:p>
        </w:tc>
        <w:tc>
          <w:tcPr>
            <w:tcW w:w="4201"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kern w:val="2"/>
                <w:sz w:val="24"/>
                <w:szCs w:val="24"/>
                <w:lang w:val="en-US" w:eastAsia="zh-CN" w:bidi="ar-SA"/>
              </w:rPr>
            </w:pPr>
            <w:r>
              <w:rPr>
                <w:rFonts w:hint="eastAsia" w:ascii="宋体" w:hAnsi="宋体" w:eastAsia="宋体" w:cs="宋体"/>
                <w:bCs/>
                <w:color w:val="000000"/>
                <w:spacing w:val="6"/>
                <w:kern w:val="2"/>
                <w:sz w:val="24"/>
                <w:szCs w:val="24"/>
                <w:lang w:val="en-US" w:eastAsia="zh-CN" w:bidi="ar-SA"/>
              </w:rPr>
              <w:t>南宁市创新路23号11号楼302A号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838"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宋体"/>
                <w:bCs/>
                <w:color w:val="000000"/>
                <w:spacing w:val="6"/>
                <w:sz w:val="24"/>
                <w:szCs w:val="24"/>
                <w:lang w:val="en-US" w:eastAsia="zh-CN"/>
              </w:rPr>
              <w:t>B</w:t>
            </w:r>
          </w:p>
        </w:tc>
        <w:tc>
          <w:tcPr>
            <w:tcW w:w="1898"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sz w:val="24"/>
                <w:szCs w:val="24"/>
                <w:lang w:val="en-US" w:eastAsia="zh-CN"/>
              </w:rPr>
            </w:pPr>
            <w:r>
              <w:rPr>
                <w:rFonts w:hint="eastAsia" w:ascii="宋体" w:hAnsi="宋体"/>
                <w:color w:val="auto"/>
                <w:sz w:val="24"/>
                <w:szCs w:val="24"/>
                <w:highlight w:val="none"/>
              </w:rPr>
              <w:t xml:space="preserve">686000.00 </w:t>
            </w:r>
          </w:p>
        </w:tc>
        <w:tc>
          <w:tcPr>
            <w:tcW w:w="2790"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宋体"/>
                <w:bCs/>
                <w:color w:val="000000"/>
                <w:spacing w:val="6"/>
                <w:sz w:val="24"/>
                <w:szCs w:val="24"/>
                <w:lang w:val="en-US" w:eastAsia="zh-CN"/>
              </w:rPr>
              <w:t>广西穆学教育科技有限公司</w:t>
            </w:r>
          </w:p>
        </w:tc>
        <w:tc>
          <w:tcPr>
            <w:tcW w:w="4201" w:type="dxa"/>
            <w:noWrap w:val="0"/>
            <w:vAlign w:val="center"/>
          </w:tcPr>
          <w:p>
            <w:pPr>
              <w:keepNext w:val="0"/>
              <w:keepLines w:val="0"/>
              <w:pageBreakBefore w:val="0"/>
              <w:widowControl w:val="0"/>
              <w:kinsoku/>
              <w:wordWrap/>
              <w:overflowPunct/>
              <w:topLinePunct w:val="0"/>
              <w:autoSpaceDE/>
              <w:autoSpaceDN/>
              <w:bidi w:val="0"/>
              <w:adjustRightInd/>
              <w:snapToGrid w:val="0"/>
              <w:spacing w:line="312" w:lineRule="auto"/>
              <w:ind w:firstLine="0" w:firstLineChars="0"/>
              <w:jc w:val="center"/>
              <w:textAlignment w:val="auto"/>
              <w:rPr>
                <w:rFonts w:hint="eastAsia" w:ascii="宋体" w:hAnsi="宋体" w:eastAsia="宋体" w:cs="宋体"/>
                <w:bCs/>
                <w:color w:val="000000"/>
                <w:spacing w:val="6"/>
                <w:kern w:val="2"/>
                <w:sz w:val="24"/>
                <w:szCs w:val="24"/>
                <w:lang w:val="en-US" w:eastAsia="zh-CN" w:bidi="ar-SA"/>
              </w:rPr>
            </w:pPr>
            <w:r>
              <w:rPr>
                <w:rFonts w:hint="eastAsia" w:ascii="宋体" w:hAnsi="宋体" w:eastAsia="宋体" w:cs="宋体"/>
                <w:bCs/>
                <w:color w:val="000000"/>
                <w:spacing w:val="6"/>
                <w:kern w:val="2"/>
                <w:sz w:val="24"/>
                <w:szCs w:val="24"/>
                <w:lang w:val="en-US" w:eastAsia="zh-CN" w:bidi="ar-SA"/>
              </w:rPr>
              <w:t>南宁市创新路23号11号楼302A号</w:t>
            </w:r>
          </w:p>
        </w:tc>
      </w:tr>
    </w:tbl>
    <w:p>
      <w:pPr>
        <w:pStyle w:val="7"/>
        <w:pageBreakBefore w:val="0"/>
        <w:widowControl w:val="0"/>
        <w:kinsoku/>
        <w:overflowPunct/>
        <w:topLinePunct w:val="0"/>
        <w:bidi w:val="0"/>
        <w:spacing w:line="312" w:lineRule="auto"/>
        <w:textAlignment w:val="auto"/>
        <w:rPr>
          <w:rFonts w:hint="eastAsia" w:ascii="宋体" w:hAnsi="宋体" w:eastAsia="宋体" w:cs="宋体"/>
          <w:sz w:val="24"/>
          <w:szCs w:val="24"/>
        </w:rPr>
      </w:pPr>
    </w:p>
    <w:p>
      <w:pPr>
        <w:pageBreakBefore w:val="0"/>
        <w:widowControl w:val="0"/>
        <w:numPr>
          <w:ilvl w:val="0"/>
          <w:numId w:val="1"/>
        </w:numPr>
        <w:kinsoku/>
        <w:wordWrap/>
        <w:overflowPunct/>
        <w:topLinePunct w:val="0"/>
        <w:autoSpaceDE/>
        <w:autoSpaceDN/>
        <w:bidi w:val="0"/>
        <w:adjustRightInd/>
        <w:snapToGrid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主要标的信息</w:t>
      </w:r>
    </w:p>
    <w:tbl>
      <w:tblPr>
        <w:tblStyle w:val="15"/>
        <w:tblW w:w="97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1520"/>
        <w:gridCol w:w="2110"/>
        <w:gridCol w:w="2336"/>
        <w:gridCol w:w="2197"/>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7" w:hRule="atLeast"/>
        </w:trPr>
        <w:tc>
          <w:tcPr>
            <w:tcW w:w="539" w:type="dxa"/>
            <w:vAlign w:val="center"/>
          </w:tcPr>
          <w:p>
            <w:pPr>
              <w:pStyle w:val="2"/>
              <w:pageBreakBefore w:val="0"/>
              <w:widowControl w:val="0"/>
              <w:kinsoku/>
              <w:overflowPunct/>
              <w:topLinePunct w:val="0"/>
              <w:bidi w:val="0"/>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序号</w:t>
            </w:r>
          </w:p>
        </w:tc>
        <w:tc>
          <w:tcPr>
            <w:tcW w:w="1520" w:type="dxa"/>
            <w:vAlign w:val="center"/>
          </w:tcPr>
          <w:p>
            <w:pPr>
              <w:pStyle w:val="2"/>
              <w:pageBreakBefore w:val="0"/>
              <w:widowControl w:val="0"/>
              <w:kinsoku/>
              <w:overflowPunct/>
              <w:topLinePunct w:val="0"/>
              <w:bidi w:val="0"/>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标的名称</w:t>
            </w:r>
          </w:p>
        </w:tc>
        <w:tc>
          <w:tcPr>
            <w:tcW w:w="2110" w:type="dxa"/>
            <w:vAlign w:val="center"/>
          </w:tcPr>
          <w:p>
            <w:pPr>
              <w:pStyle w:val="2"/>
              <w:pageBreakBefore w:val="0"/>
              <w:widowControl w:val="0"/>
              <w:kinsoku/>
              <w:overflowPunct/>
              <w:topLinePunct w:val="0"/>
              <w:bidi w:val="0"/>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服务范围</w:t>
            </w:r>
          </w:p>
        </w:tc>
        <w:tc>
          <w:tcPr>
            <w:tcW w:w="2336" w:type="dxa"/>
            <w:vAlign w:val="center"/>
          </w:tcPr>
          <w:p>
            <w:pPr>
              <w:pStyle w:val="2"/>
              <w:pageBreakBefore w:val="0"/>
              <w:widowControl w:val="0"/>
              <w:kinsoku/>
              <w:overflowPunct/>
              <w:topLinePunct w:val="0"/>
              <w:bidi w:val="0"/>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服务要求</w:t>
            </w:r>
          </w:p>
        </w:tc>
        <w:tc>
          <w:tcPr>
            <w:tcW w:w="2197" w:type="dxa"/>
            <w:vAlign w:val="center"/>
          </w:tcPr>
          <w:p>
            <w:pPr>
              <w:pStyle w:val="2"/>
              <w:pageBreakBefore w:val="0"/>
              <w:widowControl w:val="0"/>
              <w:kinsoku/>
              <w:overflowPunct/>
              <w:topLinePunct w:val="0"/>
              <w:bidi w:val="0"/>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服务时间</w:t>
            </w:r>
          </w:p>
        </w:tc>
        <w:tc>
          <w:tcPr>
            <w:tcW w:w="1004" w:type="dxa"/>
            <w:vAlign w:val="center"/>
          </w:tcPr>
          <w:p>
            <w:pPr>
              <w:pStyle w:val="2"/>
              <w:pageBreakBefore w:val="0"/>
              <w:widowControl w:val="0"/>
              <w:kinsoku/>
              <w:overflowPunct/>
              <w:topLinePunct w:val="0"/>
              <w:bidi w:val="0"/>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服务标准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trPr>
        <w:tc>
          <w:tcPr>
            <w:tcW w:w="539"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bCs/>
                <w:color w:val="000000"/>
                <w:spacing w:val="6"/>
                <w:sz w:val="24"/>
                <w:szCs w:val="24"/>
                <w:lang w:val="en-US" w:eastAsia="zh-CN"/>
              </w:rPr>
              <w:t>A</w:t>
            </w:r>
          </w:p>
        </w:tc>
        <w:tc>
          <w:tcPr>
            <w:tcW w:w="1520"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bCs/>
                <w:color w:val="000000"/>
                <w:spacing w:val="6"/>
                <w:sz w:val="24"/>
                <w:szCs w:val="24"/>
                <w:lang w:val="en-US" w:eastAsia="zh-CN"/>
              </w:rPr>
            </w:pPr>
            <w:r>
              <w:rPr>
                <w:rFonts w:hint="eastAsia" w:ascii="宋体" w:hAnsi="宋体" w:cs="宋体"/>
                <w:color w:val="auto"/>
                <w:sz w:val="24"/>
                <w:szCs w:val="24"/>
                <w:highlight w:val="none"/>
                <w:u w:val="none"/>
                <w:lang w:eastAsia="zh-CN"/>
              </w:rPr>
              <w:t>2022年广西商业人才需求调研报告</w:t>
            </w:r>
          </w:p>
        </w:tc>
        <w:tc>
          <w:tcPr>
            <w:tcW w:w="21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宋体"/>
                <w:bCs/>
                <w:color w:val="000000"/>
                <w:spacing w:val="6"/>
                <w:sz w:val="24"/>
                <w:szCs w:val="24"/>
                <w:lang w:val="en-US" w:eastAsia="zh-CN"/>
              </w:rPr>
              <w:t>2022年广西商业人才需求调研报告，详见竞争性磋商文件。</w:t>
            </w:r>
          </w:p>
        </w:tc>
        <w:tc>
          <w:tcPr>
            <w:tcW w:w="2336" w:type="dxa"/>
            <w:vAlign w:val="center"/>
          </w:tcPr>
          <w:p>
            <w:pPr>
              <w:pStyle w:val="2"/>
              <w:pageBreakBefore w:val="0"/>
              <w:widowControl w:val="0"/>
              <w:kinsoku/>
              <w:overflowPunct/>
              <w:topLinePunct w:val="0"/>
              <w:bidi w:val="0"/>
              <w:spacing w:line="240" w:lineRule="auto"/>
              <w:ind w:left="0" w:leftChars="0" w:firstLine="0" w:firstLineChars="0"/>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bCs/>
                <w:color w:val="000000"/>
                <w:spacing w:val="6"/>
                <w:sz w:val="24"/>
                <w:szCs w:val="24"/>
                <w:lang w:val="en-US" w:eastAsia="zh-CN"/>
              </w:rPr>
              <w:t>2022年广西商业人才需求调研报告</w:t>
            </w:r>
            <w:r>
              <w:rPr>
                <w:rFonts w:hint="eastAsia" w:ascii="宋体" w:hAnsi="宋体" w:eastAsia="宋体" w:cs="宋体"/>
                <w:sz w:val="24"/>
                <w:szCs w:val="24"/>
                <w:vertAlign w:val="baseline"/>
                <w:lang w:val="en-US" w:eastAsia="zh-CN"/>
              </w:rPr>
              <w:t>，详见竞争性磋商文件。</w:t>
            </w:r>
          </w:p>
        </w:tc>
        <w:tc>
          <w:tcPr>
            <w:tcW w:w="2197" w:type="dxa"/>
            <w:vAlign w:val="center"/>
          </w:tcPr>
          <w:p>
            <w:pPr>
              <w:pStyle w:val="2"/>
              <w:pageBreakBefore w:val="0"/>
              <w:widowControl w:val="0"/>
              <w:kinsoku/>
              <w:overflowPunct/>
              <w:topLinePunct w:val="0"/>
              <w:bidi w:val="0"/>
              <w:spacing w:line="240" w:lineRule="auto"/>
              <w:ind w:left="0" w:leftChars="0" w:firstLine="0" w:firstLineChars="0"/>
              <w:jc w:val="left"/>
              <w:textAlignment w:val="auto"/>
              <w:rPr>
                <w:rFonts w:hint="eastAsia" w:ascii="宋体" w:hAnsi="宋体" w:eastAsia="宋体" w:cs="宋体"/>
                <w:sz w:val="24"/>
                <w:szCs w:val="24"/>
                <w:vertAlign w:val="baseline"/>
                <w:lang w:val="en-US" w:eastAsia="zh-CN"/>
              </w:rPr>
            </w:pPr>
            <w:r>
              <w:rPr>
                <w:rFonts w:hint="eastAsia" w:asciiTheme="minorEastAsia" w:hAnsiTheme="minorEastAsia"/>
                <w:color w:val="auto"/>
                <w:highlight w:val="none"/>
              </w:rPr>
              <w:t>自合同签订之日起100天内，交付成果，通过验收</w:t>
            </w:r>
            <w:r>
              <w:rPr>
                <w:rFonts w:hint="eastAsia"/>
                <w:color w:val="auto"/>
                <w:highlight w:val="none"/>
              </w:rPr>
              <w:t>。</w:t>
            </w:r>
          </w:p>
        </w:tc>
        <w:tc>
          <w:tcPr>
            <w:tcW w:w="1004" w:type="dxa"/>
            <w:vAlign w:val="center"/>
          </w:tcPr>
          <w:p>
            <w:pPr>
              <w:pStyle w:val="2"/>
              <w:pageBreakBefore w:val="0"/>
              <w:widowControl w:val="0"/>
              <w:kinsoku/>
              <w:overflowPunct/>
              <w:topLinePunct w:val="0"/>
              <w:bidi w:val="0"/>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满足采购文件要求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539"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bCs/>
                <w:color w:val="000000"/>
                <w:spacing w:val="6"/>
                <w:sz w:val="24"/>
                <w:szCs w:val="24"/>
                <w:lang w:val="en-US" w:eastAsia="zh-CN"/>
              </w:rPr>
              <w:t>B</w:t>
            </w:r>
          </w:p>
        </w:tc>
        <w:tc>
          <w:tcPr>
            <w:tcW w:w="1520" w:type="dxa"/>
            <w:vAlign w:val="center"/>
          </w:tcPr>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24"/>
                <w:szCs w:val="24"/>
                <w:u w:val="single"/>
                <w:lang w:eastAsia="zh-CN"/>
              </w:rPr>
            </w:pPr>
            <w:r>
              <w:rPr>
                <w:rFonts w:hint="eastAsia" w:ascii="宋体" w:hAnsi="宋体" w:cs="宋体"/>
                <w:color w:val="auto"/>
                <w:sz w:val="24"/>
                <w:szCs w:val="24"/>
                <w:highlight w:val="none"/>
                <w:u w:val="none"/>
                <w:lang w:eastAsia="zh-CN"/>
              </w:rPr>
              <w:t>教师教学能力大赛作品制作包装制作服务采购</w:t>
            </w:r>
          </w:p>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bCs/>
                <w:color w:val="000000"/>
                <w:spacing w:val="6"/>
                <w:sz w:val="24"/>
                <w:szCs w:val="24"/>
                <w:lang w:val="en-US" w:eastAsia="zh-CN"/>
              </w:rPr>
            </w:pPr>
          </w:p>
        </w:tc>
        <w:tc>
          <w:tcPr>
            <w:tcW w:w="2110" w:type="dxa"/>
            <w:vAlign w:val="center"/>
          </w:tcPr>
          <w:p>
            <w:pPr>
              <w:keepNext w:val="0"/>
              <w:keepLines w:val="0"/>
              <w:pageBreakBefore w:val="0"/>
              <w:widowControl w:val="0"/>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bCs/>
                <w:color w:val="000000"/>
                <w:spacing w:val="6"/>
                <w:sz w:val="24"/>
                <w:szCs w:val="24"/>
                <w:lang w:val="en-US" w:eastAsia="zh-CN"/>
              </w:rPr>
            </w:pPr>
            <w:r>
              <w:rPr>
                <w:rFonts w:hint="eastAsia" w:ascii="宋体" w:hAnsi="宋体" w:eastAsia="宋体" w:cs="宋体"/>
                <w:bCs/>
                <w:color w:val="000000"/>
                <w:spacing w:val="6"/>
                <w:sz w:val="24"/>
                <w:szCs w:val="24"/>
                <w:lang w:val="en-US" w:eastAsia="zh-CN"/>
              </w:rPr>
              <w:t>教师教学能力大赛作品制作包装制作服务采购，详见竞争性磋商文件。</w:t>
            </w:r>
          </w:p>
        </w:tc>
        <w:tc>
          <w:tcPr>
            <w:tcW w:w="2336" w:type="dxa"/>
            <w:vAlign w:val="center"/>
          </w:tcPr>
          <w:p>
            <w:pPr>
              <w:pStyle w:val="2"/>
              <w:pageBreakBefore w:val="0"/>
              <w:widowControl w:val="0"/>
              <w:kinsoku/>
              <w:overflowPunct/>
              <w:topLinePunct w:val="0"/>
              <w:bidi w:val="0"/>
              <w:spacing w:line="240" w:lineRule="auto"/>
              <w:ind w:left="0" w:leftChars="0" w:firstLine="0" w:firstLineChars="0"/>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区赛课堂教学作品包装制作服务、区赛混合式教学作品包装制作服务、区赛微课作品包装制作服务、国赛课堂教学作品包装制作服务，详见竞争性磋商文件。</w:t>
            </w:r>
          </w:p>
        </w:tc>
        <w:tc>
          <w:tcPr>
            <w:tcW w:w="2197" w:type="dxa"/>
            <w:vAlign w:val="center"/>
          </w:tcPr>
          <w:p>
            <w:pPr>
              <w:pStyle w:val="2"/>
              <w:pageBreakBefore w:val="0"/>
              <w:widowControl w:val="0"/>
              <w:kinsoku/>
              <w:overflowPunct/>
              <w:topLinePunct w:val="0"/>
              <w:bidi w:val="0"/>
              <w:spacing w:line="240" w:lineRule="auto"/>
              <w:ind w:left="0" w:leftChars="0" w:firstLine="0" w:firstLineChars="0"/>
              <w:jc w:val="left"/>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课程后期制作时间不超过7个工作日，以具体课程时长及双方协商确定。</w:t>
            </w:r>
          </w:p>
        </w:tc>
        <w:tc>
          <w:tcPr>
            <w:tcW w:w="1004" w:type="dxa"/>
            <w:vAlign w:val="center"/>
          </w:tcPr>
          <w:p>
            <w:pPr>
              <w:pStyle w:val="2"/>
              <w:pageBreakBefore w:val="0"/>
              <w:widowControl w:val="0"/>
              <w:kinsoku/>
              <w:overflowPunct/>
              <w:topLinePunct w:val="0"/>
              <w:bidi w:val="0"/>
              <w:spacing w:line="240" w:lineRule="auto"/>
              <w:ind w:left="0" w:leftChars="0" w:firstLine="0" w:firstLineChars="0"/>
              <w:jc w:val="center"/>
              <w:textAlignment w:val="auto"/>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满足采购文件要求</w:t>
            </w:r>
          </w:p>
        </w:tc>
      </w:tr>
    </w:tbl>
    <w:p>
      <w:pPr>
        <w:pStyle w:val="2"/>
        <w:pageBreakBefore w:val="0"/>
        <w:widowControl w:val="0"/>
        <w:numPr>
          <w:ilvl w:val="0"/>
          <w:numId w:val="0"/>
        </w:numPr>
        <w:kinsoku/>
        <w:overflowPunct/>
        <w:topLinePunct w:val="0"/>
        <w:bidi w:val="0"/>
        <w:spacing w:line="312" w:lineRule="auto"/>
        <w:textAlignment w:val="auto"/>
        <w:rPr>
          <w:rFonts w:hint="eastAsia" w:ascii="宋体" w:hAnsi="宋体" w:eastAsia="宋体" w:cs="宋体"/>
          <w:sz w:val="24"/>
          <w:szCs w:val="24"/>
        </w:rPr>
      </w:pPr>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24"/>
          <w:szCs w:val="24"/>
          <w:u w:val="none"/>
        </w:rPr>
      </w:pPr>
      <w:r>
        <w:rPr>
          <w:rFonts w:hint="eastAsia" w:ascii="宋体" w:hAnsi="宋体" w:eastAsia="宋体" w:cs="宋体"/>
          <w:sz w:val="24"/>
          <w:szCs w:val="24"/>
        </w:rPr>
        <w:t>五、评审专家名单：蔡日仙（组长）、王立军</w:t>
      </w:r>
      <w:r>
        <w:rPr>
          <w:rFonts w:hint="eastAsia" w:ascii="宋体" w:hAnsi="宋体" w:eastAsia="宋体" w:cs="宋体"/>
          <w:sz w:val="24"/>
          <w:szCs w:val="24"/>
          <w:lang w:eastAsia="zh-CN"/>
        </w:rPr>
        <w:t>、胡博巍</w:t>
      </w:r>
      <w:r>
        <w:rPr>
          <w:rFonts w:hint="eastAsia" w:ascii="宋体" w:hAnsi="宋体" w:cs="宋体"/>
          <w:sz w:val="24"/>
          <w:szCs w:val="24"/>
          <w:lang w:eastAsia="zh-CN"/>
        </w:rPr>
        <w:t>（业主评委）</w:t>
      </w:r>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六、代理服务收费标准及金额：</w:t>
      </w:r>
    </w:p>
    <w:p>
      <w:pPr>
        <w:pageBreakBefore w:val="0"/>
        <w:widowControl w:val="0"/>
        <w:kinsoku/>
        <w:wordWrap/>
        <w:overflowPunct/>
        <w:topLinePunct w:val="0"/>
        <w:autoSpaceDE/>
        <w:autoSpaceDN/>
        <w:bidi w:val="0"/>
        <w:adjustRightInd/>
        <w:snapToGrid w:val="0"/>
        <w:spacing w:line="312" w:lineRule="auto"/>
        <w:ind w:firstLine="480" w:firstLineChars="200"/>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代理服务收费标准：按国家发展计划委员会文件计价格（2002）1980号“国家计委关于印发《招标代理服务收费管理暂行办法》的通知”及发改价格[2011]534号文规定的收费标准，按差额定率累进法计取成交服务费。领取成交通知书前，成交供应商须向采购代理机构一次付清成交服务费。</w:t>
      </w:r>
    </w:p>
    <w:p>
      <w:pPr>
        <w:pageBreakBefore w:val="0"/>
        <w:widowControl w:val="0"/>
        <w:kinsoku/>
        <w:wordWrap/>
        <w:overflowPunct/>
        <w:topLinePunct w:val="0"/>
        <w:autoSpaceDE/>
        <w:autoSpaceDN/>
        <w:bidi w:val="0"/>
        <w:adjustRightInd/>
        <w:snapToGrid w:val="0"/>
        <w:spacing w:line="312" w:lineRule="auto"/>
        <w:ind w:firstLine="480" w:firstLineChars="200"/>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2.代理服务费金额：A分标</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人民币</w:t>
      </w:r>
      <w:r>
        <w:rPr>
          <w:rFonts w:hint="eastAsia" w:ascii="宋体" w:hAnsi="宋体" w:cs="宋体"/>
          <w:kern w:val="0"/>
          <w:sz w:val="24"/>
          <w:szCs w:val="24"/>
          <w:lang w:val="en-US" w:eastAsia="zh-CN"/>
        </w:rPr>
        <w:t>壹仟肆佰捌拾伍元整</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1485.00</w:t>
      </w:r>
      <w:r>
        <w:rPr>
          <w:rFonts w:hint="eastAsia" w:ascii="宋体" w:hAnsi="宋体" w:eastAsia="宋体" w:cs="宋体"/>
          <w:kern w:val="0"/>
          <w:sz w:val="24"/>
          <w:szCs w:val="24"/>
        </w:rPr>
        <w:t>）</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B分标：人民币</w:t>
      </w:r>
      <w:r>
        <w:rPr>
          <w:rFonts w:hint="eastAsia" w:ascii="宋体" w:hAnsi="宋体" w:cs="宋体"/>
          <w:kern w:val="0"/>
          <w:sz w:val="24"/>
          <w:szCs w:val="24"/>
          <w:lang w:val="en-US" w:eastAsia="zh-CN"/>
        </w:rPr>
        <w:t>壹万零贰佰玖拾元整</w:t>
      </w:r>
      <w:r>
        <w:rPr>
          <w:rFonts w:hint="eastAsia" w:ascii="宋体" w:hAnsi="宋体" w:eastAsia="宋体" w:cs="宋体"/>
          <w:kern w:val="0"/>
          <w:sz w:val="24"/>
          <w:szCs w:val="24"/>
          <w:lang w:val="en-US" w:eastAsia="zh-CN"/>
        </w:rPr>
        <w:t>（¥10290.00）</w:t>
      </w:r>
      <w:r>
        <w:rPr>
          <w:rFonts w:hint="eastAsia" w:ascii="宋体" w:hAnsi="宋体" w:cs="宋体"/>
          <w:kern w:val="0"/>
          <w:sz w:val="24"/>
          <w:szCs w:val="24"/>
          <w:lang w:val="en-US" w:eastAsia="zh-CN"/>
        </w:rPr>
        <w:t>。</w:t>
      </w:r>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七、公告期限</w:t>
      </w:r>
    </w:p>
    <w:p>
      <w:pPr>
        <w:pageBreakBefore w:val="0"/>
        <w:widowControl w:val="0"/>
        <w:kinsoku/>
        <w:wordWrap/>
        <w:overflowPunct/>
        <w:topLinePunct w:val="0"/>
        <w:autoSpaceDE/>
        <w:autoSpaceDN/>
        <w:bidi w:val="0"/>
        <w:adjustRightInd/>
        <w:snapToGrid w:val="0"/>
        <w:spacing w:line="312"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自本公告发布之日起</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个工作日。</w:t>
      </w:r>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24"/>
          <w:szCs w:val="24"/>
        </w:rPr>
      </w:pPr>
      <w:r>
        <w:rPr>
          <w:rFonts w:hint="eastAsia" w:ascii="宋体" w:hAnsi="宋体" w:eastAsia="宋体" w:cs="宋体"/>
          <w:sz w:val="24"/>
          <w:szCs w:val="24"/>
        </w:rPr>
        <w:t>八、其他补充事宜</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lang w:eastAsia="zh-CN"/>
        </w:rPr>
        <w:t>网上公告媒体查询:中国采购与招标网（http://www.chinabidding.com.cn/）、华夏城投项目管理有限公司官网（http://www.sxhx2001.com）</w:t>
      </w:r>
      <w:r>
        <w:rPr>
          <w:rFonts w:hint="eastAsia" w:ascii="宋体" w:hAnsi="宋体" w:eastAsia="宋体" w:cs="宋体"/>
          <w:kern w:val="0"/>
          <w:sz w:val="24"/>
          <w:szCs w:val="24"/>
          <w:lang w:val="en-US" w:eastAsia="zh-CN"/>
        </w:rPr>
        <w:t>上发布。</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kern w:val="0"/>
          <w:sz w:val="24"/>
          <w:szCs w:val="24"/>
          <w:lang w:val="en-US" w:eastAsia="zh-CN"/>
        </w:rPr>
        <w:t>2.供应商</w:t>
      </w:r>
      <w:r>
        <w:rPr>
          <w:rFonts w:hint="eastAsia" w:ascii="宋体" w:hAnsi="宋体" w:eastAsia="宋体" w:cs="宋体"/>
          <w:kern w:val="0"/>
          <w:sz w:val="24"/>
          <w:szCs w:val="24"/>
          <w:lang w:eastAsia="zh-CN"/>
        </w:rPr>
        <w:t>认为成交结果使自己的权益受到损害的，可以在成交公告期限届满之日起七个工作日内以书面形式</w:t>
      </w:r>
      <w:r>
        <w:rPr>
          <w:rFonts w:hint="eastAsia" w:ascii="宋体" w:hAnsi="宋体" w:eastAsia="宋体" w:cs="宋体"/>
          <w:i w:val="0"/>
          <w:caps w:val="0"/>
          <w:color w:val="000000"/>
          <w:spacing w:val="0"/>
          <w:sz w:val="24"/>
          <w:szCs w:val="24"/>
        </w:rPr>
        <w:t>向采购人广西国际商务职业技术学院或受托代理机构华夏城投项目管理有限公司提出质疑，逾期将不再受理。</w:t>
      </w:r>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kern w:val="0"/>
          <w:sz w:val="24"/>
          <w:szCs w:val="24"/>
        </w:rPr>
      </w:pPr>
      <w:r>
        <w:rPr>
          <w:rFonts w:hint="eastAsia" w:ascii="宋体" w:hAnsi="宋体" w:eastAsia="宋体" w:cs="宋体"/>
          <w:kern w:val="0"/>
          <w:sz w:val="24"/>
          <w:szCs w:val="24"/>
        </w:rPr>
        <w:t>九、凡对本次公告内容提出询问，请按以下方式联系。</w:t>
      </w:r>
    </w:p>
    <w:p>
      <w:pPr>
        <w:pStyle w:val="5"/>
        <w:pageBreakBefore w:val="0"/>
        <w:widowControl w:val="0"/>
        <w:kinsoku/>
        <w:wordWrap/>
        <w:overflowPunct/>
        <w:topLinePunct w:val="0"/>
        <w:autoSpaceDE/>
        <w:autoSpaceDN/>
        <w:bidi w:val="0"/>
        <w:adjustRightInd/>
        <w:snapToGrid w:val="0"/>
        <w:spacing w:before="0" w:after="0" w:line="312" w:lineRule="auto"/>
        <w:ind w:firstLine="720" w:firstLineChars="300"/>
        <w:textAlignment w:val="auto"/>
        <w:rPr>
          <w:rFonts w:hint="eastAsia" w:ascii="宋体" w:hAnsi="宋体" w:eastAsia="宋体" w:cs="宋体"/>
          <w:b w:val="0"/>
          <w:sz w:val="24"/>
          <w:szCs w:val="24"/>
        </w:rPr>
      </w:pPr>
      <w:bookmarkStart w:id="2" w:name="_Toc28359102"/>
      <w:bookmarkStart w:id="3" w:name="_Toc28359025"/>
      <w:bookmarkStart w:id="4" w:name="_Toc35393643"/>
      <w:bookmarkStart w:id="5" w:name="_Toc35393812"/>
      <w:r>
        <w:rPr>
          <w:rFonts w:hint="eastAsia" w:ascii="宋体" w:hAnsi="宋体" w:eastAsia="宋体" w:cs="宋体"/>
          <w:b w:val="0"/>
          <w:sz w:val="24"/>
          <w:szCs w:val="24"/>
        </w:rPr>
        <w:t>1、采购人信息</w:t>
      </w:r>
    </w:p>
    <w:p>
      <w:pPr>
        <w:pStyle w:val="5"/>
        <w:pageBreakBefore w:val="0"/>
        <w:widowControl w:val="0"/>
        <w:kinsoku/>
        <w:wordWrap/>
        <w:overflowPunct/>
        <w:topLinePunct w:val="0"/>
        <w:autoSpaceDE/>
        <w:autoSpaceDN/>
        <w:bidi w:val="0"/>
        <w:adjustRightInd/>
        <w:snapToGrid w:val="0"/>
        <w:spacing w:before="0" w:after="0" w:line="312" w:lineRule="auto"/>
        <w:ind w:firstLine="720" w:firstLineChars="300"/>
        <w:textAlignment w:val="auto"/>
        <w:rPr>
          <w:rFonts w:hint="eastAsia" w:ascii="宋体" w:hAnsi="宋体" w:eastAsia="宋体" w:cs="宋体"/>
          <w:b w:val="0"/>
          <w:sz w:val="24"/>
          <w:szCs w:val="24"/>
        </w:rPr>
      </w:pPr>
      <w:r>
        <w:rPr>
          <w:rFonts w:hint="eastAsia" w:ascii="宋体" w:hAnsi="宋体" w:eastAsia="宋体" w:cs="宋体"/>
          <w:b w:val="0"/>
          <w:sz w:val="24"/>
          <w:szCs w:val="24"/>
        </w:rPr>
        <w:t>名称：广西国际商务职业技术学院</w:t>
      </w:r>
    </w:p>
    <w:p>
      <w:pPr>
        <w:pStyle w:val="5"/>
        <w:pageBreakBefore w:val="0"/>
        <w:widowControl w:val="0"/>
        <w:kinsoku/>
        <w:wordWrap/>
        <w:overflowPunct/>
        <w:topLinePunct w:val="0"/>
        <w:autoSpaceDE/>
        <w:autoSpaceDN/>
        <w:bidi w:val="0"/>
        <w:adjustRightInd/>
        <w:snapToGrid w:val="0"/>
        <w:spacing w:before="0" w:after="0" w:line="312" w:lineRule="auto"/>
        <w:ind w:firstLine="720" w:firstLineChars="300"/>
        <w:textAlignment w:val="auto"/>
        <w:rPr>
          <w:rFonts w:hint="eastAsia" w:ascii="宋体" w:hAnsi="宋体" w:eastAsia="宋体" w:cs="宋体"/>
          <w:b w:val="0"/>
          <w:sz w:val="24"/>
          <w:szCs w:val="24"/>
        </w:rPr>
      </w:pPr>
      <w:r>
        <w:rPr>
          <w:rFonts w:hint="eastAsia" w:ascii="宋体" w:hAnsi="宋体" w:eastAsia="宋体" w:cs="宋体"/>
          <w:b w:val="0"/>
          <w:sz w:val="24"/>
          <w:szCs w:val="24"/>
        </w:rPr>
        <w:t>地址：广西南宁市大学东路168号</w:t>
      </w:r>
    </w:p>
    <w:p>
      <w:pPr>
        <w:pStyle w:val="5"/>
        <w:pageBreakBefore w:val="0"/>
        <w:widowControl w:val="0"/>
        <w:kinsoku/>
        <w:wordWrap/>
        <w:overflowPunct/>
        <w:topLinePunct w:val="0"/>
        <w:autoSpaceDE/>
        <w:autoSpaceDN/>
        <w:bidi w:val="0"/>
        <w:adjustRightInd/>
        <w:snapToGrid w:val="0"/>
        <w:spacing w:before="0" w:after="0" w:line="312" w:lineRule="auto"/>
        <w:ind w:firstLine="720" w:firstLineChars="300"/>
        <w:textAlignment w:val="auto"/>
        <w:rPr>
          <w:rFonts w:hint="eastAsia" w:ascii="宋体" w:hAnsi="宋体" w:eastAsia="宋体" w:cs="宋体"/>
          <w:b w:val="0"/>
          <w:sz w:val="24"/>
          <w:szCs w:val="24"/>
        </w:rPr>
      </w:pPr>
      <w:r>
        <w:rPr>
          <w:rFonts w:hint="eastAsia" w:ascii="宋体" w:hAnsi="宋体" w:eastAsia="宋体" w:cs="宋体"/>
          <w:b w:val="0"/>
          <w:sz w:val="24"/>
          <w:szCs w:val="24"/>
        </w:rPr>
        <w:t>联系人：杨老师       联系电话：0771-3224391</w:t>
      </w:r>
    </w:p>
    <w:p>
      <w:pPr>
        <w:pStyle w:val="5"/>
        <w:pageBreakBefore w:val="0"/>
        <w:widowControl w:val="0"/>
        <w:kinsoku/>
        <w:wordWrap/>
        <w:overflowPunct/>
        <w:topLinePunct w:val="0"/>
        <w:autoSpaceDE/>
        <w:autoSpaceDN/>
        <w:bidi w:val="0"/>
        <w:adjustRightInd/>
        <w:snapToGrid w:val="0"/>
        <w:spacing w:before="0" w:after="0" w:line="312" w:lineRule="auto"/>
        <w:ind w:firstLine="720" w:firstLineChars="300"/>
        <w:textAlignment w:val="auto"/>
        <w:rPr>
          <w:rFonts w:hint="eastAsia" w:ascii="宋体" w:hAnsi="宋体" w:eastAsia="宋体" w:cs="宋体"/>
          <w:b w:val="0"/>
          <w:sz w:val="24"/>
          <w:szCs w:val="24"/>
        </w:rPr>
      </w:pPr>
      <w:r>
        <w:rPr>
          <w:rFonts w:hint="eastAsia" w:ascii="宋体" w:hAnsi="宋体" w:eastAsia="宋体" w:cs="宋体"/>
          <w:b w:val="0"/>
          <w:sz w:val="24"/>
          <w:szCs w:val="24"/>
        </w:rPr>
        <w:t>2、采购代理机构信息</w:t>
      </w:r>
    </w:p>
    <w:p>
      <w:pPr>
        <w:pStyle w:val="5"/>
        <w:pageBreakBefore w:val="0"/>
        <w:widowControl w:val="0"/>
        <w:kinsoku/>
        <w:wordWrap/>
        <w:overflowPunct/>
        <w:topLinePunct w:val="0"/>
        <w:autoSpaceDE/>
        <w:autoSpaceDN/>
        <w:bidi w:val="0"/>
        <w:adjustRightInd/>
        <w:snapToGrid w:val="0"/>
        <w:spacing w:before="0" w:after="0" w:line="312" w:lineRule="auto"/>
        <w:ind w:firstLine="720" w:firstLineChars="300"/>
        <w:textAlignment w:val="auto"/>
        <w:rPr>
          <w:rFonts w:hint="eastAsia" w:ascii="宋体" w:hAnsi="宋体" w:eastAsia="宋体" w:cs="宋体"/>
          <w:b w:val="0"/>
          <w:sz w:val="24"/>
          <w:szCs w:val="24"/>
        </w:rPr>
      </w:pPr>
      <w:r>
        <w:rPr>
          <w:rFonts w:hint="eastAsia" w:ascii="宋体" w:hAnsi="宋体" w:eastAsia="宋体" w:cs="宋体"/>
          <w:b w:val="0"/>
          <w:sz w:val="24"/>
          <w:szCs w:val="24"/>
        </w:rPr>
        <w:t>名称：华夏城投项目管理有限公司</w:t>
      </w:r>
    </w:p>
    <w:p>
      <w:pPr>
        <w:pStyle w:val="5"/>
        <w:pageBreakBefore w:val="0"/>
        <w:widowControl w:val="0"/>
        <w:kinsoku/>
        <w:wordWrap/>
        <w:overflowPunct/>
        <w:topLinePunct w:val="0"/>
        <w:autoSpaceDE/>
        <w:autoSpaceDN/>
        <w:bidi w:val="0"/>
        <w:adjustRightInd/>
        <w:snapToGrid w:val="0"/>
        <w:spacing w:before="0" w:after="0" w:line="312" w:lineRule="auto"/>
        <w:ind w:firstLine="720" w:firstLineChars="300"/>
        <w:textAlignment w:val="auto"/>
        <w:rPr>
          <w:rFonts w:hint="eastAsia" w:ascii="宋体" w:hAnsi="宋体" w:eastAsia="宋体" w:cs="宋体"/>
          <w:b w:val="0"/>
          <w:sz w:val="24"/>
          <w:szCs w:val="24"/>
        </w:rPr>
      </w:pPr>
      <w:r>
        <w:rPr>
          <w:rFonts w:hint="eastAsia" w:ascii="宋体" w:hAnsi="宋体" w:eastAsia="宋体" w:cs="宋体"/>
          <w:b w:val="0"/>
          <w:sz w:val="24"/>
          <w:szCs w:val="24"/>
        </w:rPr>
        <w:t>地址：南宁市东葛路118号青秀万达写字楼银座8楼808室</w:t>
      </w:r>
    </w:p>
    <w:p>
      <w:pPr>
        <w:pStyle w:val="5"/>
        <w:pageBreakBefore w:val="0"/>
        <w:widowControl w:val="0"/>
        <w:kinsoku/>
        <w:wordWrap/>
        <w:overflowPunct/>
        <w:topLinePunct w:val="0"/>
        <w:autoSpaceDE/>
        <w:autoSpaceDN/>
        <w:bidi w:val="0"/>
        <w:adjustRightInd/>
        <w:snapToGrid w:val="0"/>
        <w:spacing w:before="0" w:after="0" w:line="312" w:lineRule="auto"/>
        <w:ind w:firstLine="720" w:firstLineChars="300"/>
        <w:textAlignment w:val="auto"/>
        <w:rPr>
          <w:rFonts w:hint="eastAsia" w:ascii="宋体" w:hAnsi="宋体" w:eastAsia="宋体" w:cs="宋体"/>
          <w:b w:val="0"/>
          <w:sz w:val="24"/>
          <w:szCs w:val="24"/>
        </w:rPr>
      </w:pPr>
      <w:r>
        <w:rPr>
          <w:rFonts w:hint="eastAsia" w:ascii="宋体" w:hAnsi="宋体" w:eastAsia="宋体" w:cs="宋体"/>
          <w:b w:val="0"/>
          <w:sz w:val="24"/>
          <w:szCs w:val="24"/>
        </w:rPr>
        <w:t>联系人：潘工   联系方式：0771-5382528</w:t>
      </w:r>
    </w:p>
    <w:p>
      <w:pPr>
        <w:pStyle w:val="5"/>
        <w:pageBreakBefore w:val="0"/>
        <w:widowControl w:val="0"/>
        <w:kinsoku/>
        <w:wordWrap/>
        <w:overflowPunct/>
        <w:topLinePunct w:val="0"/>
        <w:autoSpaceDE/>
        <w:autoSpaceDN/>
        <w:bidi w:val="0"/>
        <w:adjustRightInd/>
        <w:snapToGrid w:val="0"/>
        <w:spacing w:before="0" w:after="0" w:line="312" w:lineRule="auto"/>
        <w:ind w:firstLine="720" w:firstLineChars="300"/>
        <w:textAlignment w:val="auto"/>
        <w:rPr>
          <w:rFonts w:hint="eastAsia" w:ascii="宋体" w:hAnsi="宋体" w:eastAsia="宋体" w:cs="宋体"/>
          <w:b w:val="0"/>
          <w:sz w:val="24"/>
          <w:szCs w:val="24"/>
        </w:rPr>
      </w:pPr>
      <w:r>
        <w:rPr>
          <w:rFonts w:hint="eastAsia" w:ascii="宋体" w:hAnsi="宋体" w:eastAsia="宋体" w:cs="宋体"/>
          <w:b w:val="0"/>
          <w:sz w:val="24"/>
          <w:szCs w:val="24"/>
        </w:rPr>
        <w:t>3.项目联系方式</w:t>
      </w:r>
      <w:bookmarkEnd w:id="2"/>
      <w:bookmarkEnd w:id="3"/>
      <w:bookmarkEnd w:id="4"/>
      <w:bookmarkEnd w:id="5"/>
    </w:p>
    <w:p>
      <w:pPr>
        <w:pStyle w:val="9"/>
        <w:pageBreakBefore w:val="0"/>
        <w:widowControl w:val="0"/>
        <w:kinsoku/>
        <w:wordWrap/>
        <w:overflowPunct/>
        <w:topLinePunct w:val="0"/>
        <w:autoSpaceDE/>
        <w:autoSpaceDN/>
        <w:bidi w:val="0"/>
        <w:adjustRightInd/>
        <w:snapToGrid w:val="0"/>
        <w:spacing w:line="312" w:lineRule="auto"/>
        <w:ind w:firstLine="720" w:firstLineChars="3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ascii="宋体" w:hAnsi="宋体" w:eastAsia="宋体" w:cs="宋体"/>
          <w:sz w:val="24"/>
          <w:szCs w:val="24"/>
          <w:lang w:eastAsia="zh-CN"/>
        </w:rPr>
        <w:t>：</w:t>
      </w:r>
      <w:r>
        <w:rPr>
          <w:rFonts w:hint="eastAsia" w:ascii="宋体" w:hAnsi="宋体" w:eastAsia="宋体" w:cs="宋体"/>
          <w:sz w:val="24"/>
          <w:szCs w:val="24"/>
          <w:u w:val="none"/>
          <w:lang w:val="en-US" w:eastAsia="zh-CN"/>
        </w:rPr>
        <w:t>潘工</w:t>
      </w:r>
    </w:p>
    <w:p>
      <w:pPr>
        <w:pageBreakBefore w:val="0"/>
        <w:widowControl w:val="0"/>
        <w:kinsoku/>
        <w:wordWrap/>
        <w:overflowPunct/>
        <w:topLinePunct w:val="0"/>
        <w:autoSpaceDE/>
        <w:autoSpaceDN/>
        <w:bidi w:val="0"/>
        <w:adjustRightInd/>
        <w:snapToGrid w:val="0"/>
        <w:spacing w:line="312" w:lineRule="auto"/>
        <w:ind w:firstLine="720" w:firstLineChars="300"/>
        <w:textAlignment w:val="auto"/>
        <w:rPr>
          <w:rFonts w:hint="eastAsia" w:ascii="宋体" w:hAnsi="宋体" w:eastAsia="宋体" w:cs="宋体"/>
          <w:sz w:val="24"/>
          <w:szCs w:val="24"/>
          <w:u w:val="none"/>
        </w:rPr>
      </w:pPr>
      <w:r>
        <w:rPr>
          <w:rFonts w:hint="eastAsia" w:ascii="宋体" w:hAnsi="宋体" w:eastAsia="宋体" w:cs="宋体"/>
          <w:sz w:val="24"/>
          <w:szCs w:val="24"/>
        </w:rPr>
        <w:t>电　  话：</w:t>
      </w:r>
      <w:r>
        <w:rPr>
          <w:rFonts w:hint="eastAsia" w:ascii="宋体" w:hAnsi="宋体" w:eastAsia="宋体" w:cs="宋体"/>
          <w:sz w:val="24"/>
          <w:szCs w:val="24"/>
          <w:u w:val="none"/>
        </w:rPr>
        <w:t>0771-5382528　</w:t>
      </w:r>
    </w:p>
    <w:p>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00000" w:themeColor="text1"/>
          <w:kern w:val="0"/>
          <w:sz w:val="24"/>
          <w:szCs w:val="24"/>
          <w:u w:val="none"/>
          <w14:textFill>
            <w14:solidFill>
              <w14:schemeClr w14:val="tx1"/>
            </w14:solidFill>
          </w14:textFill>
        </w:rPr>
      </w:pPr>
      <w:r>
        <w:rPr>
          <w:rFonts w:hint="eastAsia" w:ascii="宋体" w:hAnsi="宋体" w:eastAsia="宋体" w:cs="宋体"/>
          <w:kern w:val="0"/>
          <w:sz w:val="24"/>
          <w:szCs w:val="24"/>
          <w:u w:val="none"/>
        </w:rPr>
        <w:t>十、附</w:t>
      </w:r>
      <w:r>
        <w:rPr>
          <w:rFonts w:hint="eastAsia" w:ascii="宋体" w:hAnsi="宋体" w:eastAsia="宋体" w:cs="宋体"/>
          <w:color w:val="000000" w:themeColor="text1"/>
          <w:kern w:val="0"/>
          <w:sz w:val="24"/>
          <w:szCs w:val="24"/>
          <w:u w:val="none"/>
          <w14:textFill>
            <w14:solidFill>
              <w14:schemeClr w14:val="tx1"/>
            </w14:solidFill>
          </w14:textFill>
        </w:rPr>
        <w:t>件</w:t>
      </w:r>
    </w:p>
    <w:p>
      <w:pPr>
        <w:pStyle w:val="9"/>
        <w:pageBreakBefore w:val="0"/>
        <w:widowControl w:val="0"/>
        <w:kinsoku/>
        <w:wordWrap/>
        <w:overflowPunct/>
        <w:topLinePunct w:val="0"/>
        <w:autoSpaceDE/>
        <w:autoSpaceDN/>
        <w:bidi w:val="0"/>
        <w:adjustRightInd/>
        <w:snapToGrid w:val="0"/>
        <w:spacing w:line="312" w:lineRule="auto"/>
        <w:ind w:firstLine="720" w:firstLineChars="3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1.采购文件</w:t>
      </w:r>
    </w:p>
    <w:p>
      <w:pPr>
        <w:pStyle w:val="9"/>
        <w:pageBreakBefore w:val="0"/>
        <w:widowControl w:val="0"/>
        <w:kinsoku/>
        <w:wordWrap/>
        <w:overflowPunct/>
        <w:topLinePunct w:val="0"/>
        <w:autoSpaceDE/>
        <w:autoSpaceDN/>
        <w:bidi w:val="0"/>
        <w:adjustRightInd/>
        <w:snapToGrid w:val="0"/>
        <w:spacing w:line="312" w:lineRule="auto"/>
        <w:ind w:firstLine="720" w:firstLineChars="3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2.中小企业声明函</w:t>
      </w:r>
    </w:p>
    <w:p>
      <w:pPr>
        <w:widowControl/>
        <w:spacing w:line="400" w:lineRule="exact"/>
        <w:ind w:left="240" w:leftChars="0"/>
        <w:jc w:val="right"/>
        <w:rPr>
          <w:rFonts w:hint="eastAsia" w:ascii="宋体" w:hAnsi="宋体"/>
          <w:color w:val="auto"/>
          <w:kern w:val="0"/>
          <w:sz w:val="24"/>
          <w:szCs w:val="24"/>
        </w:rPr>
      </w:pPr>
    </w:p>
    <w:p>
      <w:pPr>
        <w:widowControl/>
        <w:spacing w:line="480" w:lineRule="auto"/>
        <w:ind w:left="4200" w:leftChars="2000"/>
        <w:jc w:val="both"/>
        <w:rPr>
          <w:rFonts w:ascii="宋体" w:hAnsi="宋体"/>
          <w:color w:val="auto"/>
          <w:kern w:val="0"/>
          <w:sz w:val="24"/>
          <w:szCs w:val="24"/>
        </w:rPr>
      </w:pPr>
      <w:r>
        <w:rPr>
          <w:rFonts w:hint="eastAsia" w:ascii="宋体" w:hAnsi="宋体"/>
          <w:color w:val="auto"/>
          <w:kern w:val="0"/>
          <w:sz w:val="24"/>
          <w:szCs w:val="24"/>
        </w:rPr>
        <w:t>采购人</w:t>
      </w:r>
      <w:r>
        <w:rPr>
          <w:rFonts w:hint="eastAsia" w:ascii="宋体" w:hAnsi="宋体"/>
          <w:color w:val="auto"/>
          <w:kern w:val="0"/>
          <w:sz w:val="24"/>
          <w:szCs w:val="24"/>
          <w:lang w:eastAsia="zh-CN"/>
        </w:rPr>
        <w:t>：</w:t>
      </w:r>
      <w:r>
        <w:rPr>
          <w:rFonts w:hint="eastAsia" w:ascii="宋体" w:hAnsi="宋体"/>
          <w:color w:val="auto"/>
          <w:kern w:val="0"/>
          <w:sz w:val="24"/>
          <w:szCs w:val="24"/>
        </w:rPr>
        <w:t>广西国际商务职业技术学院</w:t>
      </w:r>
    </w:p>
    <w:p>
      <w:pPr>
        <w:widowControl/>
        <w:spacing w:line="480" w:lineRule="auto"/>
        <w:ind w:left="4200" w:leftChars="2000"/>
        <w:jc w:val="both"/>
        <w:rPr>
          <w:rFonts w:ascii="宋体" w:hAnsi="宋体"/>
          <w:color w:val="auto"/>
          <w:kern w:val="0"/>
          <w:sz w:val="24"/>
          <w:szCs w:val="24"/>
        </w:rPr>
      </w:pPr>
      <w:r>
        <w:rPr>
          <w:rFonts w:hint="eastAsia" w:ascii="宋体" w:hAnsi="宋体"/>
          <w:color w:val="auto"/>
          <w:kern w:val="0"/>
          <w:sz w:val="24"/>
          <w:szCs w:val="24"/>
        </w:rPr>
        <w:t>采购代理机构：华夏城投项目管理有限公司</w:t>
      </w:r>
    </w:p>
    <w:p>
      <w:pPr>
        <w:widowControl/>
        <w:spacing w:line="480" w:lineRule="auto"/>
        <w:ind w:left="5040" w:leftChars="2400" w:right="590" w:rightChars="281"/>
        <w:jc w:val="both"/>
        <w:rPr>
          <w:rFonts w:hint="eastAsia" w:ascii="宋体" w:hAnsi="宋体"/>
          <w:color w:val="auto"/>
          <w:kern w:val="0"/>
          <w:sz w:val="24"/>
          <w:szCs w:val="24"/>
          <w:lang w:val="en-US" w:eastAsia="zh-CN"/>
        </w:rPr>
      </w:pPr>
      <w:r>
        <w:rPr>
          <w:rFonts w:hint="eastAsia" w:ascii="宋体" w:hAnsi="宋体"/>
          <w:bCs/>
          <w:color w:val="auto"/>
          <w:kern w:val="0"/>
          <w:sz w:val="24"/>
          <w:szCs w:val="24"/>
        </w:rPr>
        <w:t>日期：202</w:t>
      </w:r>
      <w:r>
        <w:rPr>
          <w:rFonts w:hint="eastAsia" w:ascii="宋体" w:hAnsi="宋体"/>
          <w:bCs/>
          <w:color w:val="auto"/>
          <w:kern w:val="0"/>
          <w:sz w:val="24"/>
          <w:szCs w:val="24"/>
          <w:lang w:val="en-US" w:eastAsia="zh-CN"/>
        </w:rPr>
        <w:t>2</w:t>
      </w:r>
      <w:r>
        <w:rPr>
          <w:rFonts w:hint="eastAsia" w:ascii="宋体" w:hAnsi="宋体"/>
          <w:bCs/>
          <w:color w:val="auto"/>
          <w:kern w:val="0"/>
          <w:sz w:val="24"/>
          <w:szCs w:val="24"/>
        </w:rPr>
        <w:t>年</w:t>
      </w:r>
      <w:r>
        <w:rPr>
          <w:rFonts w:hint="eastAsia" w:ascii="宋体" w:hAnsi="宋体"/>
          <w:bCs/>
          <w:color w:val="auto"/>
          <w:kern w:val="0"/>
          <w:sz w:val="24"/>
          <w:szCs w:val="24"/>
          <w:lang w:val="en-US" w:eastAsia="zh-CN"/>
        </w:rPr>
        <w:t>5</w:t>
      </w:r>
      <w:r>
        <w:rPr>
          <w:rFonts w:hint="eastAsia" w:ascii="宋体" w:hAnsi="宋体"/>
          <w:bCs/>
          <w:color w:val="auto"/>
          <w:kern w:val="0"/>
          <w:sz w:val="24"/>
          <w:szCs w:val="24"/>
        </w:rPr>
        <w:t>月</w:t>
      </w:r>
      <w:r>
        <w:rPr>
          <w:rFonts w:hint="eastAsia" w:ascii="宋体" w:hAnsi="宋体"/>
          <w:bCs/>
          <w:color w:val="auto"/>
          <w:kern w:val="0"/>
          <w:sz w:val="24"/>
          <w:szCs w:val="24"/>
          <w:lang w:val="en-US" w:eastAsia="zh-CN"/>
        </w:rPr>
        <w:t>24</w:t>
      </w:r>
      <w:bookmarkStart w:id="6" w:name="_GoBack"/>
      <w:bookmarkEnd w:id="6"/>
      <w:r>
        <w:rPr>
          <w:rFonts w:hint="eastAsia" w:ascii="宋体" w:hAnsi="宋体"/>
          <w:bCs/>
          <w:color w:val="auto"/>
          <w:kern w:val="0"/>
          <w:sz w:val="24"/>
          <w:szCs w:val="24"/>
        </w:rPr>
        <w:t>日</w:t>
      </w:r>
    </w:p>
    <w:sectPr>
      <w:footerReference r:id="rId3" w:type="default"/>
      <w:pgSz w:w="11906" w:h="16838"/>
      <w:pgMar w:top="1304" w:right="1247" w:bottom="1304" w:left="124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AB55AA"/>
    <w:multiLevelType w:val="singleLevel"/>
    <w:tmpl w:val="E3AB55AA"/>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2NmMwNjdmNTFlNTY4MjA0NDViNDI5Zjc0MDNiMGIifQ=="/>
  </w:docVars>
  <w:rsids>
    <w:rsidRoot w:val="45D24623"/>
    <w:rsid w:val="001C6E97"/>
    <w:rsid w:val="002F0A87"/>
    <w:rsid w:val="005E12E1"/>
    <w:rsid w:val="00C92DC0"/>
    <w:rsid w:val="02F0796D"/>
    <w:rsid w:val="033D126F"/>
    <w:rsid w:val="053D5C80"/>
    <w:rsid w:val="06121614"/>
    <w:rsid w:val="077961FD"/>
    <w:rsid w:val="081421CB"/>
    <w:rsid w:val="08C373E9"/>
    <w:rsid w:val="09482A45"/>
    <w:rsid w:val="09537332"/>
    <w:rsid w:val="09AD7032"/>
    <w:rsid w:val="09E92123"/>
    <w:rsid w:val="0B0724C0"/>
    <w:rsid w:val="0BA54D65"/>
    <w:rsid w:val="0C2618A2"/>
    <w:rsid w:val="0C2B1752"/>
    <w:rsid w:val="0CB221F6"/>
    <w:rsid w:val="0CEC3AD0"/>
    <w:rsid w:val="0DB7363A"/>
    <w:rsid w:val="0E066223"/>
    <w:rsid w:val="0F0F7572"/>
    <w:rsid w:val="0F291760"/>
    <w:rsid w:val="1049215B"/>
    <w:rsid w:val="110C187F"/>
    <w:rsid w:val="11B928D5"/>
    <w:rsid w:val="1215434F"/>
    <w:rsid w:val="12695BF0"/>
    <w:rsid w:val="131D2E7C"/>
    <w:rsid w:val="132A4514"/>
    <w:rsid w:val="14570A87"/>
    <w:rsid w:val="16473168"/>
    <w:rsid w:val="187A1964"/>
    <w:rsid w:val="18956698"/>
    <w:rsid w:val="191B08CB"/>
    <w:rsid w:val="193056BF"/>
    <w:rsid w:val="199F692D"/>
    <w:rsid w:val="19A04E5B"/>
    <w:rsid w:val="1A3D3D7B"/>
    <w:rsid w:val="1ADF64B9"/>
    <w:rsid w:val="1BC358F1"/>
    <w:rsid w:val="1BFE2A13"/>
    <w:rsid w:val="1CD46488"/>
    <w:rsid w:val="1DA60D5A"/>
    <w:rsid w:val="1E574DC1"/>
    <w:rsid w:val="1EBF68EA"/>
    <w:rsid w:val="1FA37882"/>
    <w:rsid w:val="20574D60"/>
    <w:rsid w:val="217B4B5D"/>
    <w:rsid w:val="221A326E"/>
    <w:rsid w:val="22562DBE"/>
    <w:rsid w:val="234543B7"/>
    <w:rsid w:val="234B3E66"/>
    <w:rsid w:val="241F7957"/>
    <w:rsid w:val="2536550E"/>
    <w:rsid w:val="255D7985"/>
    <w:rsid w:val="25E1101D"/>
    <w:rsid w:val="25E47F39"/>
    <w:rsid w:val="26401973"/>
    <w:rsid w:val="27711D13"/>
    <w:rsid w:val="28480D1A"/>
    <w:rsid w:val="294F2DF7"/>
    <w:rsid w:val="29685B04"/>
    <w:rsid w:val="2BAA71E6"/>
    <w:rsid w:val="2C0544AF"/>
    <w:rsid w:val="30DB0958"/>
    <w:rsid w:val="314C744F"/>
    <w:rsid w:val="324650A6"/>
    <w:rsid w:val="32AA0B99"/>
    <w:rsid w:val="3349494A"/>
    <w:rsid w:val="346F2F64"/>
    <w:rsid w:val="35671C6A"/>
    <w:rsid w:val="36761352"/>
    <w:rsid w:val="3752281F"/>
    <w:rsid w:val="37565BC2"/>
    <w:rsid w:val="379B1626"/>
    <w:rsid w:val="37F5219A"/>
    <w:rsid w:val="3A956240"/>
    <w:rsid w:val="3AEE129F"/>
    <w:rsid w:val="3AF36338"/>
    <w:rsid w:val="3B17393E"/>
    <w:rsid w:val="3C3D24F1"/>
    <w:rsid w:val="3D6C5743"/>
    <w:rsid w:val="3DC60DAB"/>
    <w:rsid w:val="3F646621"/>
    <w:rsid w:val="40D52DAD"/>
    <w:rsid w:val="41750D3B"/>
    <w:rsid w:val="4193767C"/>
    <w:rsid w:val="41B42A38"/>
    <w:rsid w:val="41E063EC"/>
    <w:rsid w:val="433B4BA5"/>
    <w:rsid w:val="43542851"/>
    <w:rsid w:val="43560711"/>
    <w:rsid w:val="43CA7EFD"/>
    <w:rsid w:val="43F91B15"/>
    <w:rsid w:val="444366D8"/>
    <w:rsid w:val="45D24623"/>
    <w:rsid w:val="465710F0"/>
    <w:rsid w:val="487F3A10"/>
    <w:rsid w:val="48976F0D"/>
    <w:rsid w:val="490261A1"/>
    <w:rsid w:val="4941492E"/>
    <w:rsid w:val="497540B4"/>
    <w:rsid w:val="497F59B1"/>
    <w:rsid w:val="4988714B"/>
    <w:rsid w:val="4A0C0888"/>
    <w:rsid w:val="4A546E4B"/>
    <w:rsid w:val="4ABA0676"/>
    <w:rsid w:val="4DF12880"/>
    <w:rsid w:val="4E6F4244"/>
    <w:rsid w:val="4F066AD6"/>
    <w:rsid w:val="51745C7C"/>
    <w:rsid w:val="52874D13"/>
    <w:rsid w:val="52D460B4"/>
    <w:rsid w:val="52E632E6"/>
    <w:rsid w:val="538E5BEF"/>
    <w:rsid w:val="54E134E9"/>
    <w:rsid w:val="57B437AB"/>
    <w:rsid w:val="589419D7"/>
    <w:rsid w:val="589C59B8"/>
    <w:rsid w:val="5A5728E3"/>
    <w:rsid w:val="5AE81B06"/>
    <w:rsid w:val="5BAB19C8"/>
    <w:rsid w:val="5C3931B2"/>
    <w:rsid w:val="5DE43337"/>
    <w:rsid w:val="5E2B5993"/>
    <w:rsid w:val="5FEC2E56"/>
    <w:rsid w:val="5FED3FA8"/>
    <w:rsid w:val="60C338AE"/>
    <w:rsid w:val="610A7BEC"/>
    <w:rsid w:val="625031CE"/>
    <w:rsid w:val="64385850"/>
    <w:rsid w:val="64D062DE"/>
    <w:rsid w:val="6517448D"/>
    <w:rsid w:val="65B85E18"/>
    <w:rsid w:val="65E05F69"/>
    <w:rsid w:val="66726A71"/>
    <w:rsid w:val="66FE671C"/>
    <w:rsid w:val="67D231F7"/>
    <w:rsid w:val="684F607F"/>
    <w:rsid w:val="68981923"/>
    <w:rsid w:val="69067625"/>
    <w:rsid w:val="699A768D"/>
    <w:rsid w:val="6A4013F5"/>
    <w:rsid w:val="6A6438E8"/>
    <w:rsid w:val="6CA21B5A"/>
    <w:rsid w:val="6CDB731B"/>
    <w:rsid w:val="6D8C6D57"/>
    <w:rsid w:val="6E741FC7"/>
    <w:rsid w:val="6F677BA0"/>
    <w:rsid w:val="6F750947"/>
    <w:rsid w:val="6F96164A"/>
    <w:rsid w:val="6FEE6C5E"/>
    <w:rsid w:val="712F07EE"/>
    <w:rsid w:val="725E40C3"/>
    <w:rsid w:val="728D6504"/>
    <w:rsid w:val="72B72728"/>
    <w:rsid w:val="73384F44"/>
    <w:rsid w:val="7380234B"/>
    <w:rsid w:val="73F935E6"/>
    <w:rsid w:val="749248BA"/>
    <w:rsid w:val="74C1389C"/>
    <w:rsid w:val="75726DF0"/>
    <w:rsid w:val="75EB61AA"/>
    <w:rsid w:val="760719C0"/>
    <w:rsid w:val="76984994"/>
    <w:rsid w:val="77AB520C"/>
    <w:rsid w:val="77B77626"/>
    <w:rsid w:val="77C749C3"/>
    <w:rsid w:val="78B1713B"/>
    <w:rsid w:val="79280E7C"/>
    <w:rsid w:val="792902F0"/>
    <w:rsid w:val="7A5D1A6E"/>
    <w:rsid w:val="7AF450AB"/>
    <w:rsid w:val="7B7106F4"/>
    <w:rsid w:val="7C24243C"/>
    <w:rsid w:val="7C7832B1"/>
    <w:rsid w:val="7D1B4711"/>
    <w:rsid w:val="7E167DEF"/>
    <w:rsid w:val="7ECF260C"/>
    <w:rsid w:val="7ED86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paragraph" w:styleId="6">
    <w:name w:val="heading 4"/>
    <w:basedOn w:val="1"/>
    <w:next w:val="1"/>
    <w:qFormat/>
    <w:uiPriority w:val="99"/>
    <w:pPr>
      <w:ind w:left="310"/>
      <w:outlineLvl w:val="3"/>
    </w:pPr>
    <w:rPr>
      <w:b/>
      <w:bCs/>
      <w:sz w:val="21"/>
      <w:szCs w:val="21"/>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表格文字"/>
    <w:basedOn w:val="1"/>
    <w:next w:val="3"/>
    <w:qFormat/>
    <w:uiPriority w:val="0"/>
    <w:pPr>
      <w:jc w:val="left"/>
    </w:pPr>
    <w:rPr>
      <w:bCs/>
      <w:spacing w:val="10"/>
      <w:kern w:val="0"/>
      <w:sz w:val="24"/>
    </w:rPr>
  </w:style>
  <w:style w:type="paragraph" w:styleId="3">
    <w:name w:val="Body Text"/>
    <w:basedOn w:val="1"/>
    <w:next w:val="1"/>
    <w:qFormat/>
    <w:uiPriority w:val="0"/>
    <w:pPr>
      <w:spacing w:line="380" w:lineRule="exact"/>
    </w:pPr>
    <w:rPr>
      <w:sz w:val="24"/>
    </w:rPr>
  </w:style>
  <w:style w:type="paragraph" w:styleId="7">
    <w:name w:val="Normal Indent"/>
    <w:basedOn w:val="1"/>
    <w:qFormat/>
    <w:uiPriority w:val="0"/>
    <w:pPr>
      <w:ind w:firstLine="420"/>
    </w:pPr>
    <w:rPr>
      <w:szCs w:val="20"/>
    </w:rPr>
  </w:style>
  <w:style w:type="paragraph" w:styleId="8">
    <w:name w:val="Body Text Indent"/>
    <w:basedOn w:val="1"/>
    <w:qFormat/>
    <w:uiPriority w:val="0"/>
    <w:pPr>
      <w:ind w:firstLine="830" w:firstLineChars="352"/>
    </w:pPr>
    <w:rPr>
      <w:rFonts w:ascii="仿宋_GB2312" w:eastAsia="仿宋_GB2312"/>
      <w:sz w:val="32"/>
      <w:szCs w:val="20"/>
    </w:rPr>
  </w:style>
  <w:style w:type="paragraph" w:styleId="9">
    <w:name w:val="Plain Text"/>
    <w:basedOn w:val="1"/>
    <w:next w:val="6"/>
    <w:qFormat/>
    <w:uiPriority w:val="0"/>
    <w:rPr>
      <w:rFonts w:ascii="宋体" w:hAnsi="Courier New" w:eastAsiaTheme="minorEastAsia" w:cstheme="minorBidi"/>
      <w:szCs w:val="2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75" w:beforeAutospacing="0" w:after="75" w:afterAutospacing="0"/>
      <w:ind w:left="0" w:right="0"/>
      <w:jc w:val="left"/>
    </w:pPr>
    <w:rPr>
      <w:kern w:val="0"/>
      <w:sz w:val="24"/>
      <w:lang w:val="en-US" w:eastAsia="zh-CN" w:bidi="ar"/>
    </w:rPr>
  </w:style>
  <w:style w:type="paragraph" w:styleId="13">
    <w:name w:val="Body Text First Indent 2"/>
    <w:basedOn w:val="8"/>
    <w:qFormat/>
    <w:uiPriority w:val="0"/>
    <w:pPr>
      <w:ind w:firstLine="420" w:firstLineChars="200"/>
    </w:p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1070</Words>
  <Characters>1280</Characters>
  <Lines>0</Lines>
  <Paragraphs>0</Paragraphs>
  <TotalTime>9</TotalTime>
  <ScaleCrop>false</ScaleCrop>
  <LinksUpToDate>false</LinksUpToDate>
  <CharactersWithSpaces>1301</CharactersWithSpaces>
  <Application>WPS Office_11.1.0.11411_F1E327BC-269C-435d-A152-05C5408002CA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2020-07-08T10:19:00Z</dcterms:created>
  <dc:creator>10e</dc:creator>
  <cp:lastModifiedBy>Administrator</cp:lastModifiedBy>
  <dcterms:modified xsi:type="dcterms:W3CDTF">2022-05-24T09:18:51Z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2052-11.1.0.11411</vt:lpwstr>
  </property>
  <property fmtid="{D5CDD505-2E9C-101B-9397-08002B2CF9AE}" pid="3" name="ICV">
    <vt:lpwstr>FC91A003FB694E999F080B54E19DC4C5</vt:lpwstr>
  </property>
</Properties>
</file>