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olor w:val="auto"/>
          <w:sz w:val="32"/>
          <w:szCs w:val="32"/>
        </w:rPr>
      </w:pPr>
    </w:p>
    <w:p>
      <w:pPr>
        <w:spacing w:line="400" w:lineRule="exact"/>
        <w:jc w:val="center"/>
        <w:rPr>
          <w:rFonts w:ascii="宋体" w:hAnsi="宋体" w:cs="宋体"/>
          <w:color w:val="auto"/>
          <w:sz w:val="32"/>
          <w:szCs w:val="32"/>
        </w:rPr>
      </w:pPr>
      <w:r>
        <w:rPr>
          <w:rFonts w:hint="eastAsia" w:ascii="宋体" w:hAnsi="宋体" w:cs="宋体"/>
          <w:color w:val="auto"/>
          <w:sz w:val="32"/>
          <w:szCs w:val="32"/>
        </w:rPr>
        <w:t xml:space="preserve"> </w:t>
      </w:r>
    </w:p>
    <w:p>
      <w:pPr>
        <w:spacing w:beforeLines="50"/>
        <w:jc w:val="center"/>
        <w:rPr>
          <w:rFonts w:ascii="宋体" w:hAnsi="宋体" w:cs="宋体"/>
          <w:color w:val="auto"/>
          <w:sz w:val="72"/>
          <w:szCs w:val="72"/>
        </w:rPr>
      </w:pPr>
    </w:p>
    <w:p>
      <w:pPr>
        <w:spacing w:beforeLines="50"/>
        <w:jc w:val="center"/>
        <w:rPr>
          <w:rFonts w:ascii="宋体" w:hAnsi="宋体" w:cs="宋体"/>
          <w:color w:val="auto"/>
          <w:sz w:val="72"/>
          <w:szCs w:val="72"/>
        </w:rPr>
      </w:pPr>
      <w:r>
        <w:rPr>
          <w:rFonts w:hint="eastAsia" w:ascii="宋体" w:hAnsi="宋体" w:cs="宋体"/>
          <w:color w:val="auto"/>
          <w:sz w:val="72"/>
          <w:szCs w:val="72"/>
        </w:rPr>
        <w:t>竞争性磋商文件</w:t>
      </w:r>
    </w:p>
    <w:p>
      <w:pPr>
        <w:snapToGrid w:val="0"/>
        <w:spacing w:beforeLines="50" w:line="360" w:lineRule="auto"/>
        <w:rPr>
          <w:rFonts w:ascii="宋体" w:hAnsi="宋体" w:cs="宋体"/>
          <w:color w:val="auto"/>
          <w:sz w:val="30"/>
          <w:szCs w:val="30"/>
        </w:rPr>
      </w:pPr>
      <w:r>
        <w:rPr>
          <w:rFonts w:hint="eastAsia" w:ascii="宋体" w:hAnsi="宋体" w:cs="宋体"/>
          <w:color w:val="auto"/>
          <w:sz w:val="30"/>
          <w:szCs w:val="30"/>
        </w:rPr>
        <w:t xml:space="preserve"> </w:t>
      </w:r>
    </w:p>
    <w:p>
      <w:pPr>
        <w:pStyle w:val="24"/>
        <w:snapToGrid w:val="0"/>
        <w:spacing w:before="120" w:after="120" w:line="360" w:lineRule="auto"/>
        <w:ind w:firstLine="1494" w:firstLineChars="496"/>
        <w:rPr>
          <w:rFonts w:hAnsi="宋体" w:cs="宋体"/>
          <w:b/>
          <w:bCs/>
          <w:color w:val="auto"/>
          <w:sz w:val="30"/>
          <w:szCs w:val="30"/>
        </w:rPr>
      </w:pPr>
      <w:r>
        <w:rPr>
          <w:rFonts w:hint="eastAsia" w:hAnsi="宋体" w:cs="宋体"/>
          <w:b/>
          <w:bCs/>
          <w:color w:val="auto"/>
          <w:sz w:val="30"/>
          <w:szCs w:val="30"/>
        </w:rPr>
        <w:t xml:space="preserve"> </w:t>
      </w:r>
    </w:p>
    <w:p>
      <w:pPr>
        <w:pStyle w:val="24"/>
        <w:snapToGrid w:val="0"/>
        <w:spacing w:before="120" w:after="120" w:line="360" w:lineRule="auto"/>
        <w:ind w:firstLine="1494" w:firstLineChars="496"/>
        <w:rPr>
          <w:rFonts w:hAnsi="宋体" w:cs="宋体"/>
          <w:b/>
          <w:bCs/>
          <w:color w:val="auto"/>
          <w:sz w:val="30"/>
          <w:szCs w:val="30"/>
        </w:rPr>
      </w:pPr>
      <w:r>
        <w:rPr>
          <w:rFonts w:hint="eastAsia" w:hAnsi="宋体" w:cs="宋体"/>
          <w:b/>
          <w:bCs/>
          <w:color w:val="auto"/>
          <w:sz w:val="30"/>
          <w:szCs w:val="30"/>
        </w:rPr>
        <w:t xml:space="preserve"> </w:t>
      </w:r>
    </w:p>
    <w:p>
      <w:pPr>
        <w:pStyle w:val="24"/>
        <w:snapToGrid w:val="0"/>
        <w:spacing w:before="120" w:after="120" w:line="360" w:lineRule="auto"/>
        <w:ind w:firstLine="1274" w:firstLineChars="423"/>
        <w:rPr>
          <w:rFonts w:hAnsi="宋体" w:cs="宋体"/>
          <w:b/>
          <w:bCs/>
          <w:color w:val="auto"/>
          <w:sz w:val="30"/>
          <w:szCs w:val="30"/>
        </w:rPr>
      </w:pPr>
      <w:r>
        <w:rPr>
          <w:rFonts w:hint="eastAsia" w:hAnsi="宋体" w:cs="宋体"/>
          <w:b/>
          <w:bCs/>
          <w:color w:val="auto"/>
          <w:sz w:val="30"/>
          <w:szCs w:val="30"/>
        </w:rPr>
        <w:t>项目编号：HXCTGX-CHZB-2023-022</w:t>
      </w:r>
    </w:p>
    <w:p>
      <w:pPr>
        <w:snapToGrid w:val="0"/>
        <w:spacing w:beforeLines="50" w:line="360" w:lineRule="auto"/>
        <w:ind w:left="2609" w:leftChars="603" w:hanging="1343" w:hangingChars="446"/>
        <w:rPr>
          <w:rFonts w:ascii="宋体" w:hAnsi="宋体" w:cs="宋体"/>
          <w:b/>
          <w:bCs/>
          <w:color w:val="auto"/>
          <w:sz w:val="30"/>
          <w:szCs w:val="30"/>
        </w:rPr>
      </w:pPr>
      <w:r>
        <w:rPr>
          <w:rFonts w:hint="eastAsia" w:ascii="宋体" w:hAnsi="宋体" w:cs="宋体"/>
          <w:b/>
          <w:bCs/>
          <w:color w:val="auto"/>
          <w:sz w:val="30"/>
          <w:szCs w:val="30"/>
        </w:rPr>
        <w:t>项目名称：多参数生物反馈仪采购项目</w:t>
      </w:r>
    </w:p>
    <w:p>
      <w:pPr>
        <w:snapToGrid w:val="0"/>
        <w:spacing w:beforeLines="50" w:line="360" w:lineRule="auto"/>
        <w:ind w:firstLine="1274" w:firstLineChars="423"/>
        <w:rPr>
          <w:rFonts w:ascii="宋体" w:hAnsi="宋体" w:cs="宋体"/>
          <w:b/>
          <w:bCs/>
          <w:color w:val="auto"/>
          <w:sz w:val="30"/>
          <w:szCs w:val="30"/>
        </w:rPr>
      </w:pPr>
      <w:r>
        <w:rPr>
          <w:rFonts w:hint="eastAsia" w:ascii="宋体" w:hAnsi="宋体" w:cs="宋体"/>
          <w:b/>
          <w:bCs/>
          <w:color w:val="auto"/>
          <w:sz w:val="30"/>
          <w:szCs w:val="30"/>
        </w:rPr>
        <w:t>采 购 人：广西中医药大学第一附属医院</w:t>
      </w:r>
    </w:p>
    <w:p>
      <w:pPr>
        <w:snapToGrid w:val="0"/>
        <w:spacing w:beforeLines="50" w:line="360" w:lineRule="auto"/>
        <w:ind w:firstLine="1506" w:firstLineChars="500"/>
        <w:rPr>
          <w:rFonts w:ascii="宋体" w:hAnsi="宋体" w:cs="宋体"/>
          <w:b/>
          <w:bCs/>
          <w:color w:val="auto"/>
          <w:sz w:val="30"/>
          <w:szCs w:val="30"/>
        </w:rPr>
      </w:pPr>
      <w:r>
        <w:rPr>
          <w:rFonts w:hint="eastAsia" w:ascii="宋体" w:hAnsi="宋体" w:cs="宋体"/>
          <w:b/>
          <w:bCs/>
          <w:color w:val="auto"/>
          <w:sz w:val="30"/>
          <w:szCs w:val="30"/>
        </w:rPr>
        <w:t xml:space="preserve"> </w:t>
      </w:r>
    </w:p>
    <w:p>
      <w:pPr>
        <w:snapToGrid w:val="0"/>
        <w:spacing w:beforeLines="50" w:line="360" w:lineRule="auto"/>
        <w:ind w:firstLine="1506" w:firstLineChars="500"/>
        <w:rPr>
          <w:rFonts w:ascii="宋体" w:hAnsi="宋体" w:cs="宋体"/>
          <w:b/>
          <w:bCs/>
          <w:color w:val="auto"/>
          <w:sz w:val="30"/>
          <w:szCs w:val="30"/>
        </w:rPr>
      </w:pPr>
      <w:r>
        <w:rPr>
          <w:rFonts w:hint="eastAsia" w:ascii="宋体" w:hAnsi="宋体" w:cs="宋体"/>
          <w:b/>
          <w:bCs/>
          <w:color w:val="auto"/>
          <w:sz w:val="30"/>
          <w:szCs w:val="30"/>
        </w:rPr>
        <w:t xml:space="preserve"> </w:t>
      </w:r>
    </w:p>
    <w:p>
      <w:pPr>
        <w:snapToGrid w:val="0"/>
        <w:spacing w:beforeLines="50" w:line="360" w:lineRule="auto"/>
        <w:ind w:firstLine="1506" w:firstLineChars="500"/>
        <w:rPr>
          <w:rFonts w:ascii="宋体" w:hAnsi="宋体" w:cs="宋体"/>
          <w:b/>
          <w:bCs/>
          <w:color w:val="auto"/>
          <w:sz w:val="30"/>
          <w:szCs w:val="30"/>
        </w:rPr>
      </w:pPr>
    </w:p>
    <w:p>
      <w:pPr>
        <w:snapToGrid w:val="0"/>
        <w:spacing w:beforeLines="50" w:line="360" w:lineRule="auto"/>
        <w:ind w:firstLine="1506" w:firstLineChars="500"/>
        <w:rPr>
          <w:rFonts w:ascii="宋体" w:hAnsi="宋体" w:cs="宋体"/>
          <w:b/>
          <w:bCs/>
          <w:color w:val="auto"/>
          <w:sz w:val="30"/>
          <w:szCs w:val="30"/>
        </w:rPr>
      </w:pPr>
    </w:p>
    <w:p>
      <w:pPr>
        <w:snapToGrid w:val="0"/>
        <w:spacing w:beforeLines="50" w:line="360" w:lineRule="auto"/>
        <w:ind w:firstLine="1506" w:firstLineChars="500"/>
        <w:rPr>
          <w:rFonts w:ascii="宋体" w:hAnsi="宋体" w:cs="宋体"/>
          <w:b/>
          <w:bCs/>
          <w:color w:val="auto"/>
          <w:sz w:val="30"/>
          <w:szCs w:val="30"/>
        </w:rPr>
      </w:pPr>
      <w:r>
        <w:rPr>
          <w:rFonts w:hint="eastAsia" w:ascii="宋体" w:hAnsi="宋体" w:cs="宋体"/>
          <w:b/>
          <w:bCs/>
          <w:color w:val="auto"/>
          <w:sz w:val="30"/>
          <w:szCs w:val="30"/>
        </w:rPr>
        <w:t xml:space="preserve"> </w:t>
      </w:r>
    </w:p>
    <w:p>
      <w:pPr>
        <w:snapToGrid w:val="0"/>
        <w:spacing w:beforeLines="50" w:line="360" w:lineRule="auto"/>
        <w:ind w:firstLine="1506" w:firstLineChars="500"/>
        <w:rPr>
          <w:rFonts w:ascii="宋体" w:hAnsi="宋体" w:cs="宋体"/>
          <w:b/>
          <w:bCs/>
          <w:color w:val="auto"/>
          <w:sz w:val="30"/>
          <w:szCs w:val="30"/>
        </w:rPr>
      </w:pPr>
    </w:p>
    <w:p>
      <w:pPr>
        <w:snapToGrid w:val="0"/>
        <w:spacing w:beforeLines="50" w:line="360" w:lineRule="auto"/>
        <w:ind w:firstLine="1506" w:firstLineChars="500"/>
        <w:rPr>
          <w:rFonts w:ascii="宋体" w:hAnsi="宋体" w:cs="宋体"/>
          <w:b/>
          <w:bCs/>
          <w:color w:val="auto"/>
          <w:sz w:val="30"/>
          <w:szCs w:val="30"/>
        </w:rPr>
      </w:pPr>
      <w:r>
        <w:rPr>
          <w:rFonts w:hint="eastAsia" w:ascii="宋体" w:hAnsi="宋体" w:cs="宋体"/>
          <w:b/>
          <w:bCs/>
          <w:color w:val="auto"/>
          <w:sz w:val="30"/>
          <w:szCs w:val="30"/>
        </w:rPr>
        <w:t>采购代理机构：华夏城投项目管理有限公司</w:t>
      </w:r>
    </w:p>
    <w:p>
      <w:pPr>
        <w:snapToGrid w:val="0"/>
        <w:spacing w:beforeLines="50" w:line="360" w:lineRule="auto"/>
        <w:jc w:val="center"/>
        <w:rPr>
          <w:rFonts w:ascii="宋体" w:hAnsi="宋体" w:cs="宋体"/>
          <w:b/>
          <w:bCs/>
          <w:color w:val="auto"/>
          <w:sz w:val="30"/>
          <w:szCs w:val="30"/>
        </w:rPr>
      </w:pPr>
      <w:r>
        <w:rPr>
          <w:rFonts w:hint="eastAsia" w:ascii="宋体" w:hAnsi="宋体" w:cs="宋体"/>
          <w:b/>
          <w:bCs/>
          <w:color w:val="auto"/>
          <w:sz w:val="30"/>
          <w:szCs w:val="30"/>
        </w:rPr>
        <w:t>2023年10月</w:t>
      </w: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r>
        <w:rPr>
          <w:rFonts w:hint="eastAsia" w:ascii="宋体" w:hAnsi="宋体" w:cs="宋体"/>
          <w:b/>
          <w:bCs/>
          <w:color w:val="auto"/>
          <w:sz w:val="32"/>
          <w:szCs w:val="32"/>
        </w:rPr>
        <w:t>目录</w:t>
      </w:r>
    </w:p>
    <w:p>
      <w:pPr>
        <w:spacing w:line="400" w:lineRule="exact"/>
        <w:jc w:val="center"/>
        <w:rPr>
          <w:rFonts w:ascii="宋体" w:hAnsi="宋体" w:cs="宋体"/>
          <w:b/>
          <w:bCs/>
          <w:color w:val="auto"/>
          <w:sz w:val="28"/>
          <w:szCs w:val="28"/>
        </w:rPr>
      </w:pPr>
    </w:p>
    <w:p>
      <w:pPr>
        <w:pStyle w:val="32"/>
        <w:tabs>
          <w:tab w:val="right" w:leader="dot" w:pos="9412"/>
        </w:tabs>
        <w:rPr>
          <w:rFonts w:ascii="宋体" w:hAnsi="宋体" w:cs="宋体"/>
          <w:b/>
          <w:bCs/>
          <w:color w:val="auto"/>
          <w:sz w:val="28"/>
          <w:szCs w:val="28"/>
        </w:rPr>
      </w:pP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TOC \o "1-1" \h \u </w:instrText>
      </w:r>
      <w:r>
        <w:rPr>
          <w:rFonts w:hint="eastAsia" w:ascii="宋体" w:hAnsi="宋体" w:cs="宋体"/>
          <w:b/>
          <w:bCs/>
          <w:color w:val="auto"/>
          <w:sz w:val="28"/>
          <w:szCs w:val="28"/>
        </w:rPr>
        <w:fldChar w:fldCharType="separate"/>
      </w:r>
      <w:r>
        <w:rPr>
          <w:color w:val="auto"/>
        </w:rPr>
        <w:fldChar w:fldCharType="begin"/>
      </w:r>
      <w:r>
        <w:rPr>
          <w:color w:val="auto"/>
        </w:rPr>
        <w:instrText xml:space="preserve"> HYPERLINK \l "_Toc29215" </w:instrText>
      </w:r>
      <w:r>
        <w:rPr>
          <w:color w:val="auto"/>
        </w:rPr>
        <w:fldChar w:fldCharType="separate"/>
      </w:r>
      <w:r>
        <w:rPr>
          <w:rFonts w:hint="eastAsia" w:ascii="宋体" w:hAnsi="宋体" w:cs="宋体"/>
          <w:b/>
          <w:bCs/>
          <w:color w:val="auto"/>
          <w:sz w:val="28"/>
          <w:szCs w:val="28"/>
        </w:rPr>
        <w:t>第一章  竞争性磋商公告</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_Toc29215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1</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32"/>
        <w:tabs>
          <w:tab w:val="right" w:leader="dot" w:pos="9412"/>
        </w:tabs>
        <w:rPr>
          <w:rFonts w:ascii="宋体" w:hAnsi="宋体" w:cs="宋体"/>
          <w:b/>
          <w:bCs/>
          <w:color w:val="auto"/>
          <w:sz w:val="28"/>
          <w:szCs w:val="28"/>
        </w:rPr>
      </w:pPr>
      <w:r>
        <w:rPr>
          <w:color w:val="auto"/>
        </w:rPr>
        <w:fldChar w:fldCharType="begin"/>
      </w:r>
      <w:r>
        <w:rPr>
          <w:color w:val="auto"/>
        </w:rPr>
        <w:instrText xml:space="preserve"> HYPERLINK \l "_Toc4890" </w:instrText>
      </w:r>
      <w:r>
        <w:rPr>
          <w:color w:val="auto"/>
        </w:rPr>
        <w:fldChar w:fldCharType="separate"/>
      </w:r>
      <w:r>
        <w:rPr>
          <w:rFonts w:hint="eastAsia" w:ascii="宋体" w:hAnsi="宋体" w:cs="宋体"/>
          <w:b/>
          <w:bCs/>
          <w:color w:val="auto"/>
          <w:sz w:val="28"/>
          <w:szCs w:val="28"/>
        </w:rPr>
        <w:t>第二章  供应商须知</w:t>
      </w:r>
      <w:r>
        <w:rPr>
          <w:rFonts w:hint="eastAsia" w:ascii="宋体" w:hAnsi="宋体" w:cs="宋体"/>
          <w:b/>
          <w:bCs/>
          <w:color w:val="auto"/>
          <w:sz w:val="28"/>
          <w:szCs w:val="28"/>
        </w:rPr>
        <w:tab/>
      </w:r>
      <w:r>
        <w:rPr>
          <w:rFonts w:hint="eastAsia" w:ascii="宋体" w:hAnsi="宋体" w:cs="宋体"/>
          <w:b/>
          <w:bCs/>
          <w:color w:val="auto"/>
          <w:sz w:val="28"/>
          <w:szCs w:val="28"/>
        </w:rPr>
        <w:t>4</w:t>
      </w:r>
      <w:r>
        <w:rPr>
          <w:rFonts w:hint="eastAsia" w:ascii="宋体" w:hAnsi="宋体" w:cs="宋体"/>
          <w:b/>
          <w:bCs/>
          <w:color w:val="auto"/>
          <w:sz w:val="28"/>
          <w:szCs w:val="28"/>
        </w:rPr>
        <w:fldChar w:fldCharType="end"/>
      </w:r>
    </w:p>
    <w:p>
      <w:pPr>
        <w:pStyle w:val="32"/>
        <w:tabs>
          <w:tab w:val="right" w:leader="dot" w:pos="9412"/>
        </w:tabs>
        <w:rPr>
          <w:rFonts w:ascii="宋体" w:hAnsi="宋体" w:cs="宋体"/>
          <w:b/>
          <w:bCs/>
          <w:color w:val="auto"/>
          <w:sz w:val="28"/>
          <w:szCs w:val="28"/>
        </w:rPr>
      </w:pPr>
      <w:r>
        <w:rPr>
          <w:color w:val="auto"/>
        </w:rPr>
        <w:fldChar w:fldCharType="begin"/>
      </w:r>
      <w:r>
        <w:rPr>
          <w:color w:val="auto"/>
        </w:rPr>
        <w:instrText xml:space="preserve"> HYPERLINK \l "_Toc14321" </w:instrText>
      </w:r>
      <w:r>
        <w:rPr>
          <w:color w:val="auto"/>
        </w:rPr>
        <w:fldChar w:fldCharType="separate"/>
      </w:r>
      <w:r>
        <w:rPr>
          <w:rFonts w:hint="eastAsia" w:ascii="宋体" w:hAnsi="宋体" w:cs="宋体"/>
          <w:b/>
          <w:bCs/>
          <w:color w:val="auto"/>
          <w:sz w:val="28"/>
          <w:szCs w:val="28"/>
        </w:rPr>
        <w:t>第三章  采购需求</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_Toc14321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15</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32"/>
        <w:tabs>
          <w:tab w:val="right" w:leader="dot" w:pos="9412"/>
        </w:tabs>
        <w:rPr>
          <w:rFonts w:ascii="宋体" w:hAnsi="宋体" w:cs="宋体"/>
          <w:b/>
          <w:bCs/>
          <w:color w:val="auto"/>
          <w:sz w:val="28"/>
          <w:szCs w:val="28"/>
        </w:rPr>
      </w:pPr>
      <w:r>
        <w:rPr>
          <w:color w:val="auto"/>
        </w:rPr>
        <w:fldChar w:fldCharType="begin"/>
      </w:r>
      <w:r>
        <w:rPr>
          <w:color w:val="auto"/>
        </w:rPr>
        <w:instrText xml:space="preserve"> HYPERLINK \l "_Toc25028" </w:instrText>
      </w:r>
      <w:r>
        <w:rPr>
          <w:color w:val="auto"/>
        </w:rPr>
        <w:fldChar w:fldCharType="separate"/>
      </w:r>
      <w:r>
        <w:rPr>
          <w:rFonts w:hint="eastAsia" w:ascii="宋体" w:hAnsi="宋体" w:cs="宋体"/>
          <w:b/>
          <w:bCs/>
          <w:color w:val="auto"/>
          <w:sz w:val="28"/>
          <w:szCs w:val="28"/>
        </w:rPr>
        <w:t>第四章  竞争性磋商响应文件格式</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_Toc25028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21</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32"/>
        <w:tabs>
          <w:tab w:val="right" w:leader="dot" w:pos="9412"/>
        </w:tabs>
        <w:rPr>
          <w:rFonts w:ascii="宋体" w:hAnsi="宋体" w:cs="宋体"/>
          <w:b/>
          <w:bCs/>
          <w:color w:val="auto"/>
          <w:sz w:val="28"/>
          <w:szCs w:val="28"/>
        </w:rPr>
      </w:pPr>
      <w:r>
        <w:rPr>
          <w:color w:val="auto"/>
        </w:rPr>
        <w:fldChar w:fldCharType="begin"/>
      </w:r>
      <w:r>
        <w:rPr>
          <w:color w:val="auto"/>
        </w:rPr>
        <w:instrText xml:space="preserve"> HYPERLINK \l "_Toc19509" </w:instrText>
      </w:r>
      <w:r>
        <w:rPr>
          <w:color w:val="auto"/>
        </w:rPr>
        <w:fldChar w:fldCharType="separate"/>
      </w:r>
      <w:r>
        <w:rPr>
          <w:rFonts w:hint="eastAsia" w:ascii="宋体" w:hAnsi="宋体" w:cs="宋体"/>
          <w:b/>
          <w:bCs/>
          <w:color w:val="auto"/>
          <w:sz w:val="28"/>
          <w:szCs w:val="28"/>
        </w:rPr>
        <w:t>第五章  合同主要条款</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_Toc19509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21</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32"/>
        <w:tabs>
          <w:tab w:val="right" w:leader="dot" w:pos="9412"/>
        </w:tabs>
        <w:rPr>
          <w:rFonts w:ascii="宋体" w:hAnsi="宋体" w:cs="宋体"/>
          <w:b/>
          <w:bCs/>
          <w:color w:val="auto"/>
          <w:sz w:val="28"/>
          <w:szCs w:val="28"/>
        </w:rPr>
      </w:pPr>
      <w:r>
        <w:rPr>
          <w:color w:val="auto"/>
        </w:rPr>
        <w:fldChar w:fldCharType="begin"/>
      </w:r>
      <w:r>
        <w:rPr>
          <w:color w:val="auto"/>
        </w:rPr>
        <w:instrText xml:space="preserve"> HYPERLINK \l "_Toc598" </w:instrText>
      </w:r>
      <w:r>
        <w:rPr>
          <w:color w:val="auto"/>
        </w:rPr>
        <w:fldChar w:fldCharType="separate"/>
      </w:r>
      <w:r>
        <w:rPr>
          <w:rFonts w:hint="eastAsia" w:ascii="宋体" w:hAnsi="宋体" w:cs="宋体"/>
          <w:b/>
          <w:bCs/>
          <w:color w:val="auto"/>
          <w:sz w:val="28"/>
          <w:szCs w:val="28"/>
        </w:rPr>
        <w:t>第六章  评标方法及评分标准</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_Toc598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43</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32"/>
        <w:jc w:val="center"/>
        <w:rPr>
          <w:rFonts w:ascii="宋体" w:hAnsi="宋体" w:cs="宋体"/>
          <w:b/>
          <w:bCs/>
          <w:color w:val="auto"/>
          <w:sz w:val="28"/>
          <w:szCs w:val="28"/>
        </w:rPr>
      </w:pPr>
      <w:r>
        <w:rPr>
          <w:rFonts w:hint="eastAsia" w:ascii="宋体" w:hAnsi="宋体" w:cs="宋体"/>
          <w:b/>
          <w:bCs/>
          <w:color w:val="auto"/>
          <w:sz w:val="28"/>
          <w:szCs w:val="28"/>
        </w:rPr>
        <w:fldChar w:fldCharType="end"/>
      </w:r>
    </w:p>
    <w:p>
      <w:pPr>
        <w:spacing w:line="400" w:lineRule="exact"/>
        <w:rPr>
          <w:rFonts w:ascii="宋体" w:hAnsi="宋体" w:cs="宋体"/>
          <w:b/>
          <w:bCs/>
          <w:color w:val="auto"/>
          <w:sz w:val="28"/>
          <w:szCs w:val="28"/>
        </w:rPr>
      </w:pPr>
      <w:r>
        <w:rPr>
          <w:rFonts w:hint="eastAsia" w:ascii="宋体" w:hAnsi="宋体" w:cs="宋体"/>
          <w:b/>
          <w:bCs/>
          <w:color w:val="auto"/>
          <w:sz w:val="28"/>
          <w:szCs w:val="28"/>
        </w:rPr>
        <w:t xml:space="preserve"> </w:t>
      </w:r>
    </w:p>
    <w:p>
      <w:pPr>
        <w:pStyle w:val="5"/>
        <w:keepLines w:val="0"/>
        <w:pageBreakBefore/>
        <w:spacing w:line="280" w:lineRule="exact"/>
        <w:jc w:val="center"/>
        <w:rPr>
          <w:rFonts w:ascii="宋体" w:hAnsi="宋体" w:cs="宋体"/>
          <w:color w:val="auto"/>
        </w:rPr>
        <w:sectPr>
          <w:headerReference r:id="rId4" w:type="first"/>
          <w:footerReference r:id="rId5" w:type="first"/>
          <w:headerReference r:id="rId3" w:type="default"/>
          <w:pgSz w:w="11906" w:h="16838"/>
          <w:pgMar w:top="1247" w:right="1247" w:bottom="1247" w:left="1247" w:header="851" w:footer="992" w:gutter="0"/>
          <w:pgNumType w:start="0"/>
          <w:cols w:space="720" w:num="1"/>
          <w:titlePg/>
          <w:docGrid w:type="lines" w:linePitch="312" w:charSpace="0"/>
        </w:sectPr>
      </w:pPr>
      <w:bookmarkStart w:id="0" w:name="_Toc18481384"/>
      <w:bookmarkEnd w:id="0"/>
    </w:p>
    <w:p>
      <w:pPr>
        <w:pStyle w:val="5"/>
        <w:jc w:val="center"/>
        <w:rPr>
          <w:rFonts w:ascii="宋体" w:hAnsi="宋体" w:cs="宋体"/>
          <w:color w:val="auto"/>
        </w:rPr>
      </w:pPr>
      <w:bookmarkStart w:id="1" w:name="_Toc29215"/>
      <w:bookmarkStart w:id="2" w:name="_Toc1470"/>
      <w:bookmarkStart w:id="3" w:name="_Toc4890"/>
      <w:bookmarkStart w:id="4" w:name="_Toc11348"/>
      <w:r>
        <w:rPr>
          <w:rFonts w:hint="eastAsia" w:ascii="宋体" w:hAnsi="宋体" w:cs="宋体"/>
          <w:color w:val="auto"/>
        </w:rPr>
        <w:t>第一章  竞争性磋商公告</w:t>
      </w:r>
      <w:bookmarkEnd w:id="1"/>
      <w:bookmarkEnd w:id="2"/>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80" w:lineRule="exact"/>
              <w:ind w:left="0" w:right="0"/>
              <w:rPr>
                <w:rFonts w:hint="default" w:ascii="宋体" w:hAnsi="宋体" w:cs="宋体"/>
                <w:bCs/>
                <w:color w:val="auto"/>
                <w:kern w:val="0"/>
              </w:rPr>
            </w:pPr>
            <w:r>
              <w:rPr>
                <w:rFonts w:hint="eastAsia" w:ascii="宋体" w:hAnsi="宋体" w:cs="宋体"/>
                <w:bCs/>
                <w:color w:val="auto"/>
                <w:kern w:val="0"/>
              </w:rPr>
              <w:t>项目概况</w:t>
            </w:r>
          </w:p>
          <w:p>
            <w:pPr>
              <w:keepNext w:val="0"/>
              <w:keepLines w:val="0"/>
              <w:suppressLineNumbers w:val="0"/>
              <w:spacing w:before="0" w:beforeAutospacing="0" w:after="0" w:afterAutospacing="0" w:line="380" w:lineRule="exact"/>
              <w:ind w:left="0" w:right="0"/>
              <w:rPr>
                <w:rFonts w:hint="default" w:ascii="宋体" w:hAnsi="宋体" w:cs="宋体"/>
                <w:bCs/>
                <w:color w:val="auto"/>
                <w:kern w:val="0"/>
              </w:rPr>
            </w:pPr>
            <w:r>
              <w:rPr>
                <w:rFonts w:hint="eastAsia" w:ascii="宋体" w:hAnsi="宋体" w:cs="宋体"/>
                <w:bCs/>
                <w:color w:val="auto"/>
                <w:kern w:val="0"/>
              </w:rPr>
              <w:t xml:space="preserve">   </w:t>
            </w:r>
            <w:r>
              <w:rPr>
                <w:rFonts w:hint="eastAsia" w:ascii="宋体" w:hAnsi="宋体" w:cs="宋体"/>
                <w:bCs/>
                <w:color w:val="auto"/>
                <w:kern w:val="0"/>
                <w:u w:val="single"/>
              </w:rPr>
              <w:t>多参数生物反馈仪采购项目</w:t>
            </w:r>
            <w:r>
              <w:rPr>
                <w:rFonts w:hint="eastAsia" w:ascii="宋体" w:hAnsi="宋体" w:cs="宋体"/>
                <w:bCs/>
                <w:color w:val="auto"/>
                <w:kern w:val="0"/>
              </w:rPr>
              <w:t>的潜在供应商应在</w:t>
            </w:r>
            <w:r>
              <w:rPr>
                <w:rFonts w:hint="eastAsia" w:ascii="宋体" w:hAnsi="宋体" w:cs="宋体"/>
                <w:color w:val="auto"/>
                <w:u w:val="single"/>
              </w:rPr>
              <w:t>华夏城投项目管理有限公司（南宁市东葛路118号青秀万达写字楼银座8楼808室）</w:t>
            </w:r>
            <w:r>
              <w:rPr>
                <w:rFonts w:hint="eastAsia" w:ascii="宋体" w:hAnsi="宋体" w:cs="宋体"/>
                <w:bCs/>
                <w:color w:val="auto"/>
                <w:kern w:val="0"/>
              </w:rPr>
              <w:t>获取采购文件，并于2023年</w:t>
            </w:r>
            <w:r>
              <w:rPr>
                <w:rFonts w:hint="eastAsia" w:ascii="宋体" w:hAnsi="宋体" w:cs="宋体"/>
                <w:bCs/>
                <w:color w:val="auto"/>
                <w:kern w:val="0"/>
                <w:lang w:val="en-US" w:eastAsia="zh-CN"/>
              </w:rPr>
              <w:t>10</w:t>
            </w:r>
            <w:r>
              <w:rPr>
                <w:rFonts w:hint="eastAsia" w:ascii="宋体" w:hAnsi="宋体" w:cs="宋体"/>
                <w:bCs/>
                <w:color w:val="auto"/>
                <w:kern w:val="0"/>
              </w:rPr>
              <w:t>月</w:t>
            </w:r>
            <w:r>
              <w:rPr>
                <w:rFonts w:hint="eastAsia" w:ascii="宋体" w:hAnsi="宋体" w:cs="宋体"/>
                <w:bCs/>
                <w:color w:val="auto"/>
                <w:kern w:val="0"/>
                <w:lang w:val="en-US" w:eastAsia="zh-CN"/>
              </w:rPr>
              <w:t>24</w:t>
            </w:r>
            <w:r>
              <w:rPr>
                <w:rFonts w:hint="eastAsia" w:ascii="宋体" w:hAnsi="宋体" w:cs="宋体"/>
                <w:bCs/>
                <w:color w:val="auto"/>
                <w:kern w:val="0"/>
              </w:rPr>
              <w:t>日09:30（北京时间）前提交响应文件。</w:t>
            </w:r>
          </w:p>
        </w:tc>
      </w:tr>
    </w:tbl>
    <w:p>
      <w:pPr>
        <w:pStyle w:val="37"/>
        <w:snapToGrid w:val="0"/>
        <w:spacing w:before="0" w:beforeAutospacing="0" w:after="0" w:afterAutospacing="0" w:line="360" w:lineRule="auto"/>
        <w:jc w:val="both"/>
        <w:rPr>
          <w:rStyle w:val="43"/>
          <w:color w:val="auto"/>
          <w:sz w:val="21"/>
          <w:szCs w:val="21"/>
        </w:rPr>
      </w:pPr>
      <w:bookmarkStart w:id="5" w:name="_Toc35393629"/>
      <w:bookmarkEnd w:id="5"/>
      <w:bookmarkStart w:id="6" w:name="_Toc28359012"/>
      <w:bookmarkEnd w:id="6"/>
      <w:bookmarkStart w:id="7" w:name="_Toc28359089"/>
      <w:bookmarkEnd w:id="7"/>
      <w:bookmarkStart w:id="8" w:name="_Toc35393798"/>
      <w:bookmarkEnd w:id="8"/>
    </w:p>
    <w:p>
      <w:pPr>
        <w:pStyle w:val="37"/>
        <w:snapToGrid w:val="0"/>
        <w:spacing w:before="0" w:beforeAutospacing="0" w:after="0" w:afterAutospacing="0" w:line="360" w:lineRule="auto"/>
        <w:jc w:val="both"/>
        <w:rPr>
          <w:color w:val="auto"/>
          <w:sz w:val="21"/>
          <w:szCs w:val="21"/>
        </w:rPr>
      </w:pPr>
      <w:r>
        <w:rPr>
          <w:rStyle w:val="43"/>
          <w:rFonts w:hint="eastAsia"/>
          <w:color w:val="auto"/>
          <w:sz w:val="21"/>
          <w:szCs w:val="21"/>
        </w:rPr>
        <w:t>一、项目基本情况</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项目编号：HXCTGX-CHZB-2023-022</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项目名称：多参数生物反馈仪采购项目</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采购方式：竞争性磋商</w:t>
      </w:r>
    </w:p>
    <w:p>
      <w:pPr>
        <w:pStyle w:val="37"/>
        <w:snapToGrid w:val="0"/>
        <w:spacing w:before="0" w:beforeAutospacing="0" w:after="0" w:afterAutospacing="0" w:line="360" w:lineRule="auto"/>
        <w:ind w:firstLine="420" w:firstLineChars="200"/>
        <w:rPr>
          <w:bCs/>
          <w:color w:val="auto"/>
          <w:kern w:val="2"/>
          <w:sz w:val="21"/>
          <w:szCs w:val="21"/>
        </w:rPr>
      </w:pPr>
      <w:r>
        <w:rPr>
          <w:rFonts w:hint="eastAsia"/>
          <w:color w:val="auto"/>
          <w:sz w:val="21"/>
          <w:szCs w:val="21"/>
        </w:rPr>
        <w:t>预算总金额（元）：</w:t>
      </w:r>
      <w:r>
        <w:rPr>
          <w:rFonts w:hint="eastAsia"/>
          <w:bCs/>
          <w:color w:val="auto"/>
          <w:kern w:val="2"/>
          <w:sz w:val="21"/>
          <w:szCs w:val="21"/>
        </w:rPr>
        <w:t>388000.00</w:t>
      </w:r>
    </w:p>
    <w:p>
      <w:pPr>
        <w:pStyle w:val="37"/>
        <w:snapToGrid w:val="0"/>
        <w:spacing w:before="0" w:beforeAutospacing="0" w:after="0" w:afterAutospacing="0" w:line="360" w:lineRule="auto"/>
        <w:ind w:firstLine="420" w:firstLineChars="200"/>
        <w:rPr>
          <w:bCs/>
          <w:color w:val="auto"/>
          <w:kern w:val="2"/>
          <w:sz w:val="21"/>
          <w:szCs w:val="21"/>
        </w:rPr>
      </w:pPr>
      <w:r>
        <w:rPr>
          <w:rFonts w:hint="eastAsia"/>
          <w:bCs/>
          <w:color w:val="auto"/>
          <w:kern w:val="2"/>
          <w:sz w:val="21"/>
          <w:szCs w:val="21"/>
        </w:rPr>
        <w:t>最高限价（元）：388000.00</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采购需求：</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75"/>
        <w:gridCol w:w="1325"/>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37"/>
              <w:keepNext w:val="0"/>
              <w:keepLines w:val="0"/>
              <w:suppressLineNumbers w:val="0"/>
              <w:snapToGrid w:val="0"/>
              <w:spacing w:before="0" w:beforeAutospacing="0" w:after="0" w:afterAutospacing="0" w:line="360" w:lineRule="auto"/>
              <w:ind w:left="0" w:right="0"/>
              <w:jc w:val="center"/>
              <w:rPr>
                <w:rFonts w:hint="default"/>
                <w:color w:val="auto"/>
                <w:sz w:val="21"/>
                <w:szCs w:val="21"/>
              </w:rPr>
            </w:pPr>
            <w:r>
              <w:rPr>
                <w:rFonts w:hint="eastAsia"/>
                <w:color w:val="auto"/>
                <w:sz w:val="21"/>
                <w:szCs w:val="21"/>
              </w:rPr>
              <w:t>序号</w:t>
            </w:r>
          </w:p>
        </w:tc>
        <w:tc>
          <w:tcPr>
            <w:tcW w:w="1675" w:type="dxa"/>
            <w:vAlign w:val="center"/>
          </w:tcPr>
          <w:p>
            <w:pPr>
              <w:pStyle w:val="37"/>
              <w:keepNext w:val="0"/>
              <w:keepLines w:val="0"/>
              <w:suppressLineNumbers w:val="0"/>
              <w:snapToGrid w:val="0"/>
              <w:spacing w:before="0" w:beforeAutospacing="0" w:after="0" w:afterAutospacing="0" w:line="360" w:lineRule="auto"/>
              <w:ind w:left="0" w:right="0"/>
              <w:jc w:val="center"/>
              <w:rPr>
                <w:rFonts w:hint="default"/>
                <w:color w:val="auto"/>
                <w:sz w:val="21"/>
                <w:szCs w:val="21"/>
              </w:rPr>
            </w:pPr>
            <w:r>
              <w:rPr>
                <w:rFonts w:hint="eastAsia"/>
                <w:color w:val="auto"/>
                <w:sz w:val="21"/>
                <w:szCs w:val="21"/>
              </w:rPr>
              <w:t>标的的名称</w:t>
            </w:r>
          </w:p>
        </w:tc>
        <w:tc>
          <w:tcPr>
            <w:tcW w:w="1325" w:type="dxa"/>
            <w:vAlign w:val="center"/>
          </w:tcPr>
          <w:p>
            <w:pPr>
              <w:pStyle w:val="37"/>
              <w:keepNext w:val="0"/>
              <w:keepLines w:val="0"/>
              <w:suppressLineNumbers w:val="0"/>
              <w:snapToGrid w:val="0"/>
              <w:spacing w:before="0" w:beforeAutospacing="0" w:after="0" w:afterAutospacing="0" w:line="360" w:lineRule="auto"/>
              <w:ind w:left="0" w:right="0"/>
              <w:jc w:val="center"/>
              <w:rPr>
                <w:rFonts w:hint="default"/>
                <w:color w:val="auto"/>
                <w:sz w:val="21"/>
                <w:szCs w:val="21"/>
              </w:rPr>
            </w:pPr>
            <w:r>
              <w:rPr>
                <w:rFonts w:hint="eastAsia"/>
                <w:color w:val="auto"/>
                <w:sz w:val="21"/>
                <w:szCs w:val="21"/>
              </w:rPr>
              <w:t>数量及单位</w:t>
            </w:r>
          </w:p>
        </w:tc>
        <w:tc>
          <w:tcPr>
            <w:tcW w:w="5908" w:type="dxa"/>
            <w:vAlign w:val="center"/>
          </w:tcPr>
          <w:p>
            <w:pPr>
              <w:pStyle w:val="37"/>
              <w:keepNext w:val="0"/>
              <w:keepLines w:val="0"/>
              <w:suppressLineNumbers w:val="0"/>
              <w:snapToGrid w:val="0"/>
              <w:spacing w:before="0" w:beforeAutospacing="0" w:after="0" w:afterAutospacing="0" w:line="360" w:lineRule="auto"/>
              <w:ind w:left="0" w:right="0"/>
              <w:jc w:val="center"/>
              <w:rPr>
                <w:rFonts w:hint="default"/>
                <w:color w:val="auto"/>
                <w:sz w:val="21"/>
                <w:szCs w:val="21"/>
              </w:rPr>
            </w:pPr>
            <w:r>
              <w:rPr>
                <w:rFonts w:hint="eastAsia"/>
                <w:color w:val="auto"/>
                <w:sz w:val="21"/>
                <w:szCs w:val="21"/>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37"/>
              <w:keepNext w:val="0"/>
              <w:keepLines w:val="0"/>
              <w:suppressLineNumbers w:val="0"/>
              <w:snapToGrid w:val="0"/>
              <w:spacing w:before="0" w:beforeAutospacing="0" w:after="0" w:afterAutospacing="0" w:line="360" w:lineRule="auto"/>
              <w:ind w:left="0" w:right="0"/>
              <w:jc w:val="center"/>
              <w:rPr>
                <w:rFonts w:hint="default"/>
                <w:color w:val="auto"/>
                <w:sz w:val="21"/>
                <w:szCs w:val="21"/>
              </w:rPr>
            </w:pPr>
            <w:r>
              <w:rPr>
                <w:rFonts w:hint="eastAsia"/>
                <w:color w:val="auto"/>
                <w:sz w:val="21"/>
                <w:szCs w:val="21"/>
              </w:rPr>
              <w:t>1</w:t>
            </w:r>
          </w:p>
        </w:tc>
        <w:tc>
          <w:tcPr>
            <w:tcW w:w="1675" w:type="dxa"/>
            <w:vAlign w:val="center"/>
          </w:tcPr>
          <w:p>
            <w:pPr>
              <w:pStyle w:val="37"/>
              <w:keepNext w:val="0"/>
              <w:keepLines w:val="0"/>
              <w:suppressLineNumbers w:val="0"/>
              <w:snapToGrid w:val="0"/>
              <w:spacing w:before="0" w:beforeAutospacing="0" w:after="0" w:afterAutospacing="0" w:line="360" w:lineRule="auto"/>
              <w:ind w:left="0" w:right="0"/>
              <w:jc w:val="center"/>
              <w:rPr>
                <w:rFonts w:hint="default"/>
                <w:color w:val="auto"/>
                <w:sz w:val="21"/>
                <w:szCs w:val="21"/>
              </w:rPr>
            </w:pPr>
            <w:r>
              <w:rPr>
                <w:rFonts w:hint="eastAsia"/>
                <w:color w:val="auto"/>
                <w:sz w:val="21"/>
                <w:szCs w:val="21"/>
              </w:rPr>
              <w:t>多参数生物反馈仪</w:t>
            </w:r>
          </w:p>
        </w:tc>
        <w:tc>
          <w:tcPr>
            <w:tcW w:w="1325" w:type="dxa"/>
            <w:vAlign w:val="center"/>
          </w:tcPr>
          <w:p>
            <w:pPr>
              <w:pStyle w:val="37"/>
              <w:keepNext w:val="0"/>
              <w:keepLines w:val="0"/>
              <w:suppressLineNumbers w:val="0"/>
              <w:snapToGrid w:val="0"/>
              <w:spacing w:before="0" w:beforeAutospacing="0" w:after="0" w:afterAutospacing="0" w:line="360" w:lineRule="auto"/>
              <w:ind w:left="0" w:right="0"/>
              <w:jc w:val="center"/>
              <w:rPr>
                <w:rFonts w:hint="default"/>
                <w:color w:val="auto"/>
                <w:sz w:val="21"/>
                <w:szCs w:val="21"/>
              </w:rPr>
            </w:pPr>
            <w:r>
              <w:rPr>
                <w:rFonts w:hint="eastAsia"/>
                <w:color w:val="auto"/>
                <w:sz w:val="21"/>
                <w:szCs w:val="21"/>
              </w:rPr>
              <w:t>1台</w:t>
            </w:r>
          </w:p>
        </w:tc>
        <w:tc>
          <w:tcPr>
            <w:tcW w:w="5908" w:type="dxa"/>
            <w:vAlign w:val="center"/>
          </w:tcPr>
          <w:p>
            <w:pPr>
              <w:pStyle w:val="37"/>
              <w:keepNext w:val="0"/>
              <w:keepLines w:val="0"/>
              <w:suppressLineNumbers w:val="0"/>
              <w:snapToGrid w:val="0"/>
              <w:spacing w:before="0" w:beforeAutospacing="0" w:after="0" w:afterAutospacing="0" w:line="360" w:lineRule="auto"/>
              <w:ind w:left="0" w:right="0"/>
              <w:rPr>
                <w:rFonts w:hint="default"/>
                <w:color w:val="auto"/>
                <w:sz w:val="21"/>
                <w:szCs w:val="21"/>
              </w:rPr>
            </w:pPr>
            <w:r>
              <w:rPr>
                <w:rFonts w:hint="eastAsia"/>
                <w:color w:val="auto"/>
                <w:sz w:val="21"/>
                <w:szCs w:val="21"/>
              </w:rPr>
              <w:t>多参数生物反馈仪，适用于焦虑症、儿童多动症等神经精神疾病的生物反馈治疗，详见采购文件。</w:t>
            </w:r>
          </w:p>
        </w:tc>
      </w:tr>
    </w:tbl>
    <w:p>
      <w:pPr>
        <w:snapToGrid w:val="0"/>
        <w:spacing w:line="360" w:lineRule="auto"/>
        <w:ind w:firstLine="420" w:firstLineChars="200"/>
        <w:rPr>
          <w:color w:val="auto"/>
        </w:rPr>
      </w:pPr>
      <w:r>
        <w:rPr>
          <w:rFonts w:hint="eastAsia"/>
          <w:color w:val="auto"/>
        </w:rPr>
        <w:t>合同履约期限：</w:t>
      </w:r>
      <w:r>
        <w:rPr>
          <w:rFonts w:hint="eastAsia" w:ascii="宋体" w:hAnsi="宋体" w:cs="宋体"/>
          <w:color w:val="auto"/>
        </w:rPr>
        <w:t>自签订合同之日起30个日历日内交货安装调试完毕并验收合格</w:t>
      </w:r>
      <w:r>
        <w:rPr>
          <w:rFonts w:hint="eastAsia" w:ascii="宋体" w:hAnsi="宋体" w:cs="宋体"/>
          <w:color w:val="auto"/>
        </w:rPr>
        <w:t>。</w:t>
      </w:r>
    </w:p>
    <w:p>
      <w:pPr>
        <w:snapToGrid w:val="0"/>
        <w:spacing w:line="360" w:lineRule="auto"/>
        <w:ind w:firstLine="420" w:firstLineChars="200"/>
        <w:rPr>
          <w:color w:val="auto"/>
        </w:rPr>
      </w:pPr>
      <w:r>
        <w:rPr>
          <w:rFonts w:hint="eastAsia"/>
          <w:color w:val="auto"/>
        </w:rPr>
        <w:t>本项目不接受联合体投标</w:t>
      </w:r>
    </w:p>
    <w:p>
      <w:pPr>
        <w:pStyle w:val="37"/>
        <w:snapToGrid w:val="0"/>
        <w:spacing w:before="0" w:beforeAutospacing="0" w:after="0" w:afterAutospacing="0" w:line="360" w:lineRule="auto"/>
        <w:rPr>
          <w:color w:val="auto"/>
          <w:sz w:val="21"/>
          <w:szCs w:val="21"/>
        </w:rPr>
      </w:pPr>
      <w:r>
        <w:rPr>
          <w:rStyle w:val="43"/>
          <w:rFonts w:hint="eastAsia"/>
          <w:color w:val="auto"/>
          <w:sz w:val="21"/>
          <w:szCs w:val="21"/>
        </w:rPr>
        <w:t>二、申请人的资格要求：</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1.满足《中华人民共和国政府采购法》第二十二条规定；</w:t>
      </w:r>
    </w:p>
    <w:p>
      <w:pPr>
        <w:pStyle w:val="37"/>
        <w:snapToGrid w:val="0"/>
        <w:spacing w:before="0" w:beforeAutospacing="0" w:after="0" w:afterAutospacing="0" w:line="360" w:lineRule="auto"/>
        <w:ind w:firstLine="420" w:firstLineChars="200"/>
        <w:rPr>
          <w:rStyle w:val="124"/>
          <w:color w:val="auto"/>
          <w:sz w:val="21"/>
          <w:szCs w:val="21"/>
        </w:rPr>
      </w:pPr>
      <w:r>
        <w:rPr>
          <w:rFonts w:hint="eastAsia"/>
          <w:color w:val="auto"/>
          <w:sz w:val="21"/>
          <w:szCs w:val="21"/>
        </w:rPr>
        <w:t>2.本项目的特定资格要求：</w:t>
      </w:r>
      <w:r>
        <w:rPr>
          <w:rFonts w:hint="eastAsia" w:ascii="宋体" w:hAnsi="宋体" w:eastAsia="宋体" w:cs="Times New Roman"/>
          <w:color w:val="auto"/>
          <w:kern w:val="2"/>
          <w:sz w:val="21"/>
          <w:szCs w:val="21"/>
          <w:lang w:val="en-US" w:eastAsia="zh-CN" w:bidi="ar"/>
        </w:rPr>
        <w:t>供应商须按《医疗器械监督管理条例》（国务院令第739号）医疗器械分类管理要求具备有效的医疗器械经营备案凭证或者经营许可证，</w:t>
      </w:r>
      <w:r>
        <w:rPr>
          <w:rStyle w:val="124"/>
          <w:rFonts w:hint="eastAsia"/>
          <w:color w:val="auto"/>
          <w:sz w:val="21"/>
          <w:szCs w:val="21"/>
        </w:rPr>
        <w:t>且经营范围必须包含采购标的[符合《医疗器械监督管理条例》第四十一条第二款规定的除外]；或者供应商符合《医疗器械监督管理条例》第四十三条规定具备采购标的有效的医疗器械注册证。</w:t>
      </w:r>
    </w:p>
    <w:p>
      <w:pPr>
        <w:pStyle w:val="37"/>
        <w:snapToGrid w:val="0"/>
        <w:spacing w:before="0" w:beforeAutospacing="0" w:after="0" w:afterAutospacing="0" w:line="360" w:lineRule="auto"/>
        <w:jc w:val="both"/>
        <w:rPr>
          <w:color w:val="auto"/>
          <w:sz w:val="21"/>
          <w:szCs w:val="21"/>
        </w:rPr>
      </w:pPr>
      <w:r>
        <w:rPr>
          <w:rStyle w:val="43"/>
          <w:rFonts w:hint="eastAsia"/>
          <w:color w:val="auto"/>
          <w:sz w:val="21"/>
          <w:szCs w:val="21"/>
        </w:rPr>
        <w:t>三、获取采购文件</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时间：</w:t>
      </w:r>
      <w:r>
        <w:rPr>
          <w:rStyle w:val="125"/>
          <w:rFonts w:hint="eastAsia"/>
          <w:color w:val="auto"/>
          <w:sz w:val="21"/>
          <w:szCs w:val="21"/>
        </w:rPr>
        <w:t>2023年</w:t>
      </w:r>
      <w:r>
        <w:rPr>
          <w:rStyle w:val="125"/>
          <w:rFonts w:hint="eastAsia"/>
          <w:color w:val="auto"/>
          <w:sz w:val="21"/>
          <w:szCs w:val="21"/>
          <w:lang w:val="en-US" w:eastAsia="zh-CN"/>
        </w:rPr>
        <w:t>10</w:t>
      </w:r>
      <w:r>
        <w:rPr>
          <w:rStyle w:val="125"/>
          <w:rFonts w:hint="eastAsia"/>
          <w:color w:val="auto"/>
          <w:sz w:val="21"/>
          <w:szCs w:val="21"/>
        </w:rPr>
        <w:t>月</w:t>
      </w:r>
      <w:r>
        <w:rPr>
          <w:rStyle w:val="125"/>
          <w:rFonts w:hint="eastAsia"/>
          <w:color w:val="auto"/>
          <w:sz w:val="21"/>
          <w:szCs w:val="21"/>
          <w:lang w:val="en-US" w:eastAsia="zh-CN"/>
        </w:rPr>
        <w:t>13</w:t>
      </w:r>
      <w:r>
        <w:rPr>
          <w:rStyle w:val="125"/>
          <w:rFonts w:hint="eastAsia"/>
          <w:color w:val="auto"/>
          <w:sz w:val="21"/>
          <w:szCs w:val="21"/>
        </w:rPr>
        <w:t>日</w:t>
      </w:r>
      <w:r>
        <w:rPr>
          <w:rFonts w:hint="eastAsia"/>
          <w:color w:val="auto"/>
          <w:sz w:val="21"/>
          <w:szCs w:val="21"/>
        </w:rPr>
        <w:t>至</w:t>
      </w:r>
      <w:r>
        <w:rPr>
          <w:rStyle w:val="126"/>
          <w:rFonts w:hint="eastAsia"/>
          <w:color w:val="auto"/>
          <w:sz w:val="21"/>
          <w:szCs w:val="21"/>
        </w:rPr>
        <w:t>2023年</w:t>
      </w:r>
      <w:r>
        <w:rPr>
          <w:rStyle w:val="126"/>
          <w:rFonts w:hint="eastAsia"/>
          <w:color w:val="auto"/>
          <w:sz w:val="21"/>
          <w:szCs w:val="21"/>
          <w:lang w:val="en-US" w:eastAsia="zh-CN"/>
        </w:rPr>
        <w:t>10</w:t>
      </w:r>
      <w:r>
        <w:rPr>
          <w:rStyle w:val="126"/>
          <w:rFonts w:hint="eastAsia"/>
          <w:color w:val="auto"/>
          <w:sz w:val="21"/>
          <w:szCs w:val="21"/>
        </w:rPr>
        <w:t>月</w:t>
      </w:r>
      <w:r>
        <w:rPr>
          <w:rStyle w:val="126"/>
          <w:rFonts w:hint="eastAsia"/>
          <w:color w:val="auto"/>
          <w:sz w:val="21"/>
          <w:szCs w:val="21"/>
          <w:lang w:val="en-US" w:eastAsia="zh-CN"/>
        </w:rPr>
        <w:t>20</w:t>
      </w:r>
      <w:r>
        <w:rPr>
          <w:rStyle w:val="126"/>
          <w:rFonts w:hint="eastAsia"/>
          <w:color w:val="auto"/>
          <w:sz w:val="21"/>
          <w:szCs w:val="21"/>
        </w:rPr>
        <w:t>日</w:t>
      </w:r>
      <w:r>
        <w:rPr>
          <w:rFonts w:hint="eastAsia"/>
          <w:color w:val="auto"/>
          <w:sz w:val="21"/>
          <w:szCs w:val="21"/>
        </w:rPr>
        <w:t>，每天上午</w:t>
      </w:r>
      <w:r>
        <w:rPr>
          <w:rStyle w:val="127"/>
          <w:rFonts w:hint="eastAsia"/>
          <w:color w:val="auto"/>
          <w:sz w:val="21"/>
          <w:szCs w:val="21"/>
        </w:rPr>
        <w:t>08:30至12:00</w:t>
      </w:r>
      <w:r>
        <w:rPr>
          <w:rFonts w:hint="eastAsia"/>
          <w:color w:val="auto"/>
          <w:sz w:val="21"/>
          <w:szCs w:val="21"/>
        </w:rPr>
        <w:t>，下午</w:t>
      </w:r>
      <w:r>
        <w:rPr>
          <w:rStyle w:val="128"/>
          <w:rFonts w:hint="eastAsia"/>
          <w:color w:val="auto"/>
          <w:sz w:val="21"/>
          <w:szCs w:val="21"/>
        </w:rPr>
        <w:t>14:30至18:00</w:t>
      </w:r>
      <w:r>
        <w:rPr>
          <w:rFonts w:hint="eastAsia"/>
          <w:color w:val="auto"/>
          <w:sz w:val="21"/>
          <w:szCs w:val="21"/>
        </w:rPr>
        <w:t>（北京时间，法定节假日除外）</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地点：华夏城投项目管理有限公司（南宁市东葛路118号青秀万达写字楼银座8楼808室）</w:t>
      </w:r>
    </w:p>
    <w:p>
      <w:pPr>
        <w:widowControl/>
        <w:snapToGrid w:val="0"/>
        <w:spacing w:line="360" w:lineRule="auto"/>
        <w:ind w:firstLine="420"/>
        <w:rPr>
          <w:rFonts w:ascii="宋体" w:hAnsi="宋体" w:cs="宋体"/>
          <w:color w:val="auto"/>
        </w:rPr>
      </w:pPr>
      <w:r>
        <w:rPr>
          <w:rFonts w:hint="eastAsia" w:ascii="宋体" w:hAnsi="宋体" w:cs="宋体"/>
          <w:color w:val="auto"/>
        </w:rPr>
        <w:t>方式：</w:t>
      </w:r>
      <w:r>
        <w:rPr>
          <w:rFonts w:hint="eastAsia" w:ascii="宋体" w:hAnsi="宋体" w:cs="宋体"/>
          <w:color w:val="auto"/>
          <w:kern w:val="0"/>
        </w:rPr>
        <w:t>发售</w:t>
      </w:r>
      <w:r>
        <w:rPr>
          <w:rFonts w:hint="eastAsia" w:ascii="宋体" w:hAnsi="宋体" w:cs="宋体"/>
          <w:color w:val="auto"/>
        </w:rPr>
        <w:t>时间内，由企业法定代表人或授权委托人持本人身份证原件及企业营业执照副本复印件、企业法定代表人资格证明书或法人授权委托书（如有授权委托人）原件、法定代表人和授权委托人身份证（如有授权委托人）复印件（以上复印件均需加盖公章）至竞争性磋商文件发售地点现场获取竞争性磋商文件，并在发售截止时间前将购买竞争性磋商文件费用转至指定账户。</w:t>
      </w:r>
    </w:p>
    <w:p>
      <w:pPr>
        <w:widowControl/>
        <w:snapToGrid w:val="0"/>
        <w:spacing w:line="360" w:lineRule="auto"/>
        <w:ind w:firstLine="420"/>
        <w:rPr>
          <w:rFonts w:ascii="宋体" w:hAnsi="宋体" w:cs="宋体"/>
          <w:color w:val="auto"/>
        </w:rPr>
      </w:pPr>
      <w:r>
        <w:rPr>
          <w:rFonts w:hint="eastAsia" w:ascii="宋体" w:hAnsi="宋体" w:cs="宋体"/>
          <w:color w:val="auto"/>
        </w:rPr>
        <w:t>售价（元）：竞争性磋商文件工本费每套250元，售后不退。</w:t>
      </w:r>
    </w:p>
    <w:p>
      <w:pPr>
        <w:pStyle w:val="37"/>
        <w:snapToGrid w:val="0"/>
        <w:spacing w:before="0" w:beforeAutospacing="0" w:after="0" w:afterAutospacing="0" w:line="360" w:lineRule="auto"/>
        <w:jc w:val="both"/>
        <w:rPr>
          <w:color w:val="auto"/>
          <w:sz w:val="21"/>
          <w:szCs w:val="21"/>
        </w:rPr>
      </w:pPr>
      <w:r>
        <w:rPr>
          <w:rStyle w:val="43"/>
          <w:rFonts w:hint="eastAsia"/>
          <w:color w:val="auto"/>
          <w:sz w:val="21"/>
          <w:szCs w:val="21"/>
        </w:rPr>
        <w:t>四、响应文件提交</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截止时间：</w:t>
      </w:r>
      <w:r>
        <w:rPr>
          <w:rStyle w:val="132"/>
          <w:rFonts w:hint="eastAsia"/>
          <w:color w:val="auto"/>
          <w:sz w:val="21"/>
          <w:szCs w:val="21"/>
        </w:rPr>
        <w:t>2023年</w:t>
      </w:r>
      <w:r>
        <w:rPr>
          <w:rStyle w:val="132"/>
          <w:rFonts w:hint="eastAsia"/>
          <w:color w:val="auto"/>
          <w:sz w:val="21"/>
          <w:szCs w:val="21"/>
          <w:lang w:val="en-US" w:eastAsia="zh-CN"/>
        </w:rPr>
        <w:t>10</w:t>
      </w:r>
      <w:r>
        <w:rPr>
          <w:rStyle w:val="132"/>
          <w:rFonts w:hint="eastAsia"/>
          <w:color w:val="auto"/>
          <w:sz w:val="21"/>
          <w:szCs w:val="21"/>
        </w:rPr>
        <w:t>月</w:t>
      </w:r>
      <w:r>
        <w:rPr>
          <w:rStyle w:val="132"/>
          <w:rFonts w:hint="eastAsia"/>
          <w:color w:val="auto"/>
          <w:sz w:val="21"/>
          <w:szCs w:val="21"/>
          <w:lang w:val="en-US" w:eastAsia="zh-CN"/>
        </w:rPr>
        <w:t>24</w:t>
      </w:r>
      <w:r>
        <w:rPr>
          <w:rStyle w:val="132"/>
          <w:rFonts w:hint="eastAsia"/>
          <w:color w:val="auto"/>
          <w:sz w:val="21"/>
          <w:szCs w:val="21"/>
        </w:rPr>
        <w:t>日9:30</w:t>
      </w:r>
      <w:r>
        <w:rPr>
          <w:rFonts w:hint="eastAsia"/>
          <w:color w:val="auto"/>
          <w:sz w:val="21"/>
          <w:szCs w:val="21"/>
        </w:rPr>
        <w:t>（北京时间）</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地点：华夏城投项目管理有限公司开标室（南宁市东葛路118号青秀万达写字楼银座8楼808室）。</w:t>
      </w:r>
    </w:p>
    <w:p>
      <w:pPr>
        <w:pStyle w:val="37"/>
        <w:snapToGrid w:val="0"/>
        <w:spacing w:before="0" w:beforeAutospacing="0" w:after="0" w:afterAutospacing="0" w:line="360" w:lineRule="auto"/>
        <w:ind w:firstLine="422" w:firstLineChars="200"/>
        <w:rPr>
          <w:b/>
          <w:bCs/>
          <w:color w:val="auto"/>
          <w:sz w:val="21"/>
          <w:szCs w:val="21"/>
        </w:rPr>
      </w:pPr>
      <w:r>
        <w:rPr>
          <w:rFonts w:hint="eastAsia"/>
          <w:b/>
          <w:bCs/>
          <w:color w:val="auto"/>
          <w:sz w:val="21"/>
          <w:szCs w:val="21"/>
        </w:rPr>
        <w:t>供应商法定代表人(负责人)或委托代理人必须持有效证件[法定代表人(负责人)凭身份证原件或委托代理人凭法人授权委托书原件和身份证原件]，于截止时间前将响应文件密封送交到指定地点，逾期送达或未密封将予以拒收（或作无效响应文件处理）。</w:t>
      </w:r>
    </w:p>
    <w:p>
      <w:pPr>
        <w:pStyle w:val="37"/>
        <w:snapToGrid w:val="0"/>
        <w:spacing w:before="0" w:beforeAutospacing="0" w:after="0" w:afterAutospacing="0" w:line="360" w:lineRule="auto"/>
        <w:jc w:val="both"/>
        <w:rPr>
          <w:color w:val="auto"/>
          <w:sz w:val="21"/>
          <w:szCs w:val="21"/>
        </w:rPr>
      </w:pPr>
      <w:r>
        <w:rPr>
          <w:rStyle w:val="43"/>
          <w:rFonts w:hint="eastAsia"/>
          <w:color w:val="auto"/>
          <w:sz w:val="21"/>
          <w:szCs w:val="21"/>
        </w:rPr>
        <w:t>五、响应文件开启</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开启时间：</w:t>
      </w:r>
      <w:r>
        <w:rPr>
          <w:rStyle w:val="132"/>
          <w:rFonts w:hint="eastAsia"/>
          <w:color w:val="auto"/>
          <w:sz w:val="21"/>
          <w:szCs w:val="21"/>
        </w:rPr>
        <w:t>2023年</w:t>
      </w:r>
      <w:r>
        <w:rPr>
          <w:rStyle w:val="132"/>
          <w:rFonts w:hint="eastAsia"/>
          <w:color w:val="auto"/>
          <w:sz w:val="21"/>
          <w:szCs w:val="21"/>
          <w:lang w:val="en-US" w:eastAsia="zh-CN"/>
        </w:rPr>
        <w:t>10</w:t>
      </w:r>
      <w:r>
        <w:rPr>
          <w:rStyle w:val="132"/>
          <w:rFonts w:hint="eastAsia"/>
          <w:color w:val="auto"/>
          <w:sz w:val="21"/>
          <w:szCs w:val="21"/>
        </w:rPr>
        <w:t>月</w:t>
      </w:r>
      <w:r>
        <w:rPr>
          <w:rStyle w:val="132"/>
          <w:rFonts w:hint="eastAsia"/>
          <w:color w:val="auto"/>
          <w:sz w:val="21"/>
          <w:szCs w:val="21"/>
          <w:lang w:val="en-US" w:eastAsia="zh-CN"/>
        </w:rPr>
        <w:t>24</w:t>
      </w:r>
      <w:r>
        <w:rPr>
          <w:rStyle w:val="132"/>
          <w:rFonts w:hint="eastAsia"/>
          <w:color w:val="auto"/>
          <w:sz w:val="21"/>
          <w:szCs w:val="21"/>
        </w:rPr>
        <w:t>日9:30（</w:t>
      </w:r>
      <w:r>
        <w:rPr>
          <w:rFonts w:hint="eastAsia"/>
          <w:color w:val="auto"/>
          <w:sz w:val="21"/>
          <w:szCs w:val="21"/>
        </w:rPr>
        <w:t>北京时间）截标后</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地点：华夏城投项目管理有限公司评标室（南宁市东葛路118号青秀万达写字楼银座8楼808室）。参加磋商的法定代表人(负责人)或委托代理人必须持有效证件[法定代表人(负责人)凭身份证或委托代理人凭法人授权委托书原件和身份证]依时到达指定地点等候当面磋商。</w:t>
      </w:r>
    </w:p>
    <w:p>
      <w:pPr>
        <w:pStyle w:val="37"/>
        <w:snapToGrid w:val="0"/>
        <w:spacing w:before="0" w:beforeAutospacing="0" w:after="0" w:afterAutospacing="0" w:line="360" w:lineRule="auto"/>
        <w:jc w:val="both"/>
        <w:rPr>
          <w:color w:val="auto"/>
          <w:sz w:val="21"/>
          <w:szCs w:val="21"/>
        </w:rPr>
      </w:pPr>
      <w:r>
        <w:rPr>
          <w:rStyle w:val="43"/>
          <w:rFonts w:hint="eastAsia"/>
          <w:color w:val="auto"/>
          <w:sz w:val="21"/>
          <w:szCs w:val="21"/>
        </w:rPr>
        <w:t>六、公告期限</w:t>
      </w:r>
    </w:p>
    <w:p>
      <w:pPr>
        <w:pStyle w:val="37"/>
        <w:snapToGrid w:val="0"/>
        <w:spacing w:before="0" w:beforeAutospacing="0" w:after="0" w:afterAutospacing="0" w:line="360" w:lineRule="auto"/>
        <w:ind w:firstLine="420" w:firstLineChars="200"/>
        <w:rPr>
          <w:color w:val="auto"/>
          <w:sz w:val="21"/>
          <w:szCs w:val="21"/>
        </w:rPr>
      </w:pPr>
      <w:r>
        <w:rPr>
          <w:rFonts w:hint="eastAsia"/>
          <w:color w:val="auto"/>
          <w:sz w:val="21"/>
          <w:szCs w:val="21"/>
        </w:rPr>
        <w:t>自本公告发布之日起3个工作日。</w:t>
      </w:r>
    </w:p>
    <w:p>
      <w:pPr>
        <w:pStyle w:val="37"/>
        <w:snapToGrid w:val="0"/>
        <w:spacing w:before="0" w:beforeAutospacing="0" w:after="0" w:afterAutospacing="0" w:line="360" w:lineRule="auto"/>
        <w:jc w:val="both"/>
        <w:rPr>
          <w:color w:val="auto"/>
          <w:sz w:val="21"/>
          <w:szCs w:val="21"/>
        </w:rPr>
      </w:pPr>
      <w:r>
        <w:rPr>
          <w:rStyle w:val="43"/>
          <w:rFonts w:hint="eastAsia"/>
          <w:color w:val="auto"/>
          <w:sz w:val="21"/>
          <w:szCs w:val="21"/>
        </w:rPr>
        <w:t>七、其他补充事宜</w:t>
      </w:r>
    </w:p>
    <w:p>
      <w:pPr>
        <w:pStyle w:val="37"/>
        <w:snapToGrid w:val="0"/>
        <w:spacing w:before="0" w:beforeAutospacing="0" w:after="0" w:afterAutospacing="0" w:line="360" w:lineRule="auto"/>
        <w:ind w:firstLine="420" w:firstLineChars="200"/>
        <w:rPr>
          <w:rStyle w:val="136"/>
          <w:color w:val="auto"/>
          <w:sz w:val="21"/>
          <w:szCs w:val="21"/>
        </w:rPr>
      </w:pPr>
      <w:r>
        <w:rPr>
          <w:rStyle w:val="136"/>
          <w:rFonts w:hint="eastAsia"/>
          <w:color w:val="auto"/>
          <w:sz w:val="21"/>
          <w:szCs w:val="21"/>
        </w:rPr>
        <w:t>1.磋商保证金（人民币）：叁仟捌佰元整（¥3800.00）(必须足额交纳)</w:t>
      </w:r>
    </w:p>
    <w:p>
      <w:pPr>
        <w:pStyle w:val="37"/>
        <w:snapToGrid w:val="0"/>
        <w:spacing w:before="0" w:beforeAutospacing="0" w:after="0" w:afterAutospacing="0" w:line="360" w:lineRule="auto"/>
        <w:ind w:firstLine="420" w:firstLineChars="200"/>
        <w:rPr>
          <w:rStyle w:val="136"/>
          <w:color w:val="auto"/>
          <w:sz w:val="21"/>
          <w:szCs w:val="21"/>
        </w:rPr>
      </w:pPr>
      <w:r>
        <w:rPr>
          <w:rStyle w:val="136"/>
          <w:rFonts w:hint="eastAsia"/>
          <w:color w:val="auto"/>
          <w:sz w:val="21"/>
          <w:szCs w:val="21"/>
        </w:rPr>
        <w:t>（1）磋商保证金交纳形式：支票、汇票、本票、网上银行或者银行、保险机构出具的保函等非现金形式。（2）采用网上银行转账形式的，磋商供应商应于提交磋商响应文件截止时间前将磋商保证金交至以下账户。开户名称：华夏城投项目管理有限公司广西分公司；开户银行：中国建设银行股份有限公司南宁五象支行；银行账号：4505 0160 5001 0000 0030；（3）采用支票、汇票、本票或者保函等形式的，磋商供应商应于提交磋商响应文件截止时间前递交单独密封的支票、汇票、本票或者保函原件至我公司。</w:t>
      </w:r>
    </w:p>
    <w:p>
      <w:pPr>
        <w:pStyle w:val="37"/>
        <w:snapToGrid w:val="0"/>
        <w:spacing w:before="0" w:beforeAutospacing="0" w:after="0" w:afterAutospacing="0" w:line="360" w:lineRule="auto"/>
        <w:ind w:firstLine="420" w:firstLineChars="200"/>
        <w:rPr>
          <w:rStyle w:val="136"/>
          <w:color w:val="auto"/>
          <w:sz w:val="21"/>
          <w:szCs w:val="21"/>
        </w:rPr>
      </w:pPr>
      <w:r>
        <w:rPr>
          <w:rStyle w:val="136"/>
          <w:rFonts w:hint="eastAsia"/>
          <w:color w:val="auto"/>
          <w:sz w:val="21"/>
          <w:szCs w:val="21"/>
        </w:rPr>
        <w:t>2.网上公告媒体查询：</w:t>
      </w:r>
    </w:p>
    <w:p>
      <w:pPr>
        <w:pStyle w:val="37"/>
        <w:snapToGrid w:val="0"/>
        <w:spacing w:before="0" w:beforeAutospacing="0" w:after="0" w:afterAutospacing="0" w:line="360" w:lineRule="auto"/>
        <w:ind w:firstLine="420" w:firstLineChars="200"/>
        <w:rPr>
          <w:rStyle w:val="136"/>
          <w:color w:val="auto"/>
          <w:sz w:val="21"/>
          <w:szCs w:val="21"/>
        </w:rPr>
      </w:pPr>
      <w:r>
        <w:rPr>
          <w:rStyle w:val="136"/>
          <w:rFonts w:hint="eastAsia"/>
          <w:color w:val="auto"/>
          <w:sz w:val="21"/>
          <w:szCs w:val="21"/>
        </w:rPr>
        <w:t>中国采购与招标网（http://www.chinabidding.com.cn/）、华夏城投项目管理有限公司官网（http://www.sxhx2001.com）</w:t>
      </w:r>
    </w:p>
    <w:p>
      <w:pPr>
        <w:pStyle w:val="37"/>
        <w:snapToGrid w:val="0"/>
        <w:spacing w:before="0" w:beforeAutospacing="0" w:after="0" w:afterAutospacing="0" w:line="360" w:lineRule="auto"/>
        <w:ind w:firstLine="420" w:firstLineChars="200"/>
        <w:rPr>
          <w:rStyle w:val="124"/>
          <w:color w:val="auto"/>
          <w:sz w:val="21"/>
          <w:szCs w:val="21"/>
        </w:rPr>
      </w:pPr>
      <w:r>
        <w:rPr>
          <w:rStyle w:val="124"/>
          <w:rFonts w:hint="eastAsia"/>
          <w:color w:val="auto"/>
          <w:sz w:val="21"/>
          <w:szCs w:val="21"/>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pPr>
        <w:pStyle w:val="37"/>
        <w:snapToGrid w:val="0"/>
        <w:spacing w:before="0" w:beforeAutospacing="0" w:after="0" w:afterAutospacing="0" w:line="360" w:lineRule="auto"/>
        <w:ind w:firstLine="420" w:firstLineChars="200"/>
        <w:rPr>
          <w:rStyle w:val="136"/>
          <w:color w:val="auto"/>
          <w:sz w:val="21"/>
          <w:szCs w:val="21"/>
        </w:rPr>
      </w:pPr>
      <w:r>
        <w:rPr>
          <w:rStyle w:val="124"/>
          <w:rFonts w:hint="eastAsia"/>
          <w:color w:val="auto"/>
          <w:sz w:val="21"/>
          <w:szCs w:val="21"/>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采购活动。</w:t>
      </w:r>
    </w:p>
    <w:p>
      <w:pPr>
        <w:pStyle w:val="37"/>
        <w:snapToGrid w:val="0"/>
        <w:spacing w:before="0" w:beforeAutospacing="0" w:after="0" w:afterAutospacing="0" w:line="360" w:lineRule="auto"/>
        <w:jc w:val="both"/>
        <w:rPr>
          <w:color w:val="auto"/>
          <w:sz w:val="21"/>
          <w:szCs w:val="21"/>
        </w:rPr>
      </w:pPr>
      <w:r>
        <w:rPr>
          <w:rStyle w:val="43"/>
          <w:rFonts w:hint="eastAsia"/>
          <w:color w:val="auto"/>
          <w:sz w:val="21"/>
          <w:szCs w:val="21"/>
        </w:rPr>
        <w:t>八、凡对本次招标提出询问，请按以下方式联系</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1.采购人信息</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名称：</w:t>
      </w:r>
      <w:r>
        <w:rPr>
          <w:rStyle w:val="137"/>
          <w:rFonts w:hint="eastAsia"/>
          <w:color w:val="auto"/>
          <w:sz w:val="21"/>
          <w:szCs w:val="21"/>
        </w:rPr>
        <w:t>广西中医药大学第一附属医院</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地址：南宁市东葛路89-9号</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项目联系人：胡柳燕</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项目联系方式：0771-5602026</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2.采购代理机构信息</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名称：</w:t>
      </w:r>
      <w:r>
        <w:rPr>
          <w:rStyle w:val="141"/>
          <w:rFonts w:hint="eastAsia"/>
          <w:color w:val="auto"/>
          <w:sz w:val="21"/>
          <w:szCs w:val="21"/>
        </w:rPr>
        <w:t>华夏城投项目管理有限公司</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地址：南宁市东葛路118号青秀万达写字楼银座8楼808室</w:t>
      </w:r>
    </w:p>
    <w:p>
      <w:pPr>
        <w:pStyle w:val="37"/>
        <w:adjustRightInd w:val="0"/>
        <w:snapToGrid w:val="0"/>
        <w:spacing w:before="0" w:beforeAutospacing="0" w:after="0" w:afterAutospacing="0" w:line="360" w:lineRule="auto"/>
        <w:ind w:firstLine="420" w:firstLineChars="200"/>
        <w:rPr>
          <w:rStyle w:val="143"/>
          <w:color w:val="auto"/>
          <w:sz w:val="21"/>
          <w:szCs w:val="21"/>
        </w:rPr>
      </w:pPr>
      <w:r>
        <w:rPr>
          <w:rFonts w:hint="eastAsia"/>
          <w:color w:val="auto"/>
          <w:sz w:val="21"/>
          <w:szCs w:val="21"/>
        </w:rPr>
        <w:t>项目联系人：</w:t>
      </w:r>
      <w:r>
        <w:rPr>
          <w:rStyle w:val="143"/>
          <w:rFonts w:hint="eastAsia"/>
          <w:color w:val="auto"/>
          <w:sz w:val="21"/>
          <w:szCs w:val="21"/>
        </w:rPr>
        <w:t>潘玉婷、霍幼琴</w:t>
      </w:r>
    </w:p>
    <w:p>
      <w:pPr>
        <w:pStyle w:val="37"/>
        <w:adjustRightInd w:val="0"/>
        <w:snapToGrid w:val="0"/>
        <w:spacing w:before="0" w:beforeAutospacing="0" w:after="0" w:afterAutospacing="0" w:line="360" w:lineRule="auto"/>
        <w:ind w:firstLine="420" w:firstLineChars="200"/>
        <w:rPr>
          <w:color w:val="auto"/>
          <w:sz w:val="21"/>
          <w:szCs w:val="21"/>
        </w:rPr>
      </w:pPr>
      <w:r>
        <w:rPr>
          <w:rFonts w:hint="eastAsia"/>
          <w:color w:val="auto"/>
          <w:sz w:val="21"/>
          <w:szCs w:val="21"/>
        </w:rPr>
        <w:t>项目联系方式：0771-5382528</w:t>
      </w:r>
    </w:p>
    <w:p>
      <w:pPr>
        <w:pStyle w:val="37"/>
        <w:adjustRightInd w:val="0"/>
        <w:snapToGrid w:val="0"/>
        <w:spacing w:before="0" w:beforeAutospacing="0" w:after="0" w:afterAutospacing="0" w:line="360" w:lineRule="auto"/>
        <w:rPr>
          <w:color w:val="auto"/>
          <w:sz w:val="21"/>
          <w:szCs w:val="21"/>
        </w:rPr>
      </w:pPr>
    </w:p>
    <w:p>
      <w:pPr>
        <w:pStyle w:val="87"/>
        <w:adjustRightInd w:val="0"/>
        <w:snapToGrid w:val="0"/>
        <w:spacing w:line="360" w:lineRule="auto"/>
        <w:rPr>
          <w:rFonts w:hAnsi="宋体"/>
          <w:snapToGrid w:val="0"/>
          <w:color w:val="auto"/>
        </w:rPr>
      </w:pPr>
    </w:p>
    <w:p>
      <w:pPr>
        <w:widowControl/>
        <w:adjustRightInd w:val="0"/>
        <w:snapToGrid w:val="0"/>
        <w:spacing w:line="360" w:lineRule="auto"/>
        <w:rPr>
          <w:rFonts w:ascii="宋体" w:hAnsi="宋体" w:cs="宋体"/>
          <w:color w:val="auto"/>
          <w:kern w:val="0"/>
        </w:rPr>
      </w:pPr>
    </w:p>
    <w:p>
      <w:pPr>
        <w:widowControl/>
        <w:adjustRightInd w:val="0"/>
        <w:snapToGrid w:val="0"/>
        <w:spacing w:line="360" w:lineRule="auto"/>
        <w:ind w:left="240"/>
        <w:jc w:val="right"/>
        <w:rPr>
          <w:rFonts w:ascii="宋体" w:hAnsi="宋体" w:cs="宋体"/>
          <w:color w:val="auto"/>
          <w:kern w:val="0"/>
        </w:rPr>
      </w:pPr>
      <w:r>
        <w:rPr>
          <w:rFonts w:hint="eastAsia" w:ascii="宋体" w:hAnsi="宋体" w:cs="宋体"/>
          <w:color w:val="auto"/>
          <w:kern w:val="0"/>
        </w:rPr>
        <w:t>华夏城投项目管理有限公司</w:t>
      </w:r>
    </w:p>
    <w:p>
      <w:pPr>
        <w:widowControl/>
        <w:snapToGrid w:val="0"/>
        <w:spacing w:line="360" w:lineRule="auto"/>
        <w:ind w:left="240"/>
        <w:jc w:val="right"/>
        <w:rPr>
          <w:rFonts w:ascii="宋体" w:hAnsi="宋体" w:cs="宋体"/>
          <w:color w:val="auto"/>
          <w:kern w:val="0"/>
        </w:rPr>
      </w:pPr>
      <w:r>
        <w:rPr>
          <w:rStyle w:val="126"/>
          <w:rFonts w:hint="eastAsia" w:ascii="宋体" w:hAnsi="宋体" w:cs="宋体"/>
          <w:color w:val="auto"/>
        </w:rPr>
        <w:t>2023年</w:t>
      </w:r>
      <w:r>
        <w:rPr>
          <w:rStyle w:val="115"/>
          <w:rFonts w:hint="eastAsia" w:ascii="宋体" w:hAnsi="宋体" w:cs="宋体"/>
          <w:color w:val="auto"/>
          <w:lang w:val="en-US" w:eastAsia="zh-CN"/>
        </w:rPr>
        <w:t>10</w:t>
      </w:r>
      <w:r>
        <w:rPr>
          <w:rStyle w:val="126"/>
          <w:rFonts w:hint="eastAsia" w:ascii="宋体" w:hAnsi="宋体" w:cs="宋体"/>
          <w:color w:val="auto"/>
        </w:rPr>
        <w:t>月</w:t>
      </w:r>
      <w:r>
        <w:rPr>
          <w:rStyle w:val="126"/>
          <w:rFonts w:hint="eastAsia" w:ascii="宋体" w:hAnsi="宋体" w:cs="宋体"/>
          <w:color w:val="auto"/>
          <w:lang w:val="en-US" w:eastAsia="zh-CN"/>
        </w:rPr>
        <w:t>13</w:t>
      </w:r>
      <w:r>
        <w:rPr>
          <w:rStyle w:val="126"/>
          <w:rFonts w:hint="eastAsia" w:ascii="宋体" w:hAnsi="宋体" w:cs="宋体"/>
          <w:color w:val="auto"/>
        </w:rPr>
        <w:t>日</w:t>
      </w:r>
    </w:p>
    <w:p>
      <w:pPr>
        <w:widowControl/>
        <w:spacing w:line="360" w:lineRule="exact"/>
        <w:ind w:left="240"/>
        <w:jc w:val="right"/>
        <w:rPr>
          <w:rFonts w:ascii="宋体" w:hAnsi="宋体" w:cs="宋体"/>
          <w:b/>
          <w:bCs/>
          <w:color w:val="auto"/>
          <w:sz w:val="32"/>
          <w:szCs w:val="32"/>
        </w:rPr>
      </w:pPr>
      <w:r>
        <w:rPr>
          <w:rFonts w:hint="eastAsia" w:ascii="宋体" w:hAnsi="宋体" w:cs="宋体"/>
          <w:b/>
          <w:bCs/>
          <w:color w:val="auto"/>
          <w:sz w:val="32"/>
          <w:szCs w:val="32"/>
        </w:rPr>
        <w:t xml:space="preserve"> </w:t>
      </w:r>
    </w:p>
    <w:p>
      <w:pPr>
        <w:rPr>
          <w:rFonts w:ascii="宋体" w:hAnsi="宋体" w:cs="宋体"/>
          <w:color w:val="auto"/>
        </w:rPr>
      </w:pPr>
      <w:bookmarkStart w:id="9" w:name="_Toc18481385"/>
      <w:bookmarkEnd w:id="9"/>
      <w:r>
        <w:rPr>
          <w:rFonts w:hint="eastAsia" w:ascii="宋体" w:hAnsi="宋体" w:cs="宋体"/>
          <w:color w:val="auto"/>
        </w:rPr>
        <w:br w:type="page"/>
      </w:r>
    </w:p>
    <w:p>
      <w:pPr>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pStyle w:val="5"/>
        <w:jc w:val="center"/>
        <w:rPr>
          <w:rFonts w:ascii="宋体" w:hAnsi="宋体" w:cs="宋体"/>
          <w:color w:val="auto"/>
        </w:rPr>
      </w:pPr>
      <w:r>
        <w:rPr>
          <w:rFonts w:hint="eastAsia" w:ascii="宋体" w:hAnsi="宋体" w:cs="宋体"/>
          <w:color w:val="auto"/>
        </w:rPr>
        <w:t>第二章  供应商须知</w:t>
      </w:r>
      <w:bookmarkEnd w:id="3"/>
      <w:bookmarkEnd w:id="4"/>
    </w:p>
    <w:p>
      <w:pPr>
        <w:spacing w:line="400" w:lineRule="exact"/>
        <w:ind w:firstLine="3855" w:firstLineChars="1200"/>
        <w:rPr>
          <w:rFonts w:ascii="宋体" w:hAnsi="宋体" w:cs="宋体"/>
          <w:b/>
          <w:bCs/>
          <w:color w:val="auto"/>
          <w:sz w:val="32"/>
          <w:szCs w:val="32"/>
        </w:rPr>
      </w:pPr>
      <w:r>
        <w:rPr>
          <w:rFonts w:hint="eastAsia" w:ascii="宋体" w:hAnsi="宋体" w:cs="宋体"/>
          <w:b/>
          <w:bCs/>
          <w:color w:val="auto"/>
          <w:sz w:val="32"/>
          <w:szCs w:val="32"/>
        </w:rPr>
        <w:t xml:space="preserve"> </w:t>
      </w:r>
    </w:p>
    <w:p>
      <w:pPr>
        <w:spacing w:line="400" w:lineRule="exact"/>
        <w:ind w:firstLine="3855" w:firstLineChars="1200"/>
        <w:rPr>
          <w:rFonts w:ascii="宋体" w:hAnsi="宋体" w:cs="宋体"/>
          <w:b/>
          <w:bCs/>
          <w:color w:val="auto"/>
          <w:sz w:val="32"/>
          <w:szCs w:val="32"/>
        </w:rPr>
      </w:pPr>
      <w:r>
        <w:rPr>
          <w:rFonts w:hint="eastAsia" w:ascii="宋体" w:hAnsi="宋体" w:cs="宋体"/>
          <w:b/>
          <w:bCs/>
          <w:color w:val="auto"/>
          <w:sz w:val="32"/>
          <w:szCs w:val="32"/>
        </w:rPr>
        <w:t xml:space="preserve"> </w:t>
      </w:r>
    </w:p>
    <w:p>
      <w:pPr>
        <w:pageBreakBefore/>
        <w:spacing w:line="400" w:lineRule="exact"/>
        <w:jc w:val="center"/>
        <w:rPr>
          <w:rFonts w:ascii="宋体" w:hAnsi="宋体" w:cs="宋体"/>
          <w:b/>
          <w:bCs/>
          <w:color w:val="auto"/>
          <w:sz w:val="32"/>
          <w:szCs w:val="32"/>
        </w:rPr>
      </w:pPr>
      <w:r>
        <w:rPr>
          <w:rFonts w:hint="eastAsia" w:ascii="宋体" w:hAnsi="宋体" w:cs="宋体"/>
          <w:b/>
          <w:bCs/>
          <w:color w:val="auto"/>
          <w:sz w:val="32"/>
          <w:szCs w:val="32"/>
        </w:rPr>
        <w:t>供应商须知前附表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tcPr>
          <w:p>
            <w:pPr>
              <w:pStyle w:val="87"/>
              <w:keepNext w:val="0"/>
              <w:keepLines w:val="0"/>
              <w:suppressLineNumbers w:val="0"/>
              <w:spacing w:before="0" w:beforeAutospacing="0" w:after="0" w:afterAutospacing="0"/>
              <w:ind w:left="0" w:right="0"/>
              <w:jc w:val="center"/>
              <w:rPr>
                <w:rFonts w:hint="default" w:hAnsi="宋体"/>
                <w:color w:val="auto"/>
              </w:rPr>
            </w:pPr>
            <w:r>
              <w:rPr>
                <w:rFonts w:hint="eastAsia" w:hAnsi="宋体"/>
                <w:color w:val="auto"/>
              </w:rPr>
              <w:t>序号</w:t>
            </w:r>
          </w:p>
        </w:tc>
        <w:tc>
          <w:tcPr>
            <w:tcW w:w="8365" w:type="dxa"/>
            <w:tcBorders>
              <w:top w:val="single" w:color="auto" w:sz="4" w:space="0"/>
              <w:left w:val="nil"/>
              <w:bottom w:val="single" w:color="auto" w:sz="4" w:space="0"/>
              <w:right w:val="single" w:color="auto" w:sz="4" w:space="0"/>
            </w:tcBorders>
          </w:tcPr>
          <w:p>
            <w:pPr>
              <w:pStyle w:val="87"/>
              <w:keepNext w:val="0"/>
              <w:keepLines w:val="0"/>
              <w:suppressLineNumbers w:val="0"/>
              <w:spacing w:before="0" w:beforeAutospacing="0" w:after="0" w:afterAutospacing="0"/>
              <w:ind w:left="0" w:right="0"/>
              <w:jc w:val="center"/>
              <w:rPr>
                <w:rFonts w:hint="default" w:hAnsi="宋体"/>
                <w:color w:val="auto"/>
              </w:rPr>
            </w:pPr>
            <w:r>
              <w:rPr>
                <w:rFonts w:hint="eastAsia" w:hAnsi="宋体"/>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w:t>
            </w:r>
          </w:p>
        </w:tc>
        <w:tc>
          <w:tcPr>
            <w:tcW w:w="8365" w:type="dxa"/>
            <w:tcBorders>
              <w:top w:val="single" w:color="auto" w:sz="4" w:space="0"/>
              <w:left w:val="nil"/>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rPr>
                <w:rFonts w:hint="default" w:hAnsi="宋体"/>
                <w:bCs/>
                <w:color w:val="auto"/>
              </w:rPr>
            </w:pPr>
            <w:r>
              <w:rPr>
                <w:rFonts w:hint="eastAsia" w:hAnsi="宋体"/>
                <w:color w:val="auto"/>
              </w:rPr>
              <w:t>项目名称：</w:t>
            </w:r>
            <w:r>
              <w:rPr>
                <w:rFonts w:hint="eastAsia" w:hAnsi="宋体"/>
                <w:color w:val="auto"/>
                <w:u w:val="single"/>
              </w:rPr>
              <w:t>多参数生物反馈仪采购项目</w:t>
            </w:r>
          </w:p>
          <w:p>
            <w:pPr>
              <w:pStyle w:val="87"/>
              <w:keepNext w:val="0"/>
              <w:keepLines w:val="0"/>
              <w:suppressLineNumbers w:val="0"/>
              <w:spacing w:before="0" w:beforeAutospacing="0" w:after="0" w:afterAutospacing="0" w:line="400" w:lineRule="exact"/>
              <w:ind w:left="0" w:right="0"/>
              <w:rPr>
                <w:rFonts w:hint="default" w:hAnsi="宋体"/>
                <w:bCs/>
                <w:color w:val="auto"/>
              </w:rPr>
            </w:pPr>
            <w:r>
              <w:rPr>
                <w:rFonts w:hint="eastAsia" w:hAnsi="宋体"/>
                <w:color w:val="auto"/>
              </w:rPr>
              <w:t>项目编号：</w:t>
            </w:r>
            <w:r>
              <w:rPr>
                <w:rFonts w:hint="eastAsia" w:hAnsi="宋体"/>
                <w:color w:val="auto"/>
                <w:u w:val="single"/>
              </w:rPr>
              <w:t>HXCTGX-CHZB-2023-022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2</w:t>
            </w:r>
          </w:p>
        </w:tc>
        <w:tc>
          <w:tcPr>
            <w:tcW w:w="8365" w:type="dxa"/>
            <w:tcBorders>
              <w:top w:val="single" w:color="auto" w:sz="4" w:space="0"/>
              <w:left w:val="nil"/>
              <w:bottom w:val="single" w:color="auto" w:sz="4" w:space="0"/>
              <w:right w:val="single" w:color="auto" w:sz="4" w:space="0"/>
            </w:tcBorders>
            <w:vAlign w:val="center"/>
          </w:tcPr>
          <w:p>
            <w:pPr>
              <w:pStyle w:val="24"/>
              <w:keepNext w:val="0"/>
              <w:keepLines w:val="0"/>
              <w:suppressLineNumbers w:val="0"/>
              <w:spacing w:before="0" w:beforeAutospacing="0" w:after="0" w:afterAutospacing="0"/>
              <w:ind w:left="0" w:right="0"/>
              <w:rPr>
                <w:rFonts w:hint="default" w:hAnsi="宋体" w:cs="宋体"/>
                <w:color w:val="auto"/>
              </w:rPr>
            </w:pPr>
            <w:r>
              <w:rPr>
                <w:rFonts w:hint="eastAsia" w:hAnsi="宋体" w:cs="宋体"/>
                <w:color w:val="auto"/>
              </w:rPr>
              <w:t>供应商资格：见竞争性磋商公告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3</w:t>
            </w:r>
          </w:p>
        </w:tc>
        <w:tc>
          <w:tcPr>
            <w:tcW w:w="83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color w:val="auto"/>
              </w:rPr>
            </w:pPr>
            <w:r>
              <w:rPr>
                <w:rFonts w:hint="eastAsia" w:ascii="宋体" w:hAnsi="宋体" w:cs="宋体"/>
                <w:color w:val="auto"/>
              </w:rPr>
              <w:t>报价：磋商供应商就所参与《采购需求》中的采购内容作完整唯一报价。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4</w:t>
            </w:r>
          </w:p>
        </w:tc>
        <w:tc>
          <w:tcPr>
            <w:tcW w:w="8365" w:type="dxa"/>
            <w:tcBorders>
              <w:top w:val="single" w:color="auto" w:sz="4" w:space="0"/>
              <w:left w:val="nil"/>
              <w:bottom w:val="single" w:color="auto" w:sz="4" w:space="0"/>
              <w:right w:val="single" w:color="auto" w:sz="4" w:space="0"/>
            </w:tcBorders>
            <w:vAlign w:val="center"/>
          </w:tcPr>
          <w:p>
            <w:pPr>
              <w:pStyle w:val="24"/>
              <w:keepNext w:val="0"/>
              <w:keepLines w:val="0"/>
              <w:suppressLineNumbers w:val="0"/>
              <w:spacing w:before="0" w:beforeAutospacing="0" w:after="0" w:afterAutospacing="0"/>
              <w:ind w:left="0" w:right="0"/>
              <w:rPr>
                <w:rFonts w:hint="default" w:hAnsi="宋体" w:cs="宋体"/>
                <w:color w:val="auto"/>
              </w:rPr>
            </w:pPr>
            <w:r>
              <w:rPr>
                <w:rFonts w:hint="eastAsia" w:hAnsi="宋体" w:cs="宋体"/>
                <w:color w:val="auto"/>
              </w:rPr>
              <w:t>响应文件的提交：</w:t>
            </w:r>
          </w:p>
          <w:p>
            <w:pPr>
              <w:pStyle w:val="24"/>
              <w:keepNext w:val="0"/>
              <w:keepLines w:val="0"/>
              <w:suppressLineNumbers w:val="0"/>
              <w:spacing w:before="0" w:beforeAutospacing="0" w:after="0" w:afterAutospacing="0"/>
              <w:ind w:left="0" w:right="0"/>
              <w:rPr>
                <w:rFonts w:hint="default" w:hAnsi="宋体" w:cs="宋体"/>
                <w:color w:val="auto"/>
                <w:szCs w:val="21"/>
              </w:rPr>
            </w:pPr>
            <w:r>
              <w:rPr>
                <w:rFonts w:hint="eastAsia" w:hAnsi="宋体" w:cs="宋体"/>
                <w:color w:val="auto"/>
                <w:szCs w:val="21"/>
              </w:rPr>
              <w:t>截止时间：2023年</w:t>
            </w:r>
            <w:r>
              <w:rPr>
                <w:rFonts w:hint="eastAsia" w:hAnsi="宋体" w:cs="宋体"/>
                <w:color w:val="auto"/>
                <w:szCs w:val="21"/>
                <w:lang w:val="en-US" w:eastAsia="zh-CN"/>
              </w:rPr>
              <w:t>10</w:t>
            </w:r>
            <w:r>
              <w:rPr>
                <w:rFonts w:hint="eastAsia" w:hAnsi="宋体" w:cs="宋体"/>
                <w:color w:val="auto"/>
                <w:szCs w:val="21"/>
              </w:rPr>
              <w:t>月</w:t>
            </w:r>
            <w:r>
              <w:rPr>
                <w:rFonts w:hint="eastAsia" w:hAnsi="宋体" w:cs="宋体"/>
                <w:color w:val="auto"/>
                <w:szCs w:val="21"/>
                <w:lang w:val="en-US" w:eastAsia="zh-CN"/>
              </w:rPr>
              <w:t>24</w:t>
            </w:r>
            <w:r>
              <w:rPr>
                <w:rFonts w:hint="eastAsia" w:hAnsi="宋体" w:cs="宋体"/>
                <w:color w:val="auto"/>
                <w:szCs w:val="21"/>
              </w:rPr>
              <w:t>日09：30（北京时间）</w:t>
            </w:r>
          </w:p>
          <w:p>
            <w:pPr>
              <w:pStyle w:val="24"/>
              <w:keepNext w:val="0"/>
              <w:keepLines w:val="0"/>
              <w:suppressLineNumbers w:val="0"/>
              <w:spacing w:before="0" w:beforeAutospacing="0" w:after="0" w:afterAutospacing="0"/>
              <w:ind w:left="0" w:right="0"/>
              <w:rPr>
                <w:rFonts w:hint="default" w:hAnsi="宋体" w:cs="宋体"/>
                <w:color w:val="auto"/>
              </w:rPr>
            </w:pPr>
            <w:r>
              <w:rPr>
                <w:rFonts w:hint="eastAsia" w:hAnsi="宋体" w:cs="宋体"/>
                <w:color w:val="auto"/>
                <w:szCs w:val="21"/>
              </w:rPr>
              <w:t>地点：华夏城投项目管理有限公司开标室（南宁市东葛路118号青秀万达写字楼银座8楼808室）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5</w:t>
            </w:r>
          </w:p>
        </w:tc>
        <w:tc>
          <w:tcPr>
            <w:tcW w:w="8365" w:type="dxa"/>
            <w:tcBorders>
              <w:top w:val="single" w:color="auto" w:sz="4" w:space="0"/>
              <w:left w:val="nil"/>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提交响应文件截止时间：见竞争性磋商公告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6</w:t>
            </w:r>
          </w:p>
        </w:tc>
        <w:tc>
          <w:tcPr>
            <w:tcW w:w="8365" w:type="dxa"/>
            <w:tcBorders>
              <w:top w:val="single" w:color="auto" w:sz="4" w:space="0"/>
              <w:left w:val="nil"/>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7</w:t>
            </w:r>
          </w:p>
        </w:tc>
        <w:tc>
          <w:tcPr>
            <w:tcW w:w="8365" w:type="dxa"/>
            <w:tcBorders>
              <w:top w:val="single" w:color="auto" w:sz="4" w:space="0"/>
              <w:left w:val="nil"/>
              <w:bottom w:val="single" w:color="auto" w:sz="4" w:space="0"/>
              <w:right w:val="single" w:color="auto" w:sz="4" w:space="0"/>
            </w:tcBorders>
            <w:vAlign w:val="center"/>
          </w:tcPr>
          <w:p>
            <w:pPr>
              <w:pStyle w:val="24"/>
              <w:keepNext w:val="0"/>
              <w:keepLines w:val="0"/>
              <w:suppressLineNumbers w:val="0"/>
              <w:spacing w:before="0" w:beforeAutospacing="0" w:after="0" w:afterAutospacing="0"/>
              <w:ind w:left="0" w:right="0"/>
              <w:rPr>
                <w:rFonts w:hint="default" w:hAnsi="宋体" w:cs="宋体"/>
                <w:color w:val="auto"/>
              </w:rPr>
            </w:pPr>
            <w:r>
              <w:rPr>
                <w:rFonts w:hint="eastAsia" w:hAnsi="宋体" w:cs="宋体"/>
                <w:color w:val="auto"/>
              </w:rPr>
              <w:t>保证金：见竞争性磋商公告。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8</w:t>
            </w:r>
          </w:p>
        </w:tc>
        <w:tc>
          <w:tcPr>
            <w:tcW w:w="8365" w:type="dxa"/>
            <w:tcBorders>
              <w:top w:val="single" w:color="auto" w:sz="4" w:space="0"/>
              <w:left w:val="nil"/>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rPr>
                <w:rFonts w:hint="default" w:hAnsi="宋体"/>
                <w:b/>
                <w:bCs/>
                <w:color w:val="auto"/>
              </w:rPr>
            </w:pPr>
            <w:r>
              <w:rPr>
                <w:rFonts w:hint="eastAsia" w:hAnsi="宋体"/>
                <w:b/>
                <w:bCs/>
                <w:color w:val="auto"/>
              </w:rPr>
              <w:t>磋商时间：</w:t>
            </w:r>
            <w:r>
              <w:rPr>
                <w:rFonts w:hint="eastAsia" w:hAnsi="宋体"/>
                <w:b/>
                <w:color w:val="auto"/>
                <w:kern w:val="0"/>
                <w:u w:val="single"/>
              </w:rPr>
              <w:t>2023年</w:t>
            </w:r>
            <w:bookmarkStart w:id="23" w:name="_GoBack"/>
            <w:bookmarkEnd w:id="23"/>
            <w:r>
              <w:rPr>
                <w:rFonts w:hint="eastAsia" w:hAnsi="宋体"/>
                <w:b/>
                <w:color w:val="auto"/>
                <w:kern w:val="0"/>
                <w:u w:val="single"/>
                <w:lang w:val="en-US" w:eastAsia="zh-CN"/>
              </w:rPr>
              <w:t>10</w:t>
            </w:r>
            <w:r>
              <w:rPr>
                <w:rFonts w:hint="eastAsia" w:hAnsi="宋体"/>
                <w:b/>
                <w:color w:val="auto"/>
                <w:kern w:val="0"/>
                <w:u w:val="single"/>
              </w:rPr>
              <w:t>月</w:t>
            </w:r>
            <w:r>
              <w:rPr>
                <w:rFonts w:hint="eastAsia" w:hAnsi="宋体"/>
                <w:b/>
                <w:color w:val="auto"/>
                <w:kern w:val="0"/>
                <w:u w:val="single"/>
                <w:lang w:val="en-US" w:eastAsia="zh-CN"/>
              </w:rPr>
              <w:t>24</w:t>
            </w:r>
            <w:r>
              <w:rPr>
                <w:rFonts w:hint="eastAsia" w:hAnsi="宋体"/>
                <w:b/>
                <w:color w:val="auto"/>
                <w:kern w:val="0"/>
                <w:u w:val="single"/>
              </w:rPr>
              <w:t>日</w:t>
            </w:r>
            <w:r>
              <w:rPr>
                <w:rFonts w:hint="eastAsia" w:hAnsi="宋体"/>
                <w:b/>
                <w:color w:val="auto"/>
                <w:kern w:val="0"/>
              </w:rPr>
              <w:t>9</w:t>
            </w:r>
            <w:r>
              <w:rPr>
                <w:rFonts w:hint="eastAsia" w:hAnsi="宋体"/>
                <w:b/>
                <w:bCs/>
                <w:color w:val="auto"/>
              </w:rPr>
              <w:t>时</w:t>
            </w:r>
            <w:r>
              <w:rPr>
                <w:rFonts w:hint="eastAsia" w:hAnsi="宋体"/>
                <w:b/>
                <w:color w:val="auto"/>
                <w:kern w:val="0"/>
              </w:rPr>
              <w:t>30</w:t>
            </w:r>
            <w:r>
              <w:rPr>
                <w:rFonts w:hint="eastAsia" w:hAnsi="宋体"/>
                <w:b/>
                <w:bCs/>
                <w:color w:val="auto"/>
              </w:rPr>
              <w:t>分截标后（如有变动，具体时间由采购代理机构另行通知）</w:t>
            </w:r>
          </w:p>
          <w:p>
            <w:pPr>
              <w:pStyle w:val="87"/>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bCs/>
                <w:color w:val="auto"/>
              </w:rPr>
              <w:t>磋商地点：</w:t>
            </w:r>
            <w:r>
              <w:rPr>
                <w:rFonts w:hint="eastAsia" w:hAnsi="宋体"/>
                <w:color w:val="auto"/>
              </w:rPr>
              <w:t>华夏城投项目管理有限公司评标室（南宁市东葛路118号青秀万达写字楼银座</w:t>
            </w:r>
            <w:r>
              <w:rPr>
                <w:rFonts w:hint="eastAsia"/>
                <w:color w:val="auto"/>
                <w:sz w:val="21"/>
                <w:szCs w:val="21"/>
              </w:rPr>
              <w:t>8楼808室</w:t>
            </w:r>
            <w:r>
              <w:rPr>
                <w:rFonts w:hint="eastAsia" w:hAnsi="宋体"/>
                <w:color w:val="auto"/>
              </w:rPr>
              <w:t>）</w:t>
            </w:r>
          </w:p>
          <w:p>
            <w:pPr>
              <w:pStyle w:val="87"/>
              <w:keepNext w:val="0"/>
              <w:keepLines w:val="0"/>
              <w:suppressLineNumbers w:val="0"/>
              <w:spacing w:before="0" w:beforeAutospacing="0" w:after="0" w:afterAutospacing="0" w:line="400" w:lineRule="exact"/>
              <w:ind w:left="0" w:right="0"/>
              <w:rPr>
                <w:rFonts w:hint="default" w:hAnsi="宋体"/>
                <w:color w:val="auto"/>
                <w:kern w:val="0"/>
              </w:rPr>
            </w:pPr>
            <w:r>
              <w:rPr>
                <w:rFonts w:hint="eastAsia" w:hAnsi="宋体"/>
                <w:color w:val="auto"/>
              </w:rPr>
              <w:t>参加磋商的法定代表人(负责人)或委托代理人必须持有效证件[法定代表人(负责人)凭身份证或委托代理人凭法人授权委托书原件和身份证]依时到达指定地点等候当面磋商。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9</w:t>
            </w:r>
          </w:p>
        </w:tc>
        <w:tc>
          <w:tcPr>
            <w:tcW w:w="8365" w:type="dxa"/>
            <w:tcBorders>
              <w:top w:val="single" w:color="auto" w:sz="4" w:space="0"/>
              <w:left w:val="nil"/>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评审方法：综合评分法（详细见第六章）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10</w:t>
            </w:r>
          </w:p>
        </w:tc>
        <w:tc>
          <w:tcPr>
            <w:tcW w:w="83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宋体" w:hAnsi="宋体" w:cs="宋体"/>
                <w:color w:val="auto"/>
              </w:rPr>
            </w:pPr>
            <w:r>
              <w:rPr>
                <w:rFonts w:hint="eastAsia" w:ascii="宋体" w:hAnsi="宋体" w:cs="宋体"/>
                <w:color w:val="auto"/>
              </w:rPr>
              <w:t>响应文件形式：</w:t>
            </w:r>
            <w:r>
              <w:rPr>
                <w:rFonts w:hint="eastAsia" w:ascii="宋体" w:hAnsi="宋体" w:cs="宋体"/>
                <w:snapToGrid w:val="0"/>
                <w:color w:val="auto"/>
              </w:rPr>
              <w:t>磋商供应商应提交纸质响应文件。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w:t>
            </w:r>
          </w:p>
        </w:tc>
        <w:tc>
          <w:tcPr>
            <w:tcW w:w="8365" w:type="dxa"/>
            <w:tcBorders>
              <w:top w:val="single" w:color="auto" w:sz="4" w:space="0"/>
              <w:left w:val="nil"/>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rPr>
                <w:rFonts w:hint="default" w:hAnsi="宋体"/>
                <w:color w:val="auto"/>
              </w:rPr>
            </w:pPr>
            <w:r>
              <w:rPr>
                <w:rFonts w:hint="eastAsia" w:hAnsi="宋体"/>
                <w:snapToGrid w:val="0"/>
                <w:color w:val="auto"/>
              </w:rPr>
              <w:t>响应文件的编制：供应商必须按照磋商文件的要求编制响应文件,并对其提交的响应文件的真实性、合法性承担法律责任。响应文件必须对磋商文件作出实质性响应。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12</w:t>
            </w:r>
          </w:p>
        </w:tc>
        <w:tc>
          <w:tcPr>
            <w:tcW w:w="8365" w:type="dxa"/>
            <w:tcBorders>
              <w:top w:val="single" w:color="auto" w:sz="4" w:space="0"/>
              <w:left w:val="nil"/>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rPr>
                <w:rFonts w:hint="default" w:hAnsi="宋体"/>
                <w:color w:val="auto"/>
              </w:rPr>
            </w:pPr>
            <w:r>
              <w:rPr>
                <w:rFonts w:hint="eastAsia" w:hAnsi="宋体"/>
                <w:snapToGrid w:val="0"/>
                <w:color w:val="auto"/>
              </w:rPr>
              <w:t>响应文件的盖章：响应文件中所涉及的盖章均加盖供应商公章。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13</w:t>
            </w:r>
          </w:p>
        </w:tc>
        <w:tc>
          <w:tcPr>
            <w:tcW w:w="8365" w:type="dxa"/>
            <w:tcBorders>
              <w:top w:val="single" w:color="auto" w:sz="4" w:space="0"/>
              <w:left w:val="nil"/>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rPr>
                <w:rFonts w:hint="default" w:hAnsi="宋体"/>
                <w:snapToGrid w:val="0"/>
                <w:color w:val="auto"/>
              </w:rPr>
            </w:pPr>
            <w:r>
              <w:rPr>
                <w:rFonts w:hint="eastAsia" w:hAnsi="宋体"/>
                <w:snapToGrid w:val="0"/>
                <w:color w:val="auto"/>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pPr>
              <w:pStyle w:val="87"/>
              <w:keepNext w:val="0"/>
              <w:keepLines w:val="0"/>
              <w:suppressLineNumbers w:val="0"/>
              <w:spacing w:before="0" w:beforeAutospacing="0" w:after="0" w:afterAutospacing="0" w:line="400" w:lineRule="exact"/>
              <w:ind w:left="0" w:right="0"/>
              <w:rPr>
                <w:rFonts w:hint="default" w:hAnsi="宋体"/>
                <w:color w:val="auto"/>
              </w:rPr>
            </w:pPr>
            <w:r>
              <w:rPr>
                <w:rFonts w:hint="eastAsia" w:hAnsi="宋体"/>
                <w:snapToGrid w:val="0"/>
                <w:color w:val="auto"/>
              </w:rPr>
              <w:t>2.本文件中描述供应商的“签字”是指供应商的法定代表人（或负责人）或被授权人亲自在磋商文件规定签署处亲笔写上个人的名字的行为，私章、签字章、印鉴、影印等其它形式均不能代替亲笔签字。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14</w:t>
            </w:r>
          </w:p>
        </w:tc>
        <w:tc>
          <w:tcPr>
            <w:tcW w:w="8365" w:type="dxa"/>
            <w:tcBorders>
              <w:top w:val="single" w:color="auto" w:sz="4" w:space="0"/>
              <w:left w:val="nil"/>
              <w:bottom w:val="single" w:color="auto" w:sz="4" w:space="0"/>
              <w:right w:val="single" w:color="auto" w:sz="4" w:space="0"/>
            </w:tcBorders>
            <w:vAlign w:val="center"/>
          </w:tcPr>
          <w:p>
            <w:pPr>
              <w:pStyle w:val="24"/>
              <w:keepNext w:val="0"/>
              <w:keepLines w:val="0"/>
              <w:suppressLineNumbers w:val="0"/>
              <w:spacing w:before="0" w:beforeAutospacing="0" w:after="0" w:afterAutospacing="0" w:line="360" w:lineRule="exact"/>
              <w:ind w:left="0" w:right="0"/>
              <w:rPr>
                <w:rFonts w:hint="default" w:hAnsi="宋体" w:cs="宋体"/>
                <w:color w:val="auto"/>
              </w:rPr>
            </w:pPr>
            <w:r>
              <w:rPr>
                <w:rFonts w:hint="eastAsia" w:hAnsi="宋体" w:cs="宋体"/>
                <w:snapToGrid w:val="0"/>
                <w:color w:val="auto"/>
              </w:rPr>
              <w:t>响应文件份数：</w:t>
            </w:r>
            <w:r>
              <w:rPr>
                <w:rFonts w:hint="eastAsia" w:hAnsi="宋体" w:cs="宋体"/>
                <w:color w:val="auto"/>
              </w:rPr>
              <w:t>响应文件：正本一份副本四份，竞争性磋商响应文件电子版光盘1份(光盘封面请注明项目名称、项目编号及磋商供应商名称)。</w:t>
            </w:r>
          </w:p>
        </w:tc>
      </w:tr>
    </w:tbl>
    <w:p>
      <w:pPr>
        <w:pageBreakBefore/>
        <w:spacing w:line="400" w:lineRule="exact"/>
        <w:jc w:val="center"/>
        <w:rPr>
          <w:rFonts w:ascii="宋体" w:hAnsi="宋体" w:cs="宋体"/>
          <w:b/>
          <w:bCs/>
          <w:color w:val="auto"/>
          <w:sz w:val="32"/>
          <w:szCs w:val="32"/>
        </w:rPr>
      </w:pPr>
      <w:r>
        <w:rPr>
          <w:rFonts w:hint="eastAsia" w:ascii="宋体" w:hAnsi="宋体" w:cs="宋体"/>
          <w:b/>
          <w:bCs/>
          <w:color w:val="auto"/>
          <w:sz w:val="32"/>
          <w:szCs w:val="32"/>
        </w:rPr>
        <w:t>供应商须知</w:t>
      </w:r>
    </w:p>
    <w:p>
      <w:pPr>
        <w:spacing w:line="440" w:lineRule="exact"/>
        <w:ind w:firstLine="422" w:firstLineChars="200"/>
        <w:rPr>
          <w:rFonts w:ascii="宋体" w:hAnsi="宋体" w:cs="宋体"/>
          <w:b/>
          <w:bCs/>
          <w:color w:val="auto"/>
        </w:rPr>
      </w:pPr>
      <w:r>
        <w:rPr>
          <w:rFonts w:hint="eastAsia" w:ascii="宋体" w:hAnsi="宋体" w:cs="宋体"/>
          <w:b/>
          <w:bCs/>
          <w:color w:val="auto"/>
        </w:rPr>
        <w:t>一、总 则</w:t>
      </w:r>
    </w:p>
    <w:p>
      <w:pPr>
        <w:spacing w:line="440" w:lineRule="exact"/>
        <w:ind w:firstLine="420" w:firstLineChars="200"/>
        <w:rPr>
          <w:rFonts w:ascii="宋体" w:hAnsi="宋体" w:cs="宋体"/>
          <w:color w:val="auto"/>
        </w:rPr>
      </w:pPr>
      <w:r>
        <w:rPr>
          <w:rFonts w:hint="eastAsia" w:ascii="宋体" w:hAnsi="宋体" w:cs="宋体"/>
          <w:color w:val="auto"/>
        </w:rPr>
        <w:t>1. 适用范围</w:t>
      </w:r>
    </w:p>
    <w:p>
      <w:pPr>
        <w:pStyle w:val="24"/>
        <w:spacing w:line="440" w:lineRule="exact"/>
        <w:ind w:firstLine="411" w:firstLineChars="196"/>
        <w:rPr>
          <w:rFonts w:hAnsi="宋体" w:cs="宋体"/>
          <w:bCs/>
          <w:color w:val="auto"/>
        </w:rPr>
      </w:pPr>
      <w:r>
        <w:rPr>
          <w:rFonts w:hint="eastAsia" w:hAnsi="宋体" w:cs="宋体"/>
          <w:color w:val="auto"/>
        </w:rPr>
        <w:t>1.1项目名称：</w:t>
      </w:r>
      <w:r>
        <w:rPr>
          <w:rFonts w:hint="eastAsia" w:hAnsi="宋体" w:cs="宋体"/>
          <w:color w:val="auto"/>
          <w:u w:val="single"/>
        </w:rPr>
        <w:t>多参数生物反馈仪采购项目。</w:t>
      </w:r>
    </w:p>
    <w:p>
      <w:pPr>
        <w:spacing w:line="440" w:lineRule="exact"/>
        <w:ind w:firstLine="840" w:firstLineChars="400"/>
        <w:rPr>
          <w:rFonts w:ascii="宋体" w:hAnsi="宋体" w:cs="宋体"/>
          <w:color w:val="auto"/>
        </w:rPr>
      </w:pPr>
      <w:r>
        <w:rPr>
          <w:rFonts w:hint="eastAsia" w:ascii="宋体" w:hAnsi="宋体" w:cs="宋体"/>
          <w:color w:val="auto"/>
        </w:rPr>
        <w:t>本文件仅适用于本文件中所叙述的货物采购项目。</w:t>
      </w:r>
    </w:p>
    <w:p>
      <w:pPr>
        <w:spacing w:line="440" w:lineRule="exact"/>
        <w:ind w:firstLine="420" w:firstLineChars="200"/>
        <w:rPr>
          <w:rFonts w:ascii="宋体" w:hAnsi="宋体" w:cs="宋体"/>
          <w:color w:val="auto"/>
        </w:rPr>
      </w:pPr>
      <w:r>
        <w:rPr>
          <w:rFonts w:hint="eastAsia" w:ascii="宋体" w:hAnsi="宋体" w:cs="宋体"/>
          <w:color w:val="auto"/>
        </w:rPr>
        <w:t>2. 定义</w:t>
      </w:r>
    </w:p>
    <w:p>
      <w:pPr>
        <w:spacing w:line="440" w:lineRule="exact"/>
        <w:ind w:firstLine="420" w:firstLineChars="200"/>
        <w:rPr>
          <w:rFonts w:ascii="宋体" w:hAnsi="宋体" w:cs="宋体"/>
          <w:color w:val="auto"/>
        </w:rPr>
      </w:pPr>
      <w:r>
        <w:rPr>
          <w:rFonts w:hint="eastAsia" w:ascii="宋体" w:hAnsi="宋体" w:cs="宋体"/>
          <w:color w:val="auto"/>
        </w:rPr>
        <w:t>2.1“采购人”是指：</w:t>
      </w:r>
      <w:r>
        <w:rPr>
          <w:rFonts w:hint="eastAsia" w:ascii="宋体" w:hAnsi="宋体" w:cs="宋体"/>
          <w:color w:val="auto"/>
          <w:u w:val="single"/>
        </w:rPr>
        <w:t>广西中医药大学第一附属医院</w:t>
      </w:r>
    </w:p>
    <w:p>
      <w:pPr>
        <w:spacing w:line="440" w:lineRule="exact"/>
        <w:ind w:firstLine="420" w:firstLineChars="200"/>
        <w:rPr>
          <w:rFonts w:ascii="宋体" w:hAnsi="宋体" w:cs="宋体"/>
          <w:color w:val="auto"/>
        </w:rPr>
      </w:pPr>
      <w:r>
        <w:rPr>
          <w:rFonts w:hint="eastAsia" w:ascii="宋体" w:hAnsi="宋体" w:cs="宋体"/>
          <w:color w:val="auto"/>
        </w:rPr>
        <w:t>2.2“采购代理机构”是指：华夏城投项目管理有限公司(以下简称“采购代理机构”)。</w:t>
      </w:r>
    </w:p>
    <w:p>
      <w:pPr>
        <w:spacing w:line="440" w:lineRule="exact"/>
        <w:ind w:firstLine="420" w:firstLineChars="200"/>
        <w:rPr>
          <w:rFonts w:ascii="宋体" w:hAnsi="宋体" w:cs="宋体"/>
          <w:color w:val="auto"/>
        </w:rPr>
      </w:pPr>
      <w:r>
        <w:rPr>
          <w:rFonts w:hint="eastAsia" w:ascii="宋体" w:hAnsi="宋体" w:cs="宋体"/>
          <w:color w:val="auto"/>
        </w:rPr>
        <w:t>2.3“供应商”是指响应本文件要求，参加磋商的法人或者其他组织和自然人。如果该供应商在本次磋商中成交,即成为“成交供应商”。</w:t>
      </w:r>
    </w:p>
    <w:p>
      <w:pPr>
        <w:spacing w:line="440" w:lineRule="exact"/>
        <w:ind w:firstLine="420" w:firstLineChars="200"/>
        <w:rPr>
          <w:rFonts w:ascii="宋体" w:hAnsi="宋体" w:cs="宋体"/>
          <w:color w:val="auto"/>
        </w:rPr>
      </w:pPr>
      <w:r>
        <w:rPr>
          <w:rFonts w:hint="eastAsia" w:ascii="宋体" w:hAnsi="宋体" w:cs="宋体"/>
          <w:color w:val="auto"/>
        </w:rPr>
        <w:t>2.4“货物”是指各种形态和种类的物品，包括原材料、燃料、设备、产品等。</w:t>
      </w:r>
    </w:p>
    <w:p>
      <w:pPr>
        <w:spacing w:line="440" w:lineRule="exact"/>
        <w:ind w:firstLine="420" w:firstLineChars="200"/>
        <w:rPr>
          <w:rFonts w:ascii="宋体" w:hAnsi="宋体" w:cs="宋体"/>
          <w:color w:val="auto"/>
        </w:rPr>
      </w:pPr>
      <w:r>
        <w:rPr>
          <w:rFonts w:hint="eastAsia" w:ascii="宋体" w:hAnsi="宋体" w:cs="宋体"/>
          <w:color w:val="auto"/>
        </w:rPr>
        <w:t>2.5“服务”是指除货物和工程以外的其他政府采购对象。</w:t>
      </w:r>
    </w:p>
    <w:p>
      <w:pPr>
        <w:spacing w:line="440" w:lineRule="exact"/>
        <w:ind w:firstLine="420" w:firstLineChars="200"/>
        <w:rPr>
          <w:rFonts w:ascii="宋体" w:hAnsi="宋体" w:cs="宋体"/>
          <w:color w:val="auto"/>
        </w:rPr>
      </w:pPr>
      <w:r>
        <w:rPr>
          <w:rFonts w:hint="eastAsia" w:ascii="宋体" w:hAnsi="宋体" w:cs="宋体"/>
          <w:color w:val="auto"/>
        </w:rPr>
        <w:t>2.6“竞争性磋商响应文件”是指：供应商根据本文件要求，编制包含报价、技术和服务等所有内容的文件。</w:t>
      </w:r>
    </w:p>
    <w:p>
      <w:pPr>
        <w:spacing w:line="440" w:lineRule="exact"/>
        <w:ind w:firstLine="422" w:firstLineChars="200"/>
        <w:rPr>
          <w:rFonts w:ascii="宋体" w:hAnsi="宋体" w:cs="宋体"/>
          <w:b/>
          <w:bCs/>
          <w:color w:val="auto"/>
        </w:rPr>
      </w:pPr>
      <w:r>
        <w:rPr>
          <w:rFonts w:hint="eastAsia" w:ascii="宋体" w:hAnsi="宋体" w:cs="宋体"/>
          <w:b/>
          <w:bCs/>
          <w:color w:val="auto"/>
        </w:rPr>
        <w:t>3. 供应商的基本条件</w:t>
      </w:r>
    </w:p>
    <w:p>
      <w:pPr>
        <w:spacing w:line="440" w:lineRule="exact"/>
        <w:ind w:firstLine="424" w:firstLineChars="202"/>
        <w:rPr>
          <w:rFonts w:ascii="宋体" w:hAnsi="宋体" w:cs="宋体"/>
          <w:color w:val="auto"/>
        </w:rPr>
      </w:pPr>
      <w:r>
        <w:rPr>
          <w:rFonts w:hint="eastAsia" w:ascii="宋体" w:hAnsi="宋体" w:cs="宋体"/>
          <w:color w:val="auto"/>
        </w:rPr>
        <w:t>3.1供应商资格：详见竞争性磋商公告</w:t>
      </w:r>
    </w:p>
    <w:p>
      <w:pPr>
        <w:spacing w:line="440" w:lineRule="exact"/>
        <w:ind w:firstLine="424" w:firstLineChars="202"/>
        <w:rPr>
          <w:rFonts w:ascii="宋体" w:hAnsi="宋体" w:cs="宋体"/>
          <w:color w:val="auto"/>
        </w:rPr>
      </w:pPr>
      <w:r>
        <w:rPr>
          <w:rFonts w:hint="eastAsia" w:ascii="宋体" w:hAnsi="宋体" w:cs="宋体"/>
          <w:color w:val="auto"/>
        </w:rPr>
        <w:t>3.2参加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采购活动。供应商可在“信用中国”网站（www.creditchina.gov.cn）、中国政府采购网（www.ccgp.gov.cn）查询相关供应商主体信用记录）。</w:t>
      </w:r>
    </w:p>
    <w:p>
      <w:pPr>
        <w:spacing w:line="440" w:lineRule="exact"/>
        <w:ind w:firstLine="424" w:firstLineChars="201"/>
        <w:rPr>
          <w:rFonts w:ascii="宋体" w:hAnsi="宋体" w:cs="宋体"/>
          <w:b/>
          <w:bCs/>
          <w:color w:val="auto"/>
        </w:rPr>
      </w:pPr>
      <w:r>
        <w:rPr>
          <w:rFonts w:hint="eastAsia" w:ascii="宋体" w:hAnsi="宋体" w:cs="宋体"/>
          <w:b/>
          <w:bCs/>
          <w:color w:val="auto"/>
        </w:rPr>
        <w:t>4. 磋商费用、竞争性磋商公告、竞争性磋商文件的澄清和修改</w:t>
      </w:r>
    </w:p>
    <w:p>
      <w:pPr>
        <w:spacing w:line="440" w:lineRule="exact"/>
        <w:ind w:firstLine="420" w:firstLineChars="200"/>
        <w:rPr>
          <w:rFonts w:ascii="宋体" w:hAnsi="宋体" w:cs="宋体"/>
          <w:color w:val="auto"/>
        </w:rPr>
      </w:pPr>
      <w:r>
        <w:rPr>
          <w:rFonts w:hint="eastAsia" w:ascii="宋体" w:hAnsi="宋体" w:cs="宋体"/>
          <w:color w:val="auto"/>
        </w:rPr>
        <w:t>4.1磋商费用：供应商应自行承担所有与编写和提交竞争性磋商响应文件有关的费用，不论磋商结果如何，采购人和采购代理机构在任何情况下无义务和责任承担此类费用。</w:t>
      </w:r>
    </w:p>
    <w:p>
      <w:pPr>
        <w:pStyle w:val="24"/>
        <w:spacing w:line="440" w:lineRule="exact"/>
        <w:ind w:firstLine="420"/>
        <w:rPr>
          <w:rFonts w:hAnsi="宋体" w:cs="宋体"/>
          <w:color w:val="auto"/>
        </w:rPr>
      </w:pPr>
      <w:r>
        <w:rPr>
          <w:rFonts w:hint="eastAsia" w:hAnsi="宋体" w:cs="宋体"/>
          <w:color w:val="auto"/>
        </w:rPr>
        <w:t>4.2</w:t>
      </w:r>
      <w:r>
        <w:rPr>
          <w:rFonts w:hint="eastAsia" w:hAnsi="宋体" w:cs="宋体"/>
          <w:bCs/>
          <w:color w:val="auto"/>
        </w:rPr>
        <w:t>竞争性磋商公告</w:t>
      </w:r>
      <w:r>
        <w:rPr>
          <w:rFonts w:hint="eastAsia" w:hAnsi="宋体" w:cs="宋体"/>
          <w:color w:val="auto"/>
        </w:rPr>
        <w:t>：见中国采购与招标网（http://www.chinabidding.com.cn/）、华夏城投项目管理有限公司官网（http://www.sxhx2001.com）。</w:t>
      </w:r>
    </w:p>
    <w:p>
      <w:pPr>
        <w:spacing w:line="440" w:lineRule="exact"/>
        <w:ind w:firstLine="420" w:firstLineChars="200"/>
        <w:rPr>
          <w:rFonts w:ascii="宋体" w:hAnsi="宋体" w:cs="宋体"/>
          <w:color w:val="auto"/>
        </w:rPr>
      </w:pPr>
      <w:r>
        <w:rPr>
          <w:rFonts w:hint="eastAsia" w:ascii="宋体" w:hAnsi="宋体" w:cs="宋体"/>
          <w:color w:val="auto"/>
        </w:rPr>
        <w:t>4.3竞争性磋商文件的澄清和修改：</w:t>
      </w:r>
    </w:p>
    <w:p>
      <w:pPr>
        <w:pStyle w:val="24"/>
        <w:spacing w:line="440" w:lineRule="exact"/>
        <w:ind w:firstLine="420"/>
        <w:rPr>
          <w:rFonts w:hAnsi="宋体" w:cs="宋体"/>
          <w:color w:val="auto"/>
        </w:rPr>
      </w:pPr>
      <w:r>
        <w:rPr>
          <w:rFonts w:hint="eastAsia" w:hAnsi="宋体" w:cs="宋体"/>
          <w:color w:val="auto"/>
        </w:rPr>
        <w:t>4.3.1供应商应认真审核《采购需求》中的技术参数、配置及要求，如发现采购需求中技术参数、配置有误或要求不合理的，供应商必须在规定的时间前要求澄清，否则，由此产生的后果由供应商负责。</w:t>
      </w:r>
    </w:p>
    <w:p>
      <w:pPr>
        <w:pStyle w:val="24"/>
        <w:spacing w:line="440" w:lineRule="exact"/>
        <w:ind w:firstLine="420"/>
        <w:rPr>
          <w:rFonts w:hAnsi="宋体" w:cs="宋体"/>
          <w:color w:val="auto"/>
        </w:rPr>
      </w:pPr>
      <w:r>
        <w:rPr>
          <w:rFonts w:hint="eastAsia" w:hAnsi="宋体" w:cs="宋体"/>
          <w:color w:val="auto"/>
        </w:rPr>
        <w:t>4.3.2任何要求澄清竞争性磋商文件的供应商，均应在响应文件递交截止日期三日前的正常工作时间以传真等书面形式通知采购代理机构，同时认定其他澄清方式为无效。采购代理机构将以书面形式予以答复。</w:t>
      </w:r>
    </w:p>
    <w:p>
      <w:pPr>
        <w:widowControl/>
        <w:spacing w:line="440" w:lineRule="exact"/>
        <w:ind w:firstLine="420"/>
        <w:jc w:val="left"/>
        <w:rPr>
          <w:rFonts w:ascii="宋体" w:hAnsi="宋体" w:cs="宋体"/>
          <w:color w:val="auto"/>
        </w:rPr>
      </w:pPr>
      <w:r>
        <w:rPr>
          <w:rFonts w:hint="eastAsia" w:ascii="宋体" w:hAnsi="宋体" w:cs="宋体"/>
          <w:color w:val="auto"/>
        </w:rPr>
        <w:t>4.3.3采购代理机构对已发出的磋商文件进行必要澄清或者修改的，澄清和修改对供应商编制响应文件造成实质影响的，在竞争性磋商文件要求提交竞争性磋商响应文件截止时间五日前（不足五日顺延），在中国采购与招标网（http://www.chinabidding.com.cn/）、华夏城投项目管理有限公司官网（http://www.sxhx2001.com）上发布更正公告，并通知所有竞争性磋商文件收受人。该澄清或者修改的内容为竞争性磋商文件的组成部分。</w:t>
      </w:r>
    </w:p>
    <w:p>
      <w:pPr>
        <w:spacing w:line="440" w:lineRule="exact"/>
        <w:ind w:firstLine="420" w:firstLineChars="200"/>
        <w:rPr>
          <w:rFonts w:ascii="宋体" w:hAnsi="宋体" w:cs="宋体"/>
          <w:color w:val="auto"/>
        </w:rPr>
      </w:pPr>
      <w:r>
        <w:rPr>
          <w:rFonts w:hint="eastAsia" w:ascii="宋体" w:hAnsi="宋体" w:cs="宋体"/>
          <w:color w:val="auto"/>
        </w:rPr>
        <w:t>4.3.4采购代理机构可视具体情况，延长响应文件递交截止时间和开标时间。采购代理机构至少在竞争性磋商文件要求提交竞争性磋商响应文件的截止时间一日前，将变更时间通知所有竞争性磋商文件收受人，并在中国采购与招标网（http://www.chinabidding.com.cn/）、华夏城投项目管理有限公司官网（http://www.sxhx2001.com）上发布变更公告。</w:t>
      </w:r>
    </w:p>
    <w:p>
      <w:pPr>
        <w:spacing w:line="440" w:lineRule="exact"/>
        <w:ind w:firstLine="422" w:firstLineChars="200"/>
        <w:rPr>
          <w:rFonts w:ascii="宋体" w:hAnsi="宋体" w:cs="宋体"/>
          <w:b/>
          <w:bCs/>
          <w:color w:val="auto"/>
        </w:rPr>
      </w:pPr>
      <w:r>
        <w:rPr>
          <w:rFonts w:hint="eastAsia" w:ascii="宋体" w:hAnsi="宋体" w:cs="宋体"/>
          <w:b/>
          <w:bCs/>
          <w:color w:val="auto"/>
        </w:rPr>
        <w:t>二、竞争性磋商响应文件的编制</w:t>
      </w:r>
    </w:p>
    <w:p>
      <w:pPr>
        <w:spacing w:line="440" w:lineRule="exact"/>
        <w:ind w:firstLine="420" w:firstLineChars="200"/>
        <w:rPr>
          <w:rFonts w:ascii="宋体" w:hAnsi="宋体" w:cs="宋体"/>
          <w:color w:val="auto"/>
        </w:rPr>
      </w:pPr>
      <w:r>
        <w:rPr>
          <w:rFonts w:hint="eastAsia" w:ascii="宋体" w:hAnsi="宋体" w:cs="宋体"/>
          <w:color w:val="auto"/>
        </w:rPr>
        <w:t>5. 竞争性磋商响应文件编制基本要求</w:t>
      </w:r>
    </w:p>
    <w:p>
      <w:pPr>
        <w:spacing w:line="440" w:lineRule="exact"/>
        <w:ind w:firstLine="420" w:firstLineChars="200"/>
        <w:rPr>
          <w:rFonts w:ascii="宋体" w:hAnsi="宋体" w:cs="宋体"/>
          <w:color w:val="auto"/>
        </w:rPr>
      </w:pPr>
      <w:r>
        <w:rPr>
          <w:rFonts w:hint="eastAsia" w:ascii="宋体" w:hAnsi="宋体" w:cs="宋体"/>
          <w:color w:val="auto"/>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pacing w:line="440" w:lineRule="exact"/>
        <w:ind w:firstLine="420" w:firstLineChars="200"/>
        <w:rPr>
          <w:rFonts w:ascii="宋体" w:hAnsi="宋体" w:cs="宋体"/>
          <w:color w:val="auto"/>
        </w:rPr>
      </w:pPr>
      <w:r>
        <w:rPr>
          <w:rFonts w:hint="eastAsia" w:ascii="宋体" w:hAnsi="宋体" w:cs="宋体"/>
          <w:color w:val="auto"/>
        </w:rPr>
        <w:t>5.2响应文件须由磋商供应商在规定位置盖章并由法定代表人或法定代表人的授权委托人签署，磋商供应商应写全称。</w:t>
      </w:r>
    </w:p>
    <w:p>
      <w:pPr>
        <w:spacing w:line="440" w:lineRule="exact"/>
        <w:ind w:firstLine="420" w:firstLineChars="200"/>
        <w:rPr>
          <w:rFonts w:ascii="宋体" w:hAnsi="宋体" w:cs="宋体"/>
          <w:color w:val="auto"/>
        </w:rPr>
      </w:pPr>
      <w:r>
        <w:rPr>
          <w:rFonts w:hint="eastAsia" w:ascii="宋体" w:hAnsi="宋体" w:cs="宋体"/>
          <w:color w:val="auto"/>
        </w:rPr>
        <w:t>5.3响应文件不得涂改，若有修改错漏处，须加盖单位公章或者法定代表人或授权委托人签字或盖章。响应文件因扫描不清晰或乱码或表达不清所引起的后果由磋商供应商负责。</w:t>
      </w:r>
    </w:p>
    <w:p>
      <w:pPr>
        <w:spacing w:line="440" w:lineRule="exact"/>
        <w:ind w:firstLine="420" w:firstLineChars="200"/>
        <w:rPr>
          <w:rFonts w:ascii="宋体" w:hAnsi="宋体" w:cs="宋体"/>
          <w:color w:val="auto"/>
        </w:rPr>
      </w:pPr>
      <w:r>
        <w:rPr>
          <w:rFonts w:hint="eastAsia" w:ascii="宋体" w:hAnsi="宋体" w:cs="宋体"/>
          <w:color w:val="auto"/>
        </w:rPr>
        <w:t>5.4竞争性磋商响应文件的组成：</w:t>
      </w:r>
      <w:r>
        <w:rPr>
          <w:rFonts w:hint="eastAsia" w:ascii="宋体" w:hAnsi="宋体"/>
          <w:color w:val="auto"/>
        </w:rPr>
        <w:t>竞争性磋商响应文件应分为价格文件、资格证明文件和商务技术文件三个部分组成（要求装订成一本）</w:t>
      </w:r>
      <w:r>
        <w:rPr>
          <w:rFonts w:hint="eastAsia" w:ascii="宋体" w:hAnsi="宋体" w:cs="宋体"/>
          <w:color w:val="auto"/>
        </w:rPr>
        <w:t>。</w:t>
      </w:r>
    </w:p>
    <w:p>
      <w:pPr>
        <w:spacing w:line="440" w:lineRule="exact"/>
        <w:ind w:firstLine="422" w:firstLineChars="200"/>
        <w:rPr>
          <w:rFonts w:ascii="宋体" w:hAnsi="宋体"/>
          <w:b/>
          <w:color w:val="auto"/>
        </w:rPr>
      </w:pPr>
      <w:r>
        <w:rPr>
          <w:rFonts w:hint="eastAsia" w:ascii="宋体" w:hAnsi="宋体"/>
          <w:b/>
          <w:color w:val="auto"/>
        </w:rPr>
        <w:t>5.5.1价格文件</w:t>
      </w:r>
      <w:r>
        <w:rPr>
          <w:rFonts w:hint="eastAsia" w:ascii="宋体" w:hAnsi="宋体" w:cs="宋体"/>
          <w:b/>
          <w:bCs/>
          <w:color w:val="auto"/>
        </w:rPr>
        <w:t>（应该有的必须提供,如未提供,磋商小组有权拒绝其竞争性磋商响应文件）</w:t>
      </w:r>
    </w:p>
    <w:p>
      <w:pPr>
        <w:spacing w:line="440" w:lineRule="exact"/>
        <w:ind w:firstLine="420" w:firstLineChars="200"/>
        <w:rPr>
          <w:rFonts w:ascii="宋体" w:hAnsi="宋体"/>
          <w:b/>
          <w:color w:val="auto"/>
        </w:rPr>
      </w:pPr>
      <w:r>
        <w:rPr>
          <w:rFonts w:hint="eastAsia" w:ascii="宋体" w:hAnsi="宋体"/>
          <w:bCs/>
          <w:color w:val="auto"/>
        </w:rPr>
        <w:t>1）磋商响应函；（附件一）</w:t>
      </w:r>
      <w:r>
        <w:rPr>
          <w:rFonts w:hint="eastAsia" w:ascii="宋体" w:hAnsi="宋体"/>
          <w:b/>
          <w:color w:val="auto"/>
        </w:rPr>
        <w:t>[必须提供]</w:t>
      </w:r>
    </w:p>
    <w:p>
      <w:pPr>
        <w:spacing w:line="440" w:lineRule="exact"/>
        <w:ind w:firstLine="420" w:firstLineChars="200"/>
        <w:rPr>
          <w:rFonts w:ascii="宋体" w:hAnsi="宋体"/>
          <w:b/>
          <w:color w:val="auto"/>
        </w:rPr>
      </w:pPr>
      <w:r>
        <w:rPr>
          <w:rFonts w:hint="eastAsia" w:ascii="宋体" w:hAnsi="宋体"/>
          <w:bCs/>
          <w:color w:val="auto"/>
        </w:rPr>
        <w:t>2）报价表；（附件二）</w:t>
      </w:r>
      <w:r>
        <w:rPr>
          <w:rFonts w:hint="eastAsia" w:ascii="宋体" w:hAnsi="宋体"/>
          <w:b/>
          <w:color w:val="auto"/>
        </w:rPr>
        <w:t>[必须提供]</w:t>
      </w:r>
    </w:p>
    <w:p>
      <w:pPr>
        <w:spacing w:line="440" w:lineRule="exact"/>
        <w:ind w:firstLine="422" w:firstLineChars="200"/>
        <w:rPr>
          <w:rFonts w:ascii="宋体" w:hAnsi="宋体" w:cs="宋体"/>
          <w:b/>
          <w:bCs/>
          <w:color w:val="auto"/>
        </w:rPr>
      </w:pPr>
      <w:r>
        <w:rPr>
          <w:rFonts w:hint="eastAsia" w:ascii="宋体" w:hAnsi="宋体" w:cs="宋体"/>
          <w:b/>
          <w:bCs/>
          <w:color w:val="auto"/>
        </w:rPr>
        <w:t>5.5.2资格证明文件（应该有的必须提供,如未提供,磋商小组有权拒绝其竞争性磋商响应文件）</w:t>
      </w:r>
    </w:p>
    <w:p>
      <w:pPr>
        <w:spacing w:line="440" w:lineRule="exact"/>
        <w:ind w:firstLine="420" w:firstLineChars="200"/>
        <w:rPr>
          <w:rFonts w:ascii="宋体" w:hAnsi="宋体"/>
          <w:b/>
          <w:color w:val="auto"/>
        </w:rPr>
      </w:pPr>
      <w:r>
        <w:rPr>
          <w:rFonts w:hint="eastAsia" w:ascii="宋体" w:hAnsi="宋体" w:cs="宋体"/>
          <w:color w:val="auto"/>
        </w:rPr>
        <w:t>1）供应商法人或者其他组织的提供其营业执照等证明文件复印件（如营业执照或者事业单位法人证书或者执业许可证等），供应商为自然人的提供其有效身份证正反面复印件；</w:t>
      </w:r>
      <w:r>
        <w:rPr>
          <w:rFonts w:hint="eastAsia" w:ascii="宋体" w:hAnsi="宋体"/>
          <w:b/>
          <w:color w:val="auto"/>
        </w:rPr>
        <w:t>[必须提供]</w:t>
      </w:r>
    </w:p>
    <w:p>
      <w:pPr>
        <w:spacing w:line="440" w:lineRule="exact"/>
        <w:ind w:firstLine="420" w:firstLineChars="200"/>
        <w:rPr>
          <w:rFonts w:ascii="宋体" w:hAnsi="宋体"/>
          <w:b/>
          <w:color w:val="auto"/>
        </w:rPr>
      </w:pPr>
      <w:r>
        <w:rPr>
          <w:rFonts w:hint="eastAsia"/>
          <w:color w:val="auto"/>
        </w:rPr>
        <w:t>2）特定资格要求证明</w:t>
      </w:r>
      <w:r>
        <w:rPr>
          <w:rFonts w:hint="eastAsia" w:ascii="宋体" w:hAnsi="宋体" w:cs="宋体"/>
          <w:color w:val="auto"/>
        </w:rPr>
        <w:t>证明文件复印件；</w:t>
      </w:r>
      <w:r>
        <w:rPr>
          <w:rFonts w:hint="eastAsia" w:ascii="宋体" w:hAnsi="宋体"/>
          <w:b/>
          <w:color w:val="auto"/>
        </w:rPr>
        <w:t>[必须提供]</w:t>
      </w:r>
    </w:p>
    <w:p>
      <w:pPr>
        <w:spacing w:line="440" w:lineRule="exact"/>
        <w:ind w:firstLine="420" w:firstLineChars="200"/>
        <w:rPr>
          <w:rFonts w:hint="eastAsia" w:eastAsia="宋体"/>
          <w:color w:val="auto"/>
          <w:lang w:eastAsia="zh-CN"/>
        </w:rPr>
      </w:pPr>
      <w:r>
        <w:rPr>
          <w:rFonts w:hint="eastAsia"/>
          <w:color w:val="auto"/>
        </w:rPr>
        <w:t>供应商</w:t>
      </w:r>
      <w:r>
        <w:rPr>
          <w:rStyle w:val="124"/>
          <w:rFonts w:hint="eastAsia"/>
          <w:color w:val="auto"/>
          <w:sz w:val="21"/>
          <w:szCs w:val="21"/>
        </w:rPr>
        <w:t>具备有效的医疗器械经营备案凭证或者经营许可证，</w:t>
      </w:r>
      <w:r>
        <w:rPr>
          <w:rFonts w:hint="eastAsia"/>
          <w:color w:val="auto"/>
        </w:rPr>
        <w:t>且经营范围必须包含采购标的[符合《医疗器械监督管理条例》第四十一条第二款规定的除外]；或者供应商符合《医疗器械监督管理条例》第四十三条规定具备采购标的有效的医疗器械注册证</w:t>
      </w:r>
      <w:r>
        <w:rPr>
          <w:rFonts w:hint="eastAsia"/>
          <w:color w:val="auto"/>
          <w:lang w:eastAsia="zh-CN"/>
        </w:rPr>
        <w:t>。</w:t>
      </w:r>
    </w:p>
    <w:p>
      <w:pPr>
        <w:spacing w:line="440" w:lineRule="exact"/>
        <w:ind w:firstLine="420" w:firstLineChars="200"/>
        <w:rPr>
          <w:rFonts w:ascii="宋体" w:hAnsi="宋体" w:cs="宋体"/>
          <w:b/>
          <w:bCs/>
          <w:color w:val="auto"/>
        </w:rPr>
      </w:pPr>
      <w:r>
        <w:rPr>
          <w:rFonts w:hint="eastAsia" w:ascii="宋体" w:hAnsi="宋体" w:cs="宋体"/>
          <w:color w:val="auto"/>
        </w:rPr>
        <w:t>3</w:t>
      </w:r>
      <w:r>
        <w:rPr>
          <w:rFonts w:hint="eastAsia" w:ascii="宋体" w:hAnsi="宋体"/>
          <w:color w:val="auto"/>
        </w:rPr>
        <w:t>）</w:t>
      </w:r>
      <w:r>
        <w:rPr>
          <w:rFonts w:hint="eastAsia" w:ascii="宋体" w:hAnsi="宋体" w:cs="宋体"/>
          <w:color w:val="auto"/>
        </w:rPr>
        <w:t>供应商依法缴纳税收的相关材料（</w:t>
      </w:r>
      <w:r>
        <w:rPr>
          <w:rFonts w:hint="eastAsia" w:ascii="宋体" w:hAnsi="宋体" w:cs="宋体"/>
          <w:bCs/>
          <w:color w:val="auto"/>
        </w:rPr>
        <w:t>2023年4月至2023年9月</w:t>
      </w:r>
      <w:r>
        <w:rPr>
          <w:rFonts w:hint="eastAsia" w:ascii="宋体" w:hAnsi="宋体" w:cs="宋体"/>
          <w:color w:val="auto"/>
        </w:rPr>
        <w:t>期间连续3个月的依法缴纳税收的凭据复印件；</w:t>
      </w:r>
      <w:r>
        <w:rPr>
          <w:rFonts w:hint="eastAsia"/>
          <w:color w:val="auto"/>
        </w:rPr>
        <w:t>依法免税的，必须提供相应文件证明其依法免税。</w:t>
      </w:r>
      <w:r>
        <w:rPr>
          <w:rFonts w:hint="eastAsia" w:ascii="宋体" w:hAnsi="宋体" w:cs="宋体"/>
          <w:color w:val="auto"/>
        </w:rPr>
        <w:t>从</w:t>
      </w:r>
      <w:r>
        <w:rPr>
          <w:color w:val="auto"/>
        </w:rPr>
        <w:t>成立</w:t>
      </w:r>
      <w:r>
        <w:rPr>
          <w:rFonts w:hint="eastAsia"/>
          <w:color w:val="auto"/>
        </w:rPr>
        <w:t>之日起</w:t>
      </w:r>
      <w:r>
        <w:rPr>
          <w:rFonts w:hint="eastAsia" w:ascii="宋体" w:hAnsi="宋体" w:cs="宋体"/>
          <w:color w:val="auto"/>
        </w:rPr>
        <w:t>到响应文件提交截止时间止不足要求月数的，只需提供从</w:t>
      </w:r>
      <w:r>
        <w:rPr>
          <w:color w:val="auto"/>
        </w:rPr>
        <w:t>成立</w:t>
      </w:r>
      <w:r>
        <w:rPr>
          <w:rFonts w:hint="eastAsia"/>
          <w:color w:val="auto"/>
        </w:rPr>
        <w:t>之日起</w:t>
      </w:r>
      <w:r>
        <w:rPr>
          <w:rFonts w:hint="eastAsia" w:ascii="宋体" w:hAnsi="宋体" w:cs="宋体"/>
          <w:color w:val="auto"/>
        </w:rPr>
        <w:t>的依法缴纳税收</w:t>
      </w:r>
      <w:r>
        <w:rPr>
          <w:rFonts w:hint="eastAsia"/>
          <w:color w:val="auto"/>
        </w:rPr>
        <w:t>相应证明文件</w:t>
      </w:r>
      <w:r>
        <w:rPr>
          <w:rFonts w:hint="eastAsia" w:ascii="宋体" w:hAnsi="宋体" w:cs="宋体"/>
          <w:color w:val="auto"/>
        </w:rPr>
        <w:t>）；</w:t>
      </w:r>
      <w:r>
        <w:rPr>
          <w:rFonts w:hint="eastAsia" w:ascii="宋体" w:hAnsi="宋体"/>
          <w:b/>
          <w:color w:val="auto"/>
        </w:rPr>
        <w:t>[必须提供]</w:t>
      </w:r>
    </w:p>
    <w:p>
      <w:pPr>
        <w:spacing w:line="440" w:lineRule="exact"/>
        <w:ind w:firstLine="420" w:firstLineChars="200"/>
        <w:rPr>
          <w:rFonts w:ascii="宋体" w:hAnsi="宋体" w:cs="宋体"/>
          <w:color w:val="auto"/>
        </w:rPr>
      </w:pPr>
      <w:r>
        <w:rPr>
          <w:rFonts w:hint="eastAsia" w:ascii="宋体" w:hAnsi="宋体" w:cs="宋体"/>
          <w:color w:val="auto"/>
        </w:rPr>
        <w:t>4</w:t>
      </w:r>
      <w:r>
        <w:rPr>
          <w:rFonts w:hint="eastAsia" w:ascii="宋体" w:hAnsi="宋体"/>
          <w:color w:val="auto"/>
        </w:rPr>
        <w:t>）</w:t>
      </w:r>
      <w:r>
        <w:rPr>
          <w:rFonts w:hint="eastAsia" w:ascii="宋体" w:hAnsi="宋体" w:cs="宋体"/>
          <w:color w:val="auto"/>
        </w:rPr>
        <w:t>供应商依法缴纳社会保障资金的相关材料（</w:t>
      </w:r>
      <w:r>
        <w:rPr>
          <w:rFonts w:hint="eastAsia" w:ascii="宋体" w:hAnsi="宋体" w:cs="宋体"/>
          <w:bCs/>
          <w:color w:val="auto"/>
        </w:rPr>
        <w:t>2023年4月至2023年9月</w:t>
      </w:r>
      <w:r>
        <w:rPr>
          <w:rFonts w:hint="eastAsia" w:ascii="宋体" w:hAnsi="宋体" w:cs="宋体"/>
          <w:color w:val="auto"/>
        </w:rPr>
        <w:t>期间连续3个月的依法缴纳社会保障资金的缴费凭证（专用收据或者社会保险缴纳清单）复印件；</w:t>
      </w:r>
      <w:r>
        <w:rPr>
          <w:rFonts w:hint="eastAsia"/>
          <w:color w:val="auto"/>
        </w:rPr>
        <w:t>依法不需要缴纳社会保障资金的，必须提供相应文件证明不需要缴纳社会保障资金。</w:t>
      </w:r>
      <w:r>
        <w:rPr>
          <w:rFonts w:hint="eastAsia" w:ascii="宋体" w:hAnsi="宋体" w:cs="宋体"/>
          <w:color w:val="auto"/>
        </w:rPr>
        <w:t>从</w:t>
      </w:r>
      <w:r>
        <w:rPr>
          <w:color w:val="auto"/>
        </w:rPr>
        <w:t>成立</w:t>
      </w:r>
      <w:r>
        <w:rPr>
          <w:rFonts w:hint="eastAsia"/>
          <w:color w:val="auto"/>
        </w:rPr>
        <w:t>之日起</w:t>
      </w:r>
      <w:r>
        <w:rPr>
          <w:rFonts w:hint="eastAsia" w:ascii="宋体" w:hAnsi="宋体" w:cs="宋体"/>
          <w:color w:val="auto"/>
        </w:rPr>
        <w:t>到响应文件提交截止时间止不足要求月数的只需提供从</w:t>
      </w:r>
      <w:r>
        <w:rPr>
          <w:color w:val="auto"/>
        </w:rPr>
        <w:t>成立</w:t>
      </w:r>
      <w:r>
        <w:rPr>
          <w:rFonts w:hint="eastAsia"/>
          <w:color w:val="auto"/>
        </w:rPr>
        <w:t>之日起</w:t>
      </w:r>
      <w:r>
        <w:rPr>
          <w:rFonts w:hint="eastAsia" w:ascii="宋体" w:hAnsi="宋体" w:cs="宋体"/>
          <w:color w:val="auto"/>
        </w:rPr>
        <w:t>的依法缴纳社会保障资金的</w:t>
      </w:r>
      <w:r>
        <w:rPr>
          <w:rFonts w:hint="eastAsia"/>
          <w:color w:val="auto"/>
        </w:rPr>
        <w:t>相应证明文件</w:t>
      </w:r>
      <w:r>
        <w:rPr>
          <w:rFonts w:hint="eastAsia" w:ascii="宋体" w:hAnsi="宋体" w:cs="宋体"/>
          <w:color w:val="auto"/>
        </w:rPr>
        <w:t>）；</w:t>
      </w:r>
      <w:r>
        <w:rPr>
          <w:rFonts w:hint="eastAsia" w:ascii="宋体" w:hAnsi="宋体"/>
          <w:b/>
          <w:color w:val="auto"/>
        </w:rPr>
        <w:t>[必须提供]</w:t>
      </w:r>
    </w:p>
    <w:p>
      <w:pPr>
        <w:spacing w:line="440" w:lineRule="exact"/>
        <w:ind w:firstLine="420" w:firstLineChars="200"/>
        <w:rPr>
          <w:rFonts w:ascii="宋体" w:hAnsi="宋体"/>
          <w:b/>
          <w:color w:val="auto"/>
        </w:rPr>
      </w:pPr>
      <w:r>
        <w:rPr>
          <w:rFonts w:hint="eastAsia" w:ascii="宋体" w:hAnsi="宋体" w:cs="宋体"/>
          <w:color w:val="auto"/>
        </w:rPr>
        <w:t>5</w:t>
      </w:r>
      <w:r>
        <w:rPr>
          <w:rFonts w:hint="eastAsia" w:ascii="宋体" w:hAnsi="宋体"/>
          <w:color w:val="auto"/>
        </w:rPr>
        <w:t>）</w:t>
      </w:r>
      <w:r>
        <w:rPr>
          <w:rFonts w:hint="eastAsia" w:ascii="宋体" w:hAnsi="宋体"/>
          <w:bCs/>
          <w:color w:val="auto"/>
        </w:rPr>
        <w:t>财务状况证明材料</w:t>
      </w:r>
      <w:r>
        <w:rPr>
          <w:rFonts w:hint="eastAsia" w:ascii="宋体" w:hAnsi="宋体"/>
          <w:b/>
          <w:color w:val="auto"/>
        </w:rPr>
        <w:t>[</w:t>
      </w:r>
      <w:r>
        <w:rPr>
          <w:rFonts w:hint="eastAsia" w:ascii="宋体" w:hAnsi="宋体" w:cs="宋体"/>
          <w:b/>
          <w:color w:val="auto"/>
        </w:rPr>
        <w:t>2022度财务状况报告复印件或者银行出具的资信证明；供应商属于成立时间在规定年度之后的法人或其他组织，需提供成立之日起至响应文件提交截止时间上一个月的的财务状况报告或银行出具的资信证明（资信证明应在有效期内，未注明有效期的，银行出具时间至响应文件提交截止时间不超过一年)。</w:t>
      </w:r>
      <w:r>
        <w:rPr>
          <w:rFonts w:hint="eastAsia" w:ascii="宋体" w:hAnsi="宋体"/>
          <w:b/>
          <w:color w:val="auto"/>
        </w:rPr>
        <w:t>格式自拟，必须提供]</w:t>
      </w:r>
    </w:p>
    <w:p>
      <w:pPr>
        <w:spacing w:line="440" w:lineRule="exact"/>
        <w:ind w:firstLine="420" w:firstLineChars="200"/>
        <w:rPr>
          <w:rFonts w:ascii="宋体" w:hAnsi="宋体" w:cs="宋体"/>
          <w:b/>
          <w:bCs/>
          <w:color w:val="auto"/>
        </w:rPr>
      </w:pPr>
      <w:r>
        <w:rPr>
          <w:rFonts w:hint="eastAsia" w:ascii="宋体" w:hAnsi="宋体" w:cs="宋体"/>
          <w:color w:val="auto"/>
        </w:rPr>
        <w:t>6</w:t>
      </w:r>
      <w:r>
        <w:rPr>
          <w:rFonts w:hint="eastAsia" w:ascii="宋体" w:hAnsi="宋体"/>
          <w:color w:val="auto"/>
        </w:rPr>
        <w:t>）</w:t>
      </w:r>
      <w:r>
        <w:rPr>
          <w:rFonts w:hint="eastAsia" w:ascii="宋体" w:hAnsi="宋体" w:cs="宋体"/>
          <w:color w:val="auto"/>
        </w:rPr>
        <w:t>供应商直接控股、管理关系信息表；</w:t>
      </w:r>
      <w:r>
        <w:rPr>
          <w:rFonts w:hint="eastAsia" w:ascii="宋体" w:hAnsi="宋体"/>
          <w:b/>
          <w:bCs/>
          <w:color w:val="auto"/>
          <w:kern w:val="0"/>
        </w:rPr>
        <w:t>（附件三）</w:t>
      </w:r>
      <w:r>
        <w:rPr>
          <w:rFonts w:hint="eastAsia" w:ascii="宋体" w:hAnsi="宋体"/>
          <w:b/>
          <w:color w:val="auto"/>
        </w:rPr>
        <w:t>[必须提供]</w:t>
      </w:r>
    </w:p>
    <w:p>
      <w:pPr>
        <w:snapToGrid w:val="0"/>
        <w:spacing w:line="440" w:lineRule="exact"/>
        <w:ind w:firstLine="424" w:firstLineChars="202"/>
        <w:jc w:val="left"/>
        <w:rPr>
          <w:rFonts w:ascii="宋体" w:hAnsi="宋体"/>
          <w:b/>
          <w:color w:val="auto"/>
        </w:rPr>
      </w:pPr>
      <w:r>
        <w:rPr>
          <w:rFonts w:hint="eastAsia" w:ascii="宋体" w:hAnsi="宋体" w:cs="宋体"/>
          <w:color w:val="auto"/>
        </w:rPr>
        <w:t>7</w:t>
      </w:r>
      <w:r>
        <w:rPr>
          <w:rFonts w:hint="eastAsia" w:ascii="宋体" w:hAnsi="宋体"/>
          <w:color w:val="auto"/>
        </w:rPr>
        <w:t>）竞标声明</w:t>
      </w:r>
      <w:r>
        <w:rPr>
          <w:rFonts w:hint="eastAsia" w:ascii="宋体" w:hAnsi="宋体"/>
          <w:color w:val="auto"/>
          <w:kern w:val="0"/>
        </w:rPr>
        <w:t>；</w:t>
      </w:r>
      <w:r>
        <w:rPr>
          <w:rFonts w:hint="eastAsia" w:ascii="宋体" w:hAnsi="宋体"/>
          <w:b/>
          <w:bCs/>
          <w:color w:val="auto"/>
          <w:kern w:val="0"/>
        </w:rPr>
        <w:t>（附件四）</w:t>
      </w:r>
      <w:r>
        <w:rPr>
          <w:rFonts w:hint="eastAsia" w:ascii="宋体" w:hAnsi="宋体"/>
          <w:b/>
          <w:color w:val="auto"/>
        </w:rPr>
        <w:t>【必须提供】</w:t>
      </w:r>
    </w:p>
    <w:p>
      <w:pPr>
        <w:spacing w:line="440" w:lineRule="exact"/>
        <w:ind w:firstLine="420" w:firstLineChars="200"/>
        <w:rPr>
          <w:rFonts w:ascii="宋体" w:hAnsi="宋体" w:cs="宋体"/>
          <w:color w:val="auto"/>
          <w:kern w:val="0"/>
        </w:rPr>
      </w:pPr>
      <w:r>
        <w:rPr>
          <w:rFonts w:hint="eastAsia" w:ascii="宋体" w:hAnsi="宋体" w:cs="宋体"/>
          <w:color w:val="auto"/>
          <w:kern w:val="0"/>
        </w:rPr>
        <w:t xml:space="preserve">（供应商可在“信用中国”网站（www.creditchina.gov.cn）、中国政府采购网（www.ccgp.gov.cn）查询相关供应商主体信用记录。 </w:t>
      </w:r>
    </w:p>
    <w:p>
      <w:pPr>
        <w:spacing w:line="440" w:lineRule="exact"/>
        <w:ind w:firstLine="420" w:firstLineChars="200"/>
        <w:rPr>
          <w:rFonts w:ascii="宋体" w:hAnsi="宋体" w:cs="宋体"/>
          <w:color w:val="auto"/>
          <w:kern w:val="0"/>
        </w:rPr>
      </w:pPr>
      <w:r>
        <w:rPr>
          <w:rFonts w:hint="eastAsia" w:ascii="宋体" w:hAnsi="宋体" w:cs="宋体"/>
          <w:color w:val="auto"/>
          <w:kern w:val="0"/>
        </w:rPr>
        <w:t>“信用中国”网站查询方法：供应商在本项目磋商截止时间前10日内,进入供应商基本信息页面，点击“下载信用报告”后点击“下载”。</w:t>
      </w:r>
    </w:p>
    <w:p>
      <w:pPr>
        <w:spacing w:line="440" w:lineRule="exact"/>
        <w:ind w:firstLine="420" w:firstLineChars="200"/>
        <w:rPr>
          <w:rFonts w:ascii="宋体" w:hAnsi="宋体" w:cs="宋体"/>
          <w:color w:val="auto"/>
          <w:kern w:val="0"/>
        </w:rPr>
      </w:pPr>
      <w:r>
        <w:rPr>
          <w:rFonts w:hint="eastAsia" w:ascii="宋体" w:hAnsi="宋体" w:cs="宋体"/>
          <w:color w:val="auto"/>
          <w:kern w:val="0"/>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snapToGrid w:val="0"/>
        <w:spacing w:line="440" w:lineRule="exact"/>
        <w:ind w:firstLine="424" w:firstLineChars="202"/>
        <w:jc w:val="left"/>
        <w:rPr>
          <w:color w:val="auto"/>
        </w:rPr>
      </w:pPr>
      <w:r>
        <w:rPr>
          <w:rFonts w:hint="eastAsia" w:ascii="宋体" w:hAnsi="宋体" w:cs="宋体"/>
          <w:color w:val="auto"/>
          <w:kern w:val="0"/>
        </w:rPr>
        <w:t>采购人或者采购代理机构</w:t>
      </w:r>
      <w:r>
        <w:rPr>
          <w:rFonts w:hint="eastAsia" w:ascii="宋体" w:hAnsi="宋体" w:cs="宋体"/>
          <w:color w:val="auto"/>
        </w:rPr>
        <w:t>在资格审查结束前，对供应商进行信用查询，</w:t>
      </w:r>
      <w:r>
        <w:rPr>
          <w:rFonts w:hint="eastAsia" w:ascii="宋体" w:hAnsi="宋体" w:cs="宋体"/>
          <w:color w:val="auto"/>
          <w:kern w:val="0"/>
        </w:rPr>
        <w:t>并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pPr>
        <w:snapToGrid w:val="0"/>
        <w:spacing w:line="440" w:lineRule="exact"/>
        <w:ind w:firstLine="424" w:firstLineChars="202"/>
        <w:jc w:val="left"/>
        <w:rPr>
          <w:rFonts w:ascii="宋体" w:hAnsi="宋体" w:cs="宋体"/>
          <w:color w:val="auto"/>
        </w:rPr>
      </w:pPr>
      <w:r>
        <w:rPr>
          <w:rFonts w:hint="eastAsia" w:ascii="宋体" w:hAnsi="宋体"/>
          <w:color w:val="auto"/>
        </w:rPr>
        <w:t>7）</w:t>
      </w:r>
      <w:r>
        <w:rPr>
          <w:rFonts w:hint="eastAsia" w:ascii="宋体" w:hAnsi="宋体" w:cs="宋体"/>
          <w:color w:val="auto"/>
        </w:rPr>
        <w:t>除竞争性磋商文件规定必须提供以外，供应商认为需要提供的其他证明材料（如有请提供，格式自拟）。</w:t>
      </w:r>
    </w:p>
    <w:p>
      <w:pPr>
        <w:spacing w:line="440" w:lineRule="exact"/>
        <w:ind w:firstLine="422" w:firstLineChars="200"/>
        <w:rPr>
          <w:rFonts w:ascii="宋体" w:hAnsi="宋体"/>
          <w:bCs/>
          <w:color w:val="auto"/>
        </w:rPr>
      </w:pPr>
      <w:r>
        <w:rPr>
          <w:rFonts w:hint="eastAsia" w:ascii="宋体" w:hAnsi="宋体"/>
          <w:b/>
          <w:color w:val="auto"/>
        </w:rPr>
        <w:t xml:space="preserve">5.5.3 商务技术文件（应该有的必须提供,如未提供,磋商小组有权拒绝其竞争性磋商响应文件） </w:t>
      </w:r>
    </w:p>
    <w:p>
      <w:pPr>
        <w:snapToGrid w:val="0"/>
        <w:spacing w:line="360" w:lineRule="auto"/>
        <w:ind w:firstLine="420" w:firstLineChars="200"/>
        <w:rPr>
          <w:rFonts w:ascii="宋体" w:hAnsi="宋体"/>
          <w:b/>
          <w:color w:val="auto"/>
        </w:rPr>
      </w:pPr>
      <w:r>
        <w:rPr>
          <w:rFonts w:hint="eastAsia" w:ascii="宋体" w:hAnsi="宋体"/>
          <w:bCs/>
          <w:color w:val="auto"/>
        </w:rPr>
        <w:t>1）商务、技术响应、偏离情况说明表（附件五）；</w:t>
      </w:r>
      <w:r>
        <w:rPr>
          <w:rFonts w:hint="eastAsia" w:ascii="宋体" w:hAnsi="宋体"/>
          <w:b/>
          <w:color w:val="auto"/>
        </w:rPr>
        <w:t>[必须提供]</w:t>
      </w:r>
    </w:p>
    <w:p>
      <w:pPr>
        <w:pStyle w:val="29"/>
        <w:spacing w:line="360" w:lineRule="auto"/>
        <w:ind w:firstLine="630" w:firstLineChars="300"/>
        <w:rPr>
          <w:rFonts w:ascii="宋体" w:hAnsi="宋体"/>
          <w:bCs/>
          <w:color w:val="auto"/>
          <w:sz w:val="21"/>
          <w:szCs w:val="21"/>
        </w:rPr>
      </w:pPr>
      <w:r>
        <w:rPr>
          <w:rFonts w:hint="eastAsia" w:ascii="宋体" w:hAnsi="宋体"/>
          <w:bCs/>
          <w:color w:val="auto"/>
          <w:sz w:val="21"/>
          <w:szCs w:val="21"/>
        </w:rPr>
        <w:t>①商务响应、偏离情况说明表</w:t>
      </w:r>
    </w:p>
    <w:p>
      <w:pPr>
        <w:snapToGrid w:val="0"/>
        <w:spacing w:line="360" w:lineRule="auto"/>
        <w:ind w:firstLine="630" w:firstLineChars="300"/>
        <w:rPr>
          <w:rFonts w:ascii="宋体" w:hAnsi="宋体"/>
          <w:bCs/>
          <w:color w:val="auto"/>
        </w:rPr>
      </w:pPr>
      <w:r>
        <w:rPr>
          <w:rFonts w:hint="eastAsia" w:ascii="宋体" w:hAnsi="宋体"/>
          <w:bCs/>
          <w:color w:val="auto"/>
        </w:rPr>
        <w:t>②技术响应、偏离情况说明表</w:t>
      </w:r>
    </w:p>
    <w:p>
      <w:pPr>
        <w:snapToGrid w:val="0"/>
        <w:spacing w:line="360" w:lineRule="auto"/>
        <w:ind w:firstLine="420" w:firstLineChars="200"/>
        <w:rPr>
          <w:rFonts w:ascii="宋体" w:hAnsi="宋体"/>
          <w:b/>
          <w:color w:val="auto"/>
        </w:rPr>
      </w:pPr>
      <w:r>
        <w:rPr>
          <w:rFonts w:hint="eastAsia" w:ascii="宋体" w:hAnsi="宋体"/>
          <w:bCs/>
          <w:color w:val="auto"/>
        </w:rPr>
        <w:t>2）</w:t>
      </w:r>
      <w:r>
        <w:rPr>
          <w:rFonts w:hint="eastAsia" w:ascii="宋体" w:hAnsi="宋体" w:cs="宋体"/>
          <w:color w:val="auto"/>
        </w:rPr>
        <w:t>配置清单</w:t>
      </w:r>
      <w:r>
        <w:rPr>
          <w:rFonts w:hint="eastAsia" w:ascii="宋体" w:hAnsi="宋体"/>
          <w:bCs/>
          <w:color w:val="auto"/>
        </w:rPr>
        <w:t>（附件六）；</w:t>
      </w:r>
      <w:r>
        <w:rPr>
          <w:rFonts w:hint="eastAsia" w:ascii="宋体" w:hAnsi="宋体"/>
          <w:b/>
          <w:color w:val="auto"/>
        </w:rPr>
        <w:t>[必须提供]</w:t>
      </w:r>
    </w:p>
    <w:p>
      <w:pPr>
        <w:snapToGrid w:val="0"/>
        <w:spacing w:line="360" w:lineRule="auto"/>
        <w:ind w:firstLine="420" w:firstLineChars="200"/>
        <w:rPr>
          <w:rFonts w:ascii="宋体" w:hAnsi="宋体"/>
          <w:bCs/>
          <w:color w:val="auto"/>
        </w:rPr>
      </w:pPr>
      <w:r>
        <w:rPr>
          <w:rFonts w:hint="eastAsia" w:ascii="宋体" w:hAnsi="宋体"/>
          <w:bCs/>
          <w:color w:val="auto"/>
        </w:rPr>
        <w:t>3）法定代表人(负责人)授权委托书原件和委托代理人身份证</w:t>
      </w:r>
      <w:r>
        <w:rPr>
          <w:rFonts w:hint="eastAsia" w:ascii="宋体" w:hAnsi="宋体"/>
          <w:color w:val="auto"/>
        </w:rPr>
        <w:t>复印件</w:t>
      </w:r>
      <w:r>
        <w:rPr>
          <w:rFonts w:hint="eastAsia" w:ascii="宋体" w:hAnsi="宋体"/>
          <w:bCs/>
          <w:color w:val="auto"/>
        </w:rPr>
        <w:t>；（附件七）</w:t>
      </w:r>
      <w:r>
        <w:rPr>
          <w:rFonts w:hint="eastAsia" w:ascii="宋体" w:hAnsi="宋体"/>
          <w:b/>
          <w:color w:val="auto"/>
        </w:rPr>
        <w:t>[委托代理时必须提供]；</w:t>
      </w:r>
    </w:p>
    <w:p>
      <w:pPr>
        <w:snapToGrid w:val="0"/>
        <w:spacing w:line="360" w:lineRule="auto"/>
        <w:ind w:firstLine="420" w:firstLineChars="200"/>
        <w:rPr>
          <w:rFonts w:ascii="宋体" w:hAnsi="宋体"/>
          <w:bCs/>
          <w:color w:val="auto"/>
        </w:rPr>
      </w:pPr>
      <w:r>
        <w:rPr>
          <w:rFonts w:hint="eastAsia" w:ascii="宋体" w:hAnsi="宋体"/>
          <w:bCs/>
          <w:color w:val="auto"/>
        </w:rPr>
        <w:t>4）法定代表人(负责人)身份证</w:t>
      </w:r>
      <w:r>
        <w:rPr>
          <w:rFonts w:hint="eastAsia" w:ascii="宋体" w:hAnsi="宋体"/>
          <w:color w:val="auto"/>
        </w:rPr>
        <w:t>复印件</w:t>
      </w:r>
      <w:r>
        <w:rPr>
          <w:rFonts w:hint="eastAsia" w:ascii="宋体" w:hAnsi="宋体"/>
          <w:bCs/>
          <w:color w:val="auto"/>
        </w:rPr>
        <w:t>；</w:t>
      </w:r>
      <w:r>
        <w:rPr>
          <w:rFonts w:hint="eastAsia" w:ascii="宋体" w:hAnsi="宋体"/>
          <w:b/>
          <w:color w:val="auto"/>
        </w:rPr>
        <w:t>[必须提供]</w:t>
      </w:r>
    </w:p>
    <w:p>
      <w:pPr>
        <w:snapToGrid w:val="0"/>
        <w:spacing w:line="360" w:lineRule="auto"/>
        <w:ind w:firstLine="420" w:firstLineChars="200"/>
        <w:rPr>
          <w:rFonts w:ascii="宋体" w:hAnsi="宋体"/>
          <w:b/>
          <w:color w:val="auto"/>
        </w:rPr>
      </w:pPr>
      <w:r>
        <w:rPr>
          <w:rFonts w:hint="eastAsia" w:ascii="宋体" w:hAnsi="宋体"/>
          <w:color w:val="auto"/>
        </w:rPr>
        <w:t>5）售后服务承诺书；（内容可以是提供的切实可行的服务和承诺）</w:t>
      </w:r>
      <w:r>
        <w:rPr>
          <w:rFonts w:hint="eastAsia" w:ascii="宋体" w:hAnsi="宋体"/>
          <w:b/>
          <w:color w:val="auto"/>
        </w:rPr>
        <w:t>[格式自拟，必须提供]</w:t>
      </w:r>
    </w:p>
    <w:p>
      <w:pPr>
        <w:snapToGrid w:val="0"/>
        <w:spacing w:line="360" w:lineRule="auto"/>
        <w:ind w:firstLine="420" w:firstLineChars="200"/>
        <w:rPr>
          <w:rFonts w:ascii="宋体" w:hAnsi="宋体"/>
          <w:color w:val="auto"/>
        </w:rPr>
      </w:pPr>
      <w:r>
        <w:rPr>
          <w:rFonts w:hint="eastAsia" w:ascii="宋体" w:hAnsi="宋体"/>
          <w:color w:val="auto"/>
        </w:rPr>
        <w:t>6）服务检验、测试、验收执行的标准；</w:t>
      </w:r>
    </w:p>
    <w:p>
      <w:pPr>
        <w:spacing w:line="440" w:lineRule="exact"/>
        <w:ind w:firstLine="420" w:firstLineChars="200"/>
        <w:rPr>
          <w:rFonts w:ascii="宋体" w:hAnsi="宋体"/>
          <w:color w:val="auto"/>
        </w:rPr>
      </w:pPr>
      <w:r>
        <w:rPr>
          <w:rFonts w:hint="eastAsia" w:ascii="宋体" w:hAnsi="宋体"/>
          <w:color w:val="auto"/>
        </w:rPr>
        <w:t xml:space="preserve">7）服务获奖证书； </w:t>
      </w:r>
    </w:p>
    <w:p>
      <w:pPr>
        <w:spacing w:line="440" w:lineRule="exact"/>
        <w:ind w:firstLine="420" w:firstLineChars="200"/>
        <w:rPr>
          <w:rFonts w:ascii="宋体" w:hAnsi="宋体"/>
          <w:color w:val="auto"/>
        </w:rPr>
      </w:pPr>
      <w:r>
        <w:rPr>
          <w:rFonts w:hint="eastAsia" w:ascii="宋体" w:hAnsi="宋体"/>
          <w:color w:val="auto"/>
        </w:rPr>
        <w:t>8）服务保证措施；</w:t>
      </w:r>
    </w:p>
    <w:p>
      <w:pPr>
        <w:spacing w:line="440" w:lineRule="exact"/>
        <w:ind w:firstLine="420" w:firstLineChars="200"/>
        <w:rPr>
          <w:rFonts w:ascii="宋体" w:hAnsi="宋体"/>
          <w:color w:val="auto"/>
        </w:rPr>
      </w:pPr>
      <w:r>
        <w:rPr>
          <w:rFonts w:hint="eastAsia" w:ascii="宋体" w:hAnsi="宋体"/>
          <w:color w:val="auto"/>
        </w:rPr>
        <w:t>9）供应商认为需要提供的有关资料。</w:t>
      </w:r>
    </w:p>
    <w:p>
      <w:pPr>
        <w:spacing w:line="440" w:lineRule="exact"/>
        <w:ind w:firstLine="420" w:firstLineChars="200"/>
        <w:rPr>
          <w:rFonts w:ascii="宋体" w:hAnsi="宋体" w:cs="宋体"/>
          <w:color w:val="auto"/>
        </w:rPr>
      </w:pPr>
      <w:r>
        <w:rPr>
          <w:rFonts w:hint="eastAsia" w:ascii="宋体" w:hAnsi="宋体" w:cs="宋体"/>
          <w:color w:val="auto"/>
        </w:rPr>
        <w:t>10）磋商保证金提交凭证</w:t>
      </w:r>
      <w:r>
        <w:rPr>
          <w:rFonts w:hint="eastAsia" w:ascii="宋体" w:hAnsi="宋体"/>
          <w:b/>
          <w:color w:val="auto"/>
        </w:rPr>
        <w:t>[必须提供]</w:t>
      </w:r>
      <w:r>
        <w:rPr>
          <w:rFonts w:hint="eastAsia" w:ascii="宋体" w:hAnsi="宋体" w:cs="宋体"/>
          <w:color w:val="auto"/>
        </w:rPr>
        <w:t>。</w:t>
      </w:r>
    </w:p>
    <w:p>
      <w:pPr>
        <w:spacing w:line="440" w:lineRule="exact"/>
        <w:ind w:firstLine="420" w:firstLineChars="200"/>
        <w:rPr>
          <w:rFonts w:ascii="宋体" w:hAnsi="宋体" w:cs="宋体"/>
          <w:color w:val="auto"/>
        </w:rPr>
      </w:pPr>
      <w:r>
        <w:rPr>
          <w:rFonts w:hint="eastAsia" w:ascii="宋体" w:hAnsi="宋体" w:cs="宋体"/>
          <w:color w:val="auto"/>
        </w:rPr>
        <w:t>6. 计量单位</w:t>
      </w:r>
    </w:p>
    <w:p>
      <w:pPr>
        <w:spacing w:line="440" w:lineRule="exact"/>
        <w:ind w:firstLine="420" w:firstLineChars="200"/>
        <w:rPr>
          <w:rFonts w:ascii="宋体" w:hAnsi="宋体" w:cs="宋体"/>
          <w:color w:val="auto"/>
        </w:rPr>
      </w:pPr>
      <w:r>
        <w:rPr>
          <w:rFonts w:hint="eastAsia" w:ascii="宋体" w:hAnsi="宋体" w:cs="宋体"/>
          <w:color w:val="auto"/>
        </w:rPr>
        <w:t>6.1除技术要求中另有规定外，本文件所要求使用的计量单位均应采用国家法定计量单位。</w:t>
      </w:r>
    </w:p>
    <w:p>
      <w:pPr>
        <w:spacing w:line="440" w:lineRule="exact"/>
        <w:ind w:firstLine="422" w:firstLineChars="200"/>
        <w:rPr>
          <w:rFonts w:ascii="宋体" w:hAnsi="宋体" w:cs="宋体"/>
          <w:b/>
          <w:bCs/>
          <w:color w:val="auto"/>
        </w:rPr>
      </w:pPr>
      <w:r>
        <w:rPr>
          <w:rFonts w:hint="eastAsia" w:ascii="宋体" w:hAnsi="宋体" w:cs="宋体"/>
          <w:b/>
          <w:bCs/>
          <w:color w:val="auto"/>
        </w:rPr>
        <w:t>三、报价要求</w:t>
      </w:r>
    </w:p>
    <w:p>
      <w:pPr>
        <w:spacing w:line="440" w:lineRule="exact"/>
        <w:ind w:firstLine="420" w:firstLineChars="200"/>
        <w:rPr>
          <w:rFonts w:ascii="宋体" w:hAnsi="宋体" w:cs="宋体"/>
          <w:color w:val="auto"/>
        </w:rPr>
      </w:pPr>
      <w:r>
        <w:rPr>
          <w:rFonts w:hint="eastAsia" w:ascii="宋体" w:hAnsi="宋体" w:cs="宋体"/>
          <w:color w:val="auto"/>
        </w:rPr>
        <w:t>7.1对于本文件中未列明，而供应商认为必需的费用也需列入总报价。在合同实施时，采购人将不予支付成交供应商没有列入的项目费用，并认为此项目的费用已包括在总报价中。</w:t>
      </w:r>
    </w:p>
    <w:p>
      <w:pPr>
        <w:spacing w:line="440" w:lineRule="exact"/>
        <w:ind w:firstLine="420" w:firstLineChars="200"/>
        <w:rPr>
          <w:rFonts w:ascii="宋体" w:hAnsi="宋体" w:cs="宋体"/>
          <w:color w:val="auto"/>
        </w:rPr>
      </w:pPr>
      <w:r>
        <w:rPr>
          <w:rFonts w:hint="eastAsia" w:ascii="宋体" w:hAnsi="宋体" w:cs="宋体"/>
          <w:color w:val="auto"/>
        </w:rPr>
        <w:t>7.2成交供应商负责本项目所采购货物、所需服务的全部工作。</w:t>
      </w:r>
    </w:p>
    <w:p>
      <w:pPr>
        <w:pStyle w:val="24"/>
        <w:spacing w:line="440" w:lineRule="exact"/>
        <w:ind w:firstLine="420"/>
        <w:rPr>
          <w:rFonts w:hAnsi="宋体" w:cs="宋体"/>
          <w:color w:val="auto"/>
        </w:rPr>
      </w:pPr>
      <w:r>
        <w:rPr>
          <w:rFonts w:hint="eastAsia" w:hAnsi="宋体" w:cs="宋体"/>
          <w:color w:val="auto"/>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440" w:lineRule="exact"/>
        <w:ind w:firstLine="420" w:firstLineChars="200"/>
        <w:rPr>
          <w:rFonts w:ascii="宋体" w:hAnsi="宋体" w:cs="宋体"/>
          <w:color w:val="auto"/>
        </w:rPr>
      </w:pPr>
      <w:r>
        <w:rPr>
          <w:rFonts w:hint="eastAsia" w:ascii="宋体" w:hAnsi="宋体" w:cs="宋体"/>
          <w:color w:val="auto"/>
        </w:rPr>
        <w:t>7.4报价：供应商就《采购需求》中的采购内容作完整唯一报价。</w:t>
      </w:r>
    </w:p>
    <w:p>
      <w:pPr>
        <w:widowControl/>
        <w:spacing w:line="440" w:lineRule="exact"/>
        <w:ind w:firstLine="422" w:firstLineChars="200"/>
        <w:jc w:val="left"/>
        <w:rPr>
          <w:rFonts w:ascii="宋体" w:hAnsi="宋体" w:cs="宋体"/>
          <w:b/>
          <w:bCs/>
          <w:color w:val="auto"/>
        </w:rPr>
      </w:pPr>
      <w:r>
        <w:rPr>
          <w:rFonts w:hint="eastAsia" w:ascii="宋体" w:hAnsi="宋体" w:cs="宋体"/>
          <w:b/>
          <w:bCs/>
          <w:color w:val="auto"/>
        </w:rPr>
        <w:t>四、</w:t>
      </w:r>
      <w:r>
        <w:rPr>
          <w:rFonts w:hint="eastAsia" w:ascii="宋体" w:hAnsi="宋体" w:cs="宋体"/>
          <w:b/>
          <w:color w:val="auto"/>
        </w:rPr>
        <w:t>竞争性磋商响应文件的份数、封装和递交</w:t>
      </w:r>
    </w:p>
    <w:p>
      <w:pPr>
        <w:spacing w:line="440" w:lineRule="exact"/>
        <w:ind w:firstLine="420" w:firstLineChars="200"/>
        <w:rPr>
          <w:rFonts w:ascii="宋体" w:hAnsi="宋体" w:cs="宋体"/>
          <w:color w:val="auto"/>
        </w:rPr>
      </w:pPr>
      <w:r>
        <w:rPr>
          <w:rFonts w:hint="eastAsia" w:ascii="宋体" w:hAnsi="宋体" w:cs="宋体"/>
          <w:color w:val="auto"/>
        </w:rPr>
        <w:t>8. 竞争性磋商响应文件的份数和封装</w:t>
      </w:r>
    </w:p>
    <w:p>
      <w:pPr>
        <w:pStyle w:val="24"/>
        <w:spacing w:line="440" w:lineRule="exact"/>
        <w:ind w:firstLine="420"/>
        <w:rPr>
          <w:rFonts w:hAnsi="宋体"/>
          <w:color w:val="auto"/>
        </w:rPr>
      </w:pPr>
      <w:r>
        <w:rPr>
          <w:rFonts w:hint="eastAsia" w:hAnsi="宋体"/>
          <w:color w:val="auto"/>
        </w:rPr>
        <w:t>8.1供应商应将竞争性磋商响应文件中“价格文件”和“资格证明文件”、“商务技术文件”装订成一本（三文件相隔之间用封面标识，封面写明“价格文件”、“资格证明文件”、“商务技术文件”字样）。</w:t>
      </w:r>
    </w:p>
    <w:p>
      <w:pPr>
        <w:pStyle w:val="24"/>
        <w:spacing w:line="440" w:lineRule="exact"/>
        <w:ind w:firstLine="420"/>
        <w:rPr>
          <w:rFonts w:hAnsi="宋体" w:cs="宋体"/>
          <w:color w:val="auto"/>
        </w:rPr>
      </w:pPr>
      <w:r>
        <w:rPr>
          <w:rFonts w:hint="eastAsia" w:hAnsi="宋体" w:cs="宋体"/>
          <w:color w:val="auto"/>
        </w:rPr>
        <w:t xml:space="preserve">供应商将竞争性磋商响应文件按正、副本分别装订成册，在每个正、副本封面上标明“正本”或“副本”，以及项目名称、项目编号、供应商名称、供应商地址等内容。 </w:t>
      </w:r>
    </w:p>
    <w:p>
      <w:pPr>
        <w:pStyle w:val="24"/>
        <w:spacing w:line="440" w:lineRule="exact"/>
        <w:ind w:firstLine="420"/>
        <w:rPr>
          <w:rFonts w:hAnsi="宋体" w:cs="宋体"/>
          <w:color w:val="auto"/>
        </w:rPr>
      </w:pPr>
      <w:r>
        <w:rPr>
          <w:rFonts w:hint="eastAsia" w:hAnsi="宋体" w:cs="宋体"/>
          <w:color w:val="auto"/>
        </w:rPr>
        <w:t>8.2供应商应将竞争性磋商响应文件正、副本（正本一份，副本四份）并附竞争性磋商响应文件电子版光盘1份(光盘封面请注明项目名称、项目编号及磋商供应商名称)装入到一个竞争性磋商响应文件袋内，封装并加以密封（要求竞争性磋商响应文件袋无明显缝隙露出袋内文件）；</w:t>
      </w:r>
    </w:p>
    <w:p>
      <w:pPr>
        <w:pStyle w:val="24"/>
        <w:spacing w:line="440" w:lineRule="exact"/>
        <w:ind w:firstLine="420"/>
        <w:rPr>
          <w:rFonts w:hAnsi="宋体" w:cs="宋体"/>
          <w:color w:val="auto"/>
        </w:rPr>
      </w:pPr>
      <w:r>
        <w:rPr>
          <w:rFonts w:hint="eastAsia" w:hAnsi="宋体" w:cs="宋体"/>
          <w:color w:val="auto"/>
        </w:rPr>
        <w:t>文件袋外层封面上应写明：</w:t>
      </w:r>
    </w:p>
    <w:p>
      <w:pPr>
        <w:pStyle w:val="24"/>
        <w:spacing w:line="440" w:lineRule="exact"/>
        <w:ind w:firstLine="420"/>
        <w:rPr>
          <w:rFonts w:hAnsi="宋体" w:cs="宋体"/>
          <w:color w:val="auto"/>
        </w:rPr>
      </w:pPr>
      <w:r>
        <w:rPr>
          <w:rFonts w:hint="eastAsia" w:hAnsi="宋体" w:cs="宋体"/>
          <w:color w:val="auto"/>
        </w:rPr>
        <w:t>1）项目名称：</w:t>
      </w:r>
    </w:p>
    <w:p>
      <w:pPr>
        <w:pStyle w:val="24"/>
        <w:spacing w:line="440" w:lineRule="exact"/>
        <w:ind w:firstLine="420"/>
        <w:rPr>
          <w:rFonts w:hAnsi="宋体" w:cs="宋体"/>
          <w:color w:val="auto"/>
        </w:rPr>
      </w:pPr>
      <w:r>
        <w:rPr>
          <w:rFonts w:hint="eastAsia" w:hAnsi="宋体" w:cs="宋体"/>
          <w:color w:val="auto"/>
        </w:rPr>
        <w:t>2）项目编号：</w:t>
      </w:r>
    </w:p>
    <w:p>
      <w:pPr>
        <w:pStyle w:val="24"/>
        <w:spacing w:line="440" w:lineRule="exact"/>
        <w:ind w:firstLine="420"/>
        <w:rPr>
          <w:rFonts w:hAnsi="宋体" w:cs="宋体"/>
          <w:color w:val="auto"/>
        </w:rPr>
      </w:pPr>
      <w:r>
        <w:rPr>
          <w:rFonts w:hint="eastAsia" w:hAnsi="宋体" w:cs="宋体"/>
          <w:color w:val="auto"/>
        </w:rPr>
        <w:t>3）供应商名称：</w:t>
      </w:r>
    </w:p>
    <w:p>
      <w:pPr>
        <w:pStyle w:val="24"/>
        <w:spacing w:line="440" w:lineRule="exact"/>
        <w:ind w:firstLine="420"/>
        <w:rPr>
          <w:rFonts w:hAnsi="宋体" w:cs="宋体"/>
          <w:bCs/>
          <w:color w:val="auto"/>
        </w:rPr>
      </w:pPr>
      <w:r>
        <w:rPr>
          <w:rFonts w:hint="eastAsia" w:hAnsi="宋体" w:cs="宋体"/>
          <w:color w:val="auto"/>
        </w:rPr>
        <w:t>4）（截标时才能启封）</w:t>
      </w:r>
    </w:p>
    <w:p>
      <w:pPr>
        <w:widowControl/>
        <w:spacing w:line="440" w:lineRule="exact"/>
        <w:ind w:firstLine="420" w:firstLineChars="200"/>
        <w:jc w:val="left"/>
        <w:rPr>
          <w:rFonts w:ascii="宋体" w:hAnsi="宋体" w:cs="宋体"/>
          <w:bCs/>
          <w:color w:val="auto"/>
        </w:rPr>
      </w:pPr>
      <w:r>
        <w:rPr>
          <w:rFonts w:hint="eastAsia" w:ascii="宋体" w:hAnsi="宋体" w:cs="宋体"/>
          <w:bCs/>
          <w:color w:val="auto"/>
        </w:rPr>
        <w:t>5. 磋商响应文件的修改、撤回：供应商应当在截止时间前完成响应文件的提交，并可以补充、修改或者撤回响应文件。补充或者修改响应文件的，应当先行撤回原文件，补充、修改后重新递交。截止时间前未递交的，视为撤回响应文件。截止时间后递交的响应文件，采购代理机构将予以拒收。截止时间后，供应商不得撤回、修改响应文件。</w:t>
      </w:r>
    </w:p>
    <w:p>
      <w:pPr>
        <w:widowControl/>
        <w:spacing w:line="440" w:lineRule="exact"/>
        <w:ind w:firstLine="420" w:firstLineChars="200"/>
        <w:jc w:val="left"/>
        <w:rPr>
          <w:rFonts w:ascii="宋体" w:hAnsi="宋体" w:cs="宋体"/>
          <w:bCs/>
          <w:color w:val="auto"/>
        </w:rPr>
      </w:pPr>
      <w:r>
        <w:rPr>
          <w:rFonts w:hint="eastAsia" w:ascii="宋体" w:hAnsi="宋体" w:cs="宋体"/>
          <w:bCs/>
          <w:color w:val="auto"/>
        </w:rPr>
        <w:t>10.保证金说明及要求</w:t>
      </w:r>
    </w:p>
    <w:p>
      <w:pPr>
        <w:widowControl/>
        <w:spacing w:line="440" w:lineRule="exact"/>
        <w:ind w:firstLine="420" w:firstLineChars="200"/>
        <w:jc w:val="left"/>
        <w:rPr>
          <w:rFonts w:ascii="宋体" w:hAnsi="宋体" w:cs="宋体"/>
          <w:bCs/>
          <w:color w:val="auto"/>
        </w:rPr>
      </w:pPr>
      <w:r>
        <w:rPr>
          <w:rFonts w:hint="eastAsia" w:ascii="宋体" w:hAnsi="宋体" w:cs="宋体"/>
          <w:bCs/>
          <w:color w:val="auto"/>
        </w:rPr>
        <w:t>10.1保证金应用人民币：具体金额详见采购公告。</w:t>
      </w:r>
    </w:p>
    <w:p>
      <w:pPr>
        <w:widowControl/>
        <w:spacing w:line="440" w:lineRule="exact"/>
        <w:ind w:firstLine="420" w:firstLineChars="200"/>
        <w:jc w:val="left"/>
        <w:rPr>
          <w:rFonts w:ascii="宋体" w:hAnsi="宋体" w:cs="宋体"/>
          <w:bCs/>
          <w:color w:val="auto"/>
        </w:rPr>
      </w:pPr>
      <w:r>
        <w:rPr>
          <w:rFonts w:hint="eastAsia" w:ascii="宋体" w:hAnsi="宋体" w:cs="宋体"/>
          <w:bCs/>
          <w:color w:val="auto"/>
        </w:rPr>
        <w:t>10.2 保证金交纳方式：支票、汇票、本票、网上银行或者银行、保险机构出具的保函等非现金形式交纳。</w:t>
      </w:r>
    </w:p>
    <w:p>
      <w:pPr>
        <w:widowControl/>
        <w:spacing w:line="440" w:lineRule="exact"/>
        <w:ind w:firstLine="420" w:firstLineChars="200"/>
        <w:jc w:val="left"/>
        <w:rPr>
          <w:rFonts w:ascii="宋体" w:hAnsi="宋体" w:cs="宋体"/>
          <w:bCs/>
          <w:color w:val="auto"/>
        </w:rPr>
      </w:pPr>
      <w:r>
        <w:rPr>
          <w:rFonts w:hint="eastAsia" w:ascii="宋体" w:hAnsi="宋体" w:cs="宋体"/>
          <w:bCs/>
          <w:color w:val="auto"/>
        </w:rPr>
        <w:t>10.3办理保证金手续时，请务必在银行相关票据（非现金）或凭证的用途或空白栏上注明项目名称及项目编号，以免耽误竞争性磋商。</w:t>
      </w:r>
    </w:p>
    <w:p>
      <w:pPr>
        <w:widowControl/>
        <w:spacing w:line="440" w:lineRule="exact"/>
        <w:ind w:firstLine="420" w:firstLineChars="200"/>
        <w:jc w:val="left"/>
        <w:rPr>
          <w:rFonts w:ascii="宋体" w:hAnsi="宋体" w:cs="宋体"/>
          <w:bCs/>
          <w:color w:val="auto"/>
        </w:rPr>
      </w:pPr>
      <w:r>
        <w:rPr>
          <w:rFonts w:hint="eastAsia" w:ascii="宋体" w:hAnsi="宋体" w:cs="宋体"/>
          <w:bCs/>
          <w:color w:val="auto"/>
        </w:rPr>
        <w:t>10.4保证金相关事宜：电话：</w:t>
      </w:r>
      <w:r>
        <w:rPr>
          <w:rFonts w:hint="eastAsia" w:ascii="宋体" w:hAnsi="宋体" w:cs="宋体"/>
          <w:color w:val="auto"/>
          <w:kern w:val="0"/>
        </w:rPr>
        <w:t>0771-5382528</w:t>
      </w:r>
      <w:r>
        <w:rPr>
          <w:rFonts w:hint="eastAsia" w:ascii="宋体" w:hAnsi="宋体" w:cs="宋体"/>
          <w:bCs/>
          <w:color w:val="auto"/>
        </w:rPr>
        <w:t>，地址：南宁市东葛路118号青秀万达写字楼银座8楼808室。</w:t>
      </w:r>
    </w:p>
    <w:p>
      <w:pPr>
        <w:widowControl/>
        <w:spacing w:line="440" w:lineRule="exact"/>
        <w:ind w:firstLine="420" w:firstLineChars="200"/>
        <w:jc w:val="left"/>
        <w:rPr>
          <w:rFonts w:ascii="宋体" w:hAnsi="宋体" w:cs="宋体"/>
          <w:bCs/>
          <w:color w:val="auto"/>
        </w:rPr>
      </w:pPr>
      <w:r>
        <w:rPr>
          <w:rFonts w:hint="eastAsia" w:ascii="宋体" w:hAnsi="宋体" w:cs="宋体"/>
          <w:bCs/>
          <w:color w:val="auto"/>
        </w:rPr>
        <w:t>10.5未成交供应商的保证金，将在成交通知书发出后四个工作日内予以退还，不计利息。</w:t>
      </w:r>
    </w:p>
    <w:p>
      <w:pPr>
        <w:widowControl/>
        <w:spacing w:line="440" w:lineRule="exact"/>
        <w:ind w:firstLine="420" w:firstLineChars="200"/>
        <w:jc w:val="left"/>
        <w:rPr>
          <w:rFonts w:ascii="宋体" w:hAnsi="宋体" w:cs="宋体"/>
          <w:bCs/>
          <w:color w:val="auto"/>
        </w:rPr>
      </w:pPr>
      <w:r>
        <w:rPr>
          <w:rFonts w:hint="eastAsia" w:ascii="宋体" w:hAnsi="宋体" w:cs="宋体"/>
          <w:bCs/>
          <w:color w:val="auto"/>
        </w:rPr>
        <w:t>成交人的保证金在合同签订后四个工作日内退还（合同签订后送达采购代理机构），不计利息。</w:t>
      </w:r>
    </w:p>
    <w:p>
      <w:pPr>
        <w:widowControl/>
        <w:spacing w:line="440" w:lineRule="exact"/>
        <w:ind w:firstLine="420" w:firstLineChars="200"/>
        <w:jc w:val="left"/>
        <w:rPr>
          <w:rFonts w:ascii="宋体" w:hAnsi="宋体" w:cs="宋体"/>
          <w:color w:val="auto"/>
        </w:rPr>
      </w:pPr>
      <w:r>
        <w:rPr>
          <w:rFonts w:hint="eastAsia" w:ascii="宋体" w:hAnsi="宋体" w:cs="宋体"/>
          <w:bCs/>
          <w:color w:val="auto"/>
        </w:rPr>
        <w:t>10.6对应交未交保证金的竞争性磋商响应文件，将会在评审中按照无效竞争性磋商响应文件处理。</w:t>
      </w:r>
    </w:p>
    <w:p>
      <w:pPr>
        <w:snapToGrid w:val="0"/>
        <w:spacing w:line="440" w:lineRule="exact"/>
        <w:ind w:firstLine="413" w:firstLineChars="196"/>
        <w:jc w:val="left"/>
        <w:rPr>
          <w:rFonts w:ascii="宋体" w:hAnsi="宋体" w:cs="宋体"/>
          <w:b/>
          <w:bCs/>
          <w:color w:val="auto"/>
        </w:rPr>
      </w:pPr>
      <w:r>
        <w:rPr>
          <w:rFonts w:hint="eastAsia" w:ascii="宋体" w:hAnsi="宋体" w:cs="宋体"/>
          <w:b/>
          <w:bCs/>
          <w:color w:val="auto"/>
        </w:rPr>
        <w:t>（</w:t>
      </w:r>
      <w:r>
        <w:rPr>
          <w:rFonts w:hint="eastAsia" w:ascii="宋体" w:hAnsi="宋体"/>
          <w:b/>
          <w:bCs/>
          <w:color w:val="auto"/>
        </w:rPr>
        <w:t>说明：评审时，磋商小组将以采购代理机构编制的《竞争性磋商保证金收缴情况表》作为评审依据</w:t>
      </w:r>
      <w:r>
        <w:rPr>
          <w:rFonts w:hint="eastAsia" w:ascii="宋体" w:hAnsi="宋体" w:cs="宋体"/>
          <w:b/>
          <w:bCs/>
          <w:color w:val="auto"/>
        </w:rPr>
        <w:t>）。</w:t>
      </w:r>
    </w:p>
    <w:p>
      <w:pPr>
        <w:snapToGrid w:val="0"/>
        <w:spacing w:line="440" w:lineRule="exact"/>
        <w:ind w:firstLine="413" w:firstLineChars="196"/>
        <w:jc w:val="left"/>
        <w:rPr>
          <w:rFonts w:ascii="宋体" w:hAnsi="宋体" w:cs="宋体"/>
          <w:b/>
          <w:bCs/>
          <w:color w:val="auto"/>
        </w:rPr>
      </w:pPr>
      <w:r>
        <w:rPr>
          <w:rFonts w:hint="eastAsia" w:ascii="宋体" w:hAnsi="宋体" w:cs="宋体"/>
          <w:b/>
          <w:bCs/>
          <w:color w:val="auto"/>
        </w:rPr>
        <w:t>10.7供应商有下列情形之一的，保证金将不予退还：</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（1）供应商在竞争性磋商有效期内撤回竞争性磋商响应文件的；</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（2）供应商在竞争性磋商响应文件中提供虚假材料的；</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（3）除因不可抗力或竞争性磋商文件认可的情形以外，成交供应商不与采购人签订合同的；</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（4）供应商与采购人、其他供应商或者采购代理机构恶意串通的；</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（5） 磋商文件规定的其他情形。</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注：供应商已经被推荐为第一成交候选供应商后撤回竞争性磋商响应文件或拒绝签订采购合同的，其保证金将不予退还，并上缴国库，给采购人造成其损失的，还应当赔偿损失，并作为不良行为记录在案。</w:t>
      </w:r>
    </w:p>
    <w:p>
      <w:pPr>
        <w:spacing w:line="440" w:lineRule="exact"/>
        <w:ind w:firstLine="422" w:firstLineChars="200"/>
        <w:rPr>
          <w:rFonts w:ascii="宋体" w:hAnsi="宋体" w:cs="宋体"/>
          <w:b/>
          <w:bCs/>
          <w:color w:val="auto"/>
        </w:rPr>
      </w:pPr>
      <w:r>
        <w:rPr>
          <w:rFonts w:hint="eastAsia" w:ascii="宋体" w:hAnsi="宋体" w:cs="宋体"/>
          <w:b/>
          <w:bCs/>
          <w:color w:val="auto"/>
        </w:rPr>
        <w:t>五</w:t>
      </w:r>
      <w:r>
        <w:rPr>
          <w:rFonts w:hint="eastAsia" w:ascii="宋体" w:hAnsi="宋体" w:cs="宋体"/>
          <w:color w:val="auto"/>
        </w:rPr>
        <w:t>、磋商程序及评审方法</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1、未实质性响应竞争性磋商文件的竞争性磋商响应文件按无效处理。</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2、有下列情形之一的视为供应商相互串通参与磋商活动，竞争性磋商响应文件将被视为无效：</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（1）不同供应商的竞争性磋商响应文件由同一单位或者个人编制；</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（2）不同供应商委托同一单位或者个人办理磋商活动事宜；</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（3）不同的供应商的竞争性磋商响应文件载明的项目管理员为同一个人；</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（4）不同供应商的竞争性磋商响应文件异常一致或磋商报价呈规律性差异；</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（5）不同供应商的竞争性磋商响应文件相互混装；</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（6）不同供应商的保证金从同一单位或者个人账户转出。</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3、有下列情形之一的视为关联供应商参加同一合同项下采购活动，竞争性磋商响应文件将被视为无效：单位负责人为同一人或者存在直接控股、管理关系的不同供应商，参加同一合同项下采购活动；</w:t>
      </w:r>
    </w:p>
    <w:p>
      <w:pPr>
        <w:widowControl/>
        <w:spacing w:line="400" w:lineRule="exact"/>
        <w:ind w:firstLine="420" w:firstLineChars="200"/>
        <w:jc w:val="left"/>
        <w:rPr>
          <w:rFonts w:ascii="宋体" w:hAnsi="宋体" w:cs="宋体"/>
          <w:bCs/>
          <w:color w:val="auto"/>
          <w:kern w:val="0"/>
        </w:rPr>
      </w:pPr>
      <w:r>
        <w:rPr>
          <w:rFonts w:hint="eastAsia" w:ascii="宋体" w:hAnsi="宋体" w:cs="宋体"/>
          <w:bCs/>
          <w:color w:val="auto"/>
          <w:kern w:val="0"/>
        </w:rPr>
        <w:t>4.其他投标无效的情形：</w:t>
      </w:r>
    </w:p>
    <w:p>
      <w:pPr>
        <w:widowControl/>
        <w:spacing w:line="400" w:lineRule="exact"/>
        <w:ind w:firstLine="422" w:firstLineChars="200"/>
        <w:jc w:val="left"/>
        <w:rPr>
          <w:rFonts w:ascii="宋体" w:hAnsi="宋体" w:cs="宋体"/>
          <w:b/>
          <w:bCs/>
          <w:color w:val="auto"/>
          <w:kern w:val="0"/>
        </w:rPr>
      </w:pPr>
      <w:r>
        <w:rPr>
          <w:rFonts w:hint="eastAsia" w:ascii="宋体" w:hAnsi="宋体" w:cs="宋体"/>
          <w:b/>
          <w:bCs/>
          <w:color w:val="auto"/>
          <w:kern w:val="0"/>
        </w:rPr>
        <w:t>（1）竞争性磋商响应文件未按竞争性磋商文件要求签署的；</w:t>
      </w:r>
    </w:p>
    <w:p>
      <w:pPr>
        <w:widowControl/>
        <w:spacing w:line="400" w:lineRule="exact"/>
        <w:ind w:firstLine="422" w:firstLineChars="200"/>
        <w:jc w:val="left"/>
        <w:rPr>
          <w:rFonts w:ascii="宋体" w:hAnsi="宋体" w:cs="宋体"/>
          <w:b/>
          <w:bCs/>
          <w:color w:val="auto"/>
          <w:kern w:val="0"/>
        </w:rPr>
      </w:pPr>
      <w:r>
        <w:rPr>
          <w:rFonts w:hint="eastAsia" w:ascii="宋体" w:hAnsi="宋体" w:cs="宋体"/>
          <w:b/>
          <w:bCs/>
          <w:color w:val="auto"/>
          <w:kern w:val="0"/>
        </w:rPr>
        <w:t>（2）供应商提交两份或两份以上内容不同的竞争性磋商响应文件的；</w:t>
      </w:r>
    </w:p>
    <w:p>
      <w:pPr>
        <w:widowControl/>
        <w:spacing w:line="400" w:lineRule="exact"/>
        <w:ind w:firstLine="422" w:firstLineChars="200"/>
        <w:jc w:val="left"/>
        <w:rPr>
          <w:rFonts w:ascii="宋体" w:hAnsi="宋体" w:cs="宋体"/>
          <w:color w:val="auto"/>
          <w:kern w:val="0"/>
        </w:rPr>
      </w:pPr>
      <w:r>
        <w:rPr>
          <w:rFonts w:hint="eastAsia" w:ascii="宋体" w:hAnsi="宋体" w:cs="宋体"/>
          <w:b/>
          <w:bCs/>
          <w:color w:val="auto"/>
          <w:kern w:val="0"/>
        </w:rPr>
        <w:t>（3）法律、法规和招标文件规定的其他无效情形（或出现重大偏差）。</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5、被拒绝的响应文件为无效。</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供应商竞争性磋商响应文件无效的，磋商小组应当告知有关供应商。</w:t>
      </w:r>
    </w:p>
    <w:p>
      <w:pPr>
        <w:widowControl/>
        <w:spacing w:line="400" w:lineRule="exact"/>
        <w:ind w:firstLine="422" w:firstLineChars="200"/>
        <w:jc w:val="left"/>
        <w:rPr>
          <w:rFonts w:ascii="宋体" w:hAnsi="宋体" w:cs="宋体"/>
          <w:b/>
          <w:color w:val="auto"/>
          <w:kern w:val="0"/>
        </w:rPr>
      </w:pPr>
      <w:r>
        <w:rPr>
          <w:rFonts w:hint="eastAsia" w:ascii="宋体" w:hAnsi="宋体" w:cs="宋体"/>
          <w:b/>
          <w:color w:val="auto"/>
          <w:kern w:val="0"/>
        </w:rPr>
        <w:t>12.1第一轮磋商</w:t>
      </w:r>
    </w:p>
    <w:p>
      <w:pPr>
        <w:snapToGrid w:val="0"/>
        <w:spacing w:line="440" w:lineRule="exact"/>
        <w:ind w:firstLine="413" w:firstLineChars="196"/>
        <w:jc w:val="left"/>
        <w:rPr>
          <w:rFonts w:ascii="宋体" w:hAnsi="宋体" w:cs="宋体"/>
          <w:color w:val="auto"/>
        </w:rPr>
      </w:pPr>
      <w:r>
        <w:rPr>
          <w:rFonts w:hint="eastAsia" w:ascii="宋体" w:hAnsi="宋体" w:cs="宋体"/>
          <w:b/>
          <w:color w:val="auto"/>
        </w:rPr>
        <w:t>磋商时间及地点</w:t>
      </w:r>
      <w:r>
        <w:rPr>
          <w:rFonts w:hint="eastAsia" w:ascii="宋体" w:hAnsi="宋体" w:cs="宋体"/>
          <w:color w:val="auto"/>
        </w:rPr>
        <w:t>: 详见本须知前附表第8项规定。</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与单一供应商分别进行磋商，给予所有参加磋商的供应商平等的磋商机会。</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磋商评审在严格保密的情况下进行，磋商的任何一方不得透露与磋商有关的其他供应商的技术资料、价格和其他信息。采购代理机构对磋商过程和重要磋商内容进行记录，磋商双方在记录上签字确认。</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磋商后，供应商根据磋商小组统一整理的书面磋商记录要求做出书面承诺，并由其法定代表人(负责人)或授权代表签字或者加盖公章后按时密封递交。</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widowControl/>
        <w:tabs>
          <w:tab w:val="left" w:pos="540"/>
        </w:tabs>
        <w:spacing w:line="440" w:lineRule="exact"/>
        <w:ind w:firstLine="422" w:firstLineChars="200"/>
        <w:jc w:val="left"/>
        <w:rPr>
          <w:rFonts w:ascii="宋体" w:hAnsi="宋体" w:cs="宋体"/>
          <w:b/>
          <w:color w:val="auto"/>
        </w:rPr>
      </w:pPr>
      <w:r>
        <w:rPr>
          <w:rFonts w:hint="eastAsia" w:ascii="宋体" w:hAnsi="宋体" w:cs="宋体"/>
          <w:b/>
          <w:color w:val="auto"/>
        </w:rPr>
        <w:t>12.2竞争性磋商文件变动</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⑴第一轮磋商结束后，各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对竞争性磋商文件作出的实质性变动是竞争性磋商文件的有效组成部分，磋商小组应当及时以书面形式同时通知所有参加磋商的供应商，并要求供应商做出书面响应。</w:t>
      </w:r>
    </w:p>
    <w:p>
      <w:pPr>
        <w:snapToGrid w:val="0"/>
        <w:spacing w:line="440" w:lineRule="exact"/>
        <w:ind w:firstLine="411" w:firstLineChars="196"/>
        <w:jc w:val="left"/>
        <w:rPr>
          <w:rFonts w:ascii="宋体" w:hAnsi="宋体" w:cs="宋体"/>
          <w:color w:val="auto"/>
        </w:rPr>
      </w:pPr>
      <w:r>
        <w:rPr>
          <w:rFonts w:hint="eastAsia" w:ascii="宋体" w:hAnsi="宋体" w:cs="宋体"/>
          <w:color w:val="auto"/>
        </w:rPr>
        <w:t>⑵供应商应当按照竞争性磋商文件的变动情况和磋商小组的要求重新提交竞争性磋商响应文件，并由其法定代表人(负责人)或授权代表签字或者加盖公章后密封递交。由授权代表（委托代理人）签字的，应当附法定代表人(负责人)授权书。供应商为自然人的，应当由本人签字并附身份证明。逾时不交的，视同放弃磋商。重新提交的响应文件与竞争性磋商响应文件同具法律效力。</w:t>
      </w:r>
    </w:p>
    <w:p>
      <w:pPr>
        <w:widowControl/>
        <w:spacing w:line="440" w:lineRule="exact"/>
        <w:ind w:firstLine="422" w:firstLineChars="200"/>
        <w:jc w:val="left"/>
        <w:rPr>
          <w:rFonts w:ascii="宋体" w:hAnsi="宋体" w:cs="宋体"/>
          <w:b/>
          <w:color w:val="auto"/>
          <w:kern w:val="0"/>
        </w:rPr>
      </w:pPr>
      <w:r>
        <w:rPr>
          <w:rFonts w:hint="eastAsia" w:ascii="宋体" w:hAnsi="宋体" w:cs="宋体"/>
          <w:b/>
          <w:color w:val="auto"/>
          <w:kern w:val="0"/>
        </w:rPr>
        <w:t>12.3第二轮磋商</w:t>
      </w:r>
    </w:p>
    <w:p>
      <w:pPr>
        <w:widowControl/>
        <w:tabs>
          <w:tab w:val="left" w:pos="540"/>
        </w:tabs>
        <w:spacing w:line="440" w:lineRule="exact"/>
        <w:ind w:firstLine="420" w:firstLineChars="200"/>
        <w:jc w:val="left"/>
        <w:rPr>
          <w:rFonts w:ascii="宋体" w:hAnsi="宋体" w:cs="宋体"/>
          <w:color w:val="auto"/>
        </w:rPr>
      </w:pPr>
      <w:r>
        <w:rPr>
          <w:rFonts w:hint="eastAsia" w:ascii="宋体" w:hAnsi="宋体" w:cs="宋体"/>
          <w:color w:val="auto"/>
          <w:kern w:val="0"/>
        </w:rPr>
        <w:t>磋商小组集中就</w:t>
      </w:r>
      <w:r>
        <w:rPr>
          <w:rFonts w:hint="eastAsia" w:ascii="宋体" w:hAnsi="宋体" w:cs="宋体"/>
          <w:color w:val="auto"/>
        </w:rPr>
        <w:t>重新提交的响应文件或</w:t>
      </w:r>
      <w:r>
        <w:rPr>
          <w:rFonts w:hint="eastAsia" w:ascii="宋体" w:hAnsi="宋体" w:cs="宋体"/>
          <w:color w:val="auto"/>
          <w:kern w:val="0"/>
        </w:rPr>
        <w:t>磋商小组</w:t>
      </w:r>
      <w:r>
        <w:rPr>
          <w:rFonts w:hint="eastAsia" w:ascii="宋体" w:hAnsi="宋体" w:cs="宋体"/>
          <w:color w:val="auto"/>
        </w:rPr>
        <w:t>提出的磋商意见</w:t>
      </w:r>
      <w:r>
        <w:rPr>
          <w:rFonts w:hint="eastAsia" w:ascii="宋体" w:hAnsi="宋体" w:cs="宋体"/>
          <w:color w:val="auto"/>
          <w:kern w:val="0"/>
        </w:rPr>
        <w:t>与单一响应供应商分别进行磋商。</w:t>
      </w:r>
      <w:r>
        <w:rPr>
          <w:rFonts w:hint="eastAsia" w:ascii="宋体" w:hAnsi="宋体" w:cs="宋体"/>
          <w:color w:val="auto"/>
        </w:rPr>
        <w:t>采购代理机构对磋商过程和重要磋商内容进行记录，磋商双方在记录上签字确认。</w:t>
      </w:r>
    </w:p>
    <w:p>
      <w:pPr>
        <w:widowControl/>
        <w:tabs>
          <w:tab w:val="left" w:pos="540"/>
        </w:tabs>
        <w:spacing w:line="440" w:lineRule="exact"/>
        <w:ind w:firstLine="420" w:firstLineChars="200"/>
        <w:jc w:val="left"/>
        <w:rPr>
          <w:rFonts w:ascii="宋体" w:hAnsi="宋体" w:cs="宋体"/>
          <w:color w:val="auto"/>
        </w:rPr>
      </w:pPr>
      <w:r>
        <w:rPr>
          <w:rFonts w:hint="eastAsia" w:ascii="宋体" w:hAnsi="宋体" w:cs="宋体"/>
          <w:color w:val="auto"/>
        </w:rPr>
        <w:t>磋商后，供应商根据磋商小组统一整理的书面磋商记录要求做出书面承诺，并由其法定代表人(负责人)或授权代表签字或者加盖公章</w:t>
      </w:r>
      <w:r>
        <w:rPr>
          <w:rFonts w:hint="eastAsia" w:ascii="宋体" w:hAnsi="宋体" w:cs="宋体"/>
          <w:color w:val="auto"/>
          <w:kern w:val="0"/>
        </w:rPr>
        <w:t>后按时密封递交</w:t>
      </w:r>
      <w:r>
        <w:rPr>
          <w:rFonts w:hint="eastAsia" w:ascii="宋体" w:hAnsi="宋体" w:cs="宋体"/>
          <w:color w:val="auto"/>
        </w:rPr>
        <w:t>。</w:t>
      </w:r>
    </w:p>
    <w:p>
      <w:pPr>
        <w:widowControl/>
        <w:tabs>
          <w:tab w:val="left" w:pos="540"/>
        </w:tabs>
        <w:spacing w:line="440" w:lineRule="exact"/>
        <w:ind w:firstLine="420" w:firstLineChars="200"/>
        <w:jc w:val="left"/>
        <w:rPr>
          <w:rFonts w:ascii="宋体" w:hAnsi="宋体" w:cs="宋体"/>
          <w:color w:val="auto"/>
        </w:rPr>
      </w:pPr>
      <w:r>
        <w:rPr>
          <w:rFonts w:hint="eastAsia" w:ascii="宋体" w:hAnsi="宋体" w:cs="宋体"/>
          <w:color w:val="auto"/>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widowControl/>
        <w:tabs>
          <w:tab w:val="left" w:pos="540"/>
        </w:tabs>
        <w:spacing w:line="440" w:lineRule="exact"/>
        <w:ind w:firstLine="420" w:firstLineChars="200"/>
        <w:jc w:val="left"/>
        <w:rPr>
          <w:rFonts w:ascii="宋体" w:hAnsi="宋体" w:cs="宋体"/>
          <w:color w:val="auto"/>
        </w:rPr>
      </w:pPr>
      <w:r>
        <w:rPr>
          <w:rFonts w:hint="eastAsia" w:ascii="宋体" w:hAnsi="宋体" w:cs="宋体"/>
          <w:color w:val="auto"/>
        </w:rPr>
        <w:t>12.4最后报价及</w:t>
      </w:r>
      <w:r>
        <w:rPr>
          <w:rFonts w:hint="eastAsia" w:ascii="宋体" w:hAnsi="宋体" w:cs="宋体"/>
          <w:color w:val="auto"/>
          <w:kern w:val="0"/>
        </w:rPr>
        <w:t>成交候选供应商推荐</w:t>
      </w:r>
    </w:p>
    <w:p>
      <w:pPr>
        <w:widowControl/>
        <w:tabs>
          <w:tab w:val="left" w:pos="540"/>
        </w:tabs>
        <w:spacing w:line="440" w:lineRule="exact"/>
        <w:ind w:firstLine="420" w:firstLineChars="200"/>
        <w:jc w:val="left"/>
        <w:rPr>
          <w:rFonts w:ascii="宋体" w:hAnsi="宋体" w:cs="宋体"/>
          <w:color w:val="auto"/>
          <w:kern w:val="0"/>
        </w:rPr>
      </w:pPr>
      <w:r>
        <w:rPr>
          <w:rFonts w:hint="eastAsia" w:ascii="宋体" w:hAnsi="宋体" w:cs="宋体"/>
          <w:color w:val="auto"/>
          <w:kern w:val="0"/>
        </w:rPr>
        <w:t>磋商结束后，磋商小组要求所有继续参加磋商的供应商在规定时间内提交最后报价。继续参加磋商的供应商作最后报价，由其法定代表人(负责人)或授权代表签字或者加盖公章后密封递交磋商小组。</w:t>
      </w:r>
    </w:p>
    <w:p>
      <w:pPr>
        <w:widowControl/>
        <w:tabs>
          <w:tab w:val="left" w:pos="540"/>
        </w:tabs>
        <w:spacing w:line="440" w:lineRule="exact"/>
        <w:ind w:firstLine="420" w:firstLineChars="200"/>
        <w:jc w:val="left"/>
        <w:rPr>
          <w:rFonts w:ascii="宋体" w:hAnsi="宋体" w:cs="宋体"/>
          <w:color w:val="auto"/>
        </w:rPr>
      </w:pPr>
      <w:r>
        <w:rPr>
          <w:rFonts w:hint="eastAsia" w:ascii="宋体" w:hAnsi="宋体" w:cs="宋体"/>
          <w:color w:val="auto"/>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widowControl/>
        <w:tabs>
          <w:tab w:val="left" w:pos="540"/>
        </w:tabs>
        <w:spacing w:line="440" w:lineRule="exact"/>
        <w:ind w:firstLine="420" w:firstLineChars="200"/>
        <w:jc w:val="left"/>
        <w:rPr>
          <w:rFonts w:ascii="宋体" w:hAnsi="宋体" w:cs="宋体"/>
          <w:color w:val="auto"/>
        </w:rPr>
      </w:pPr>
      <w:r>
        <w:rPr>
          <w:rFonts w:hint="eastAsia" w:ascii="宋体" w:hAnsi="宋体" w:cs="宋体"/>
          <w:color w:val="auto"/>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tabs>
          <w:tab w:val="left" w:pos="540"/>
        </w:tabs>
        <w:spacing w:line="440" w:lineRule="exact"/>
        <w:ind w:firstLine="420" w:firstLineChars="200"/>
        <w:jc w:val="left"/>
        <w:rPr>
          <w:rFonts w:ascii="宋体" w:hAnsi="宋体" w:cs="宋体"/>
          <w:color w:val="auto"/>
        </w:rPr>
      </w:pPr>
      <w:r>
        <w:rPr>
          <w:rFonts w:hint="eastAsia" w:ascii="宋体" w:hAnsi="宋体" w:cs="宋体"/>
          <w:color w:val="auto"/>
        </w:rPr>
        <w:t>12.5供应商的报价均超过了采购预算，采购人不能支付的，磋商活动终止。</w:t>
      </w:r>
    </w:p>
    <w:p>
      <w:pPr>
        <w:pStyle w:val="24"/>
        <w:spacing w:line="440" w:lineRule="exact"/>
        <w:ind w:firstLine="420"/>
        <w:rPr>
          <w:rFonts w:hAnsi="宋体" w:cs="宋体"/>
          <w:color w:val="auto"/>
        </w:rPr>
      </w:pPr>
      <w:r>
        <w:rPr>
          <w:rFonts w:hint="eastAsia" w:hAnsi="宋体" w:cs="宋体"/>
          <w:color w:val="auto"/>
        </w:rPr>
        <w:t>12.6本采购项目的评审依据为竞争性磋商文件和竞争性磋商响应文件，采用的评审方法为</w:t>
      </w:r>
      <w:r>
        <w:rPr>
          <w:rFonts w:hint="eastAsia" w:hAnsi="宋体" w:cs="宋体"/>
          <w:b/>
          <w:color w:val="auto"/>
        </w:rPr>
        <w:t>综合评分法</w:t>
      </w:r>
      <w:r>
        <w:rPr>
          <w:rFonts w:hint="eastAsia" w:hAnsi="宋体" w:cs="宋体"/>
          <w:color w:val="auto"/>
        </w:rPr>
        <w:t>。</w:t>
      </w:r>
    </w:p>
    <w:p>
      <w:pPr>
        <w:spacing w:line="440" w:lineRule="exact"/>
        <w:ind w:firstLine="422" w:firstLineChars="200"/>
        <w:rPr>
          <w:rFonts w:ascii="宋体" w:hAnsi="宋体" w:cs="宋体"/>
          <w:b/>
          <w:bCs/>
          <w:color w:val="auto"/>
        </w:rPr>
      </w:pPr>
      <w:r>
        <w:rPr>
          <w:rFonts w:hint="eastAsia" w:ascii="宋体" w:hAnsi="宋体" w:cs="宋体"/>
          <w:b/>
          <w:bCs/>
          <w:color w:val="auto"/>
        </w:rPr>
        <w:t>六、确定成交供应商办法</w:t>
      </w:r>
    </w:p>
    <w:p>
      <w:pPr>
        <w:widowControl/>
        <w:spacing w:line="440" w:lineRule="exact"/>
        <w:ind w:firstLine="525" w:firstLineChars="250"/>
        <w:jc w:val="left"/>
        <w:rPr>
          <w:rFonts w:ascii="宋体" w:hAnsi="宋体" w:cs="宋体"/>
          <w:color w:val="auto"/>
          <w:kern w:val="0"/>
        </w:rPr>
      </w:pPr>
      <w:r>
        <w:rPr>
          <w:rFonts w:hint="eastAsia" w:ascii="宋体" w:hAnsi="宋体" w:cs="宋体"/>
          <w:color w:val="auto"/>
          <w:kern w:val="0"/>
        </w:rPr>
        <w:t>13.1 根据以下原则确定成交供应商：</w:t>
      </w:r>
    </w:p>
    <w:p>
      <w:pPr>
        <w:pStyle w:val="24"/>
        <w:spacing w:line="440" w:lineRule="exact"/>
        <w:ind w:firstLine="525" w:firstLineChars="250"/>
        <w:rPr>
          <w:rFonts w:hAnsi="宋体" w:cs="宋体"/>
          <w:color w:val="auto"/>
          <w:kern w:val="0"/>
          <w:sz w:val="24"/>
          <w:szCs w:val="24"/>
        </w:rPr>
      </w:pPr>
      <w:r>
        <w:rPr>
          <w:rFonts w:hint="eastAsia" w:hAnsi="宋体" w:cs="宋体"/>
          <w:color w:val="auto"/>
          <w:kern w:val="0"/>
        </w:rPr>
        <w:t>13.2响应文件满足磋商文件全部实质性要求且按评审因素的量化指标评审得分最高的供应商为成交供应商。</w:t>
      </w:r>
    </w:p>
    <w:p>
      <w:pPr>
        <w:pStyle w:val="24"/>
        <w:spacing w:line="440" w:lineRule="exact"/>
        <w:ind w:firstLine="413" w:firstLineChars="196"/>
        <w:rPr>
          <w:rFonts w:hAnsi="宋体" w:cs="宋体"/>
          <w:b/>
          <w:bCs/>
          <w:color w:val="auto"/>
          <w:szCs w:val="21"/>
        </w:rPr>
      </w:pPr>
      <w:r>
        <w:rPr>
          <w:rFonts w:hint="eastAsia" w:hAnsi="宋体" w:cs="宋体"/>
          <w:b/>
          <w:bCs/>
          <w:color w:val="auto"/>
        </w:rPr>
        <w:t>七、成交结果公告</w:t>
      </w:r>
    </w:p>
    <w:p>
      <w:pPr>
        <w:pStyle w:val="24"/>
        <w:spacing w:line="440" w:lineRule="exact"/>
        <w:ind w:firstLine="420"/>
        <w:rPr>
          <w:rFonts w:hAnsi="宋体" w:cs="宋体"/>
          <w:color w:val="auto"/>
        </w:rPr>
      </w:pPr>
      <w:r>
        <w:rPr>
          <w:rFonts w:hint="eastAsia" w:hAnsi="宋体" w:cs="宋体"/>
          <w:color w:val="auto"/>
        </w:rPr>
        <w:t>14.1采购代理机构在评审结束后二个工作日内将磋商评审报告送采购人确认，</w:t>
      </w:r>
      <w:r>
        <w:rPr>
          <w:rFonts w:hint="eastAsia" w:hAnsi="宋体" w:cs="宋体"/>
          <w:color w:val="auto"/>
          <w:kern w:val="0"/>
        </w:rPr>
        <w:t>成交供应商确定后</w:t>
      </w:r>
      <w:r>
        <w:rPr>
          <w:rFonts w:hint="eastAsia" w:hAnsi="宋体" w:cs="宋体"/>
          <w:color w:val="auto"/>
        </w:rPr>
        <w:t>二个工作日内，成交结果公告将在中国采购与招标网（http://www.chinabidding.com.cn/）、华夏城投项目管理有限公司官网（http://www.sxhx2001.com）上发布，</w:t>
      </w:r>
      <w:r>
        <w:rPr>
          <w:rFonts w:hint="eastAsia" w:hAnsi="宋体" w:cs="宋体"/>
          <w:color w:val="auto"/>
          <w:kern w:val="0"/>
        </w:rPr>
        <w:t>同时向成交供应商发出成交通知书</w:t>
      </w:r>
      <w:r>
        <w:rPr>
          <w:rFonts w:hint="eastAsia" w:hAnsi="宋体" w:cs="宋体"/>
          <w:color w:val="auto"/>
        </w:rPr>
        <w:t>。</w:t>
      </w:r>
    </w:p>
    <w:p>
      <w:pPr>
        <w:pStyle w:val="24"/>
        <w:spacing w:line="440" w:lineRule="exact"/>
        <w:ind w:left="105" w:firstLine="315"/>
        <w:rPr>
          <w:rFonts w:hAnsi="宋体" w:cs="宋体"/>
          <w:color w:val="auto"/>
        </w:rPr>
      </w:pPr>
      <w:r>
        <w:rPr>
          <w:rFonts w:hint="eastAsia" w:hAnsi="宋体" w:cs="宋体"/>
          <w:color w:val="auto"/>
        </w:rPr>
        <w:t>14.2供应商</w:t>
      </w:r>
      <w:r>
        <w:rPr>
          <w:rFonts w:hint="eastAsia" w:hAnsi="宋体" w:cs="宋体"/>
          <w:color w:val="auto"/>
          <w:kern w:val="0"/>
        </w:rPr>
        <w:t>认为成交结果使自己的权益受到损害的</w:t>
      </w:r>
      <w:r>
        <w:rPr>
          <w:rFonts w:hint="eastAsia" w:hAnsi="宋体" w:cs="宋体"/>
          <w:color w:val="auto"/>
        </w:rPr>
        <w:t>，</w:t>
      </w:r>
      <w:r>
        <w:rPr>
          <w:rFonts w:hint="eastAsia" w:hAnsi="宋体" w:cs="宋体"/>
          <w:color w:val="auto"/>
          <w:kern w:val="0"/>
        </w:rPr>
        <w:t>可以在成交结果公告期限届满之日起</w:t>
      </w:r>
      <w:r>
        <w:rPr>
          <w:rFonts w:hint="eastAsia" w:hAnsi="宋体" w:cs="宋体"/>
          <w:color w:val="auto"/>
        </w:rPr>
        <w:t>七个工作日内以书面形式向采购代理机构提出质疑。采购代理机构将在收到供应商的书面质疑后七个工作日内做出答复，但答复的内容不得涉及商业秘密。</w:t>
      </w:r>
    </w:p>
    <w:p>
      <w:pPr>
        <w:pStyle w:val="24"/>
        <w:spacing w:line="440" w:lineRule="exact"/>
        <w:ind w:firstLine="420"/>
        <w:rPr>
          <w:rFonts w:hAnsi="宋体" w:cs="宋体"/>
          <w:color w:val="auto"/>
        </w:rPr>
      </w:pPr>
      <w:r>
        <w:rPr>
          <w:rFonts w:hint="eastAsia" w:hAnsi="宋体" w:cs="宋体"/>
          <w:color w:val="auto"/>
        </w:rPr>
        <w:t>14.3质疑供应商必须首先经过质疑程序，在对采购代理机构的答复不满意或者采购代理机构未在规定的时间内做出答复的，可以在答复期满后十五个工作日内书面向监督管理部门投诉。</w:t>
      </w:r>
    </w:p>
    <w:p>
      <w:pPr>
        <w:pStyle w:val="24"/>
        <w:spacing w:line="440" w:lineRule="exact"/>
        <w:ind w:firstLine="420" w:firstLineChars="200"/>
        <w:rPr>
          <w:rFonts w:hAnsi="宋体" w:cs="宋体"/>
          <w:color w:val="auto"/>
        </w:rPr>
      </w:pPr>
      <w:r>
        <w:rPr>
          <w:rFonts w:hint="eastAsia" w:hAnsi="宋体" w:cs="宋体"/>
          <w:color w:val="auto"/>
        </w:rPr>
        <w:t>质疑联系部门及电话为：华夏城投项目管理有限公司         0771-5382528</w:t>
      </w:r>
    </w:p>
    <w:p>
      <w:pPr>
        <w:spacing w:line="440" w:lineRule="exact"/>
        <w:ind w:left="420" w:leftChars="200" w:firstLine="105" w:firstLineChars="50"/>
        <w:rPr>
          <w:rFonts w:ascii="宋体" w:hAnsi="宋体" w:cs="宋体"/>
          <w:b/>
          <w:bCs/>
          <w:color w:val="auto"/>
        </w:rPr>
      </w:pPr>
      <w:r>
        <w:rPr>
          <w:rFonts w:hint="eastAsia" w:ascii="宋体" w:hAnsi="宋体" w:cs="宋体"/>
          <w:b/>
          <w:bCs/>
          <w:color w:val="auto"/>
        </w:rPr>
        <w:t>八、签订合同</w:t>
      </w:r>
    </w:p>
    <w:p>
      <w:pPr>
        <w:spacing w:line="440" w:lineRule="exact"/>
        <w:ind w:firstLine="472" w:firstLineChars="225"/>
        <w:rPr>
          <w:rFonts w:ascii="宋体" w:hAnsi="宋体" w:cs="宋体"/>
          <w:color w:val="auto"/>
        </w:rPr>
      </w:pPr>
      <w:r>
        <w:rPr>
          <w:rFonts w:hint="eastAsia" w:ascii="宋体" w:hAnsi="宋体" w:cs="宋体"/>
          <w:color w:val="auto"/>
        </w:rPr>
        <w:t>15.1成交供应商自成交通知书发出之日起二十五日内与采购人签订协议。采购人另有要求的，按要求执行。</w:t>
      </w:r>
    </w:p>
    <w:p>
      <w:pPr>
        <w:spacing w:line="440" w:lineRule="exact"/>
        <w:ind w:firstLine="472" w:firstLineChars="225"/>
        <w:rPr>
          <w:rFonts w:ascii="宋体" w:hAnsi="宋体" w:cs="宋体"/>
          <w:color w:val="auto"/>
        </w:rPr>
      </w:pPr>
      <w:r>
        <w:rPr>
          <w:rFonts w:hint="eastAsia" w:ascii="宋体" w:hAnsi="宋体" w:cs="宋体"/>
          <w:color w:val="auto"/>
        </w:rPr>
        <w:t>15.2</w:t>
      </w:r>
      <w:r>
        <w:rPr>
          <w:rFonts w:hint="eastAsia" w:ascii="宋体" w:hAnsi="宋体" w:cs="宋体"/>
          <w:color w:val="auto"/>
          <w:kern w:val="0"/>
        </w:rPr>
        <w:t>成交供应商拒绝签订采购合同的</w:t>
      </w:r>
      <w:r>
        <w:rPr>
          <w:rFonts w:hint="eastAsia" w:ascii="宋体" w:hAnsi="宋体" w:cs="宋体"/>
          <w:color w:val="auto"/>
        </w:rPr>
        <w:t>，采购人可以根据磋商评审报告确定成交供应商之后排名第一的成交候选供应商</w:t>
      </w:r>
      <w:r>
        <w:rPr>
          <w:rFonts w:hint="eastAsia" w:ascii="宋体" w:hAnsi="宋体" w:cs="宋体"/>
          <w:color w:val="auto"/>
          <w:kern w:val="0"/>
        </w:rPr>
        <w:t>作为</w:t>
      </w:r>
      <w:r>
        <w:rPr>
          <w:rFonts w:hint="eastAsia" w:ascii="宋体" w:hAnsi="宋体" w:cs="宋体"/>
          <w:color w:val="auto"/>
        </w:rPr>
        <w:t>成交供应商</w:t>
      </w:r>
      <w:r>
        <w:rPr>
          <w:rFonts w:hint="eastAsia" w:ascii="宋体" w:hAnsi="宋体" w:cs="宋体"/>
          <w:color w:val="auto"/>
          <w:kern w:val="0"/>
        </w:rPr>
        <w:t>并签订采购合同，也可以重新开展采购活动。拒绝签订采购合同的成交供应商不得参加对该项目重新开展的采购活动。</w:t>
      </w:r>
    </w:p>
    <w:p>
      <w:pPr>
        <w:spacing w:line="440" w:lineRule="exact"/>
        <w:ind w:firstLine="420" w:firstLineChars="200"/>
        <w:rPr>
          <w:rFonts w:ascii="宋体" w:hAnsi="宋体" w:cs="宋体"/>
          <w:b/>
          <w:bCs/>
          <w:color w:val="auto"/>
        </w:rPr>
      </w:pPr>
      <w:r>
        <w:rPr>
          <w:rFonts w:hint="eastAsia" w:ascii="宋体" w:hAnsi="宋体" w:cs="宋体"/>
          <w:color w:val="auto"/>
        </w:rPr>
        <w:t>15.3</w:t>
      </w:r>
      <w:r>
        <w:rPr>
          <w:rFonts w:hint="eastAsia" w:ascii="宋体" w:hAnsi="宋体" w:cs="宋体"/>
          <w:color w:val="auto"/>
          <w:kern w:val="0"/>
        </w:rPr>
        <w:t>成交供应商拒绝签订采购合同的</w:t>
      </w:r>
      <w:r>
        <w:rPr>
          <w:rFonts w:hint="eastAsia" w:ascii="宋体" w:hAnsi="宋体" w:cs="宋体"/>
          <w:color w:val="auto"/>
        </w:rPr>
        <w:t>，其保证金将不予退还，并上缴国库，给采购人造成其损失的，还应当赔偿损失，并作为不良行为记录在案。</w:t>
      </w:r>
    </w:p>
    <w:p>
      <w:pPr>
        <w:spacing w:line="440" w:lineRule="exact"/>
        <w:ind w:left="420" w:leftChars="200" w:firstLine="105" w:firstLineChars="50"/>
        <w:rPr>
          <w:rFonts w:ascii="宋体" w:hAnsi="宋体" w:cs="宋体"/>
          <w:b/>
          <w:bCs/>
          <w:color w:val="auto"/>
        </w:rPr>
      </w:pPr>
      <w:r>
        <w:rPr>
          <w:rFonts w:hint="eastAsia" w:ascii="宋体" w:hAnsi="宋体" w:cs="宋体"/>
          <w:b/>
          <w:bCs/>
          <w:color w:val="auto"/>
        </w:rPr>
        <w:t>九、适用法律</w:t>
      </w:r>
    </w:p>
    <w:p>
      <w:pPr>
        <w:spacing w:line="440" w:lineRule="exact"/>
        <w:ind w:left="420" w:leftChars="200" w:firstLine="105" w:firstLineChars="50"/>
        <w:rPr>
          <w:rFonts w:ascii="宋体" w:hAnsi="宋体" w:cs="宋体"/>
          <w:color w:val="auto"/>
        </w:rPr>
      </w:pPr>
      <w:r>
        <w:rPr>
          <w:rFonts w:hint="eastAsia" w:ascii="宋体" w:hAnsi="宋体" w:cs="宋体"/>
          <w:color w:val="auto"/>
        </w:rPr>
        <w:t>16.最终磋商结束后，磋商小组不得再与供应商进行任何形式的磋商。</w:t>
      </w:r>
    </w:p>
    <w:p>
      <w:pPr>
        <w:spacing w:line="440" w:lineRule="exact"/>
        <w:ind w:left="420" w:leftChars="200" w:firstLine="105" w:firstLineChars="50"/>
        <w:rPr>
          <w:rFonts w:ascii="宋体" w:hAnsi="宋体" w:cs="宋体"/>
          <w:b/>
          <w:bCs/>
          <w:color w:val="auto"/>
        </w:rPr>
      </w:pPr>
      <w:r>
        <w:rPr>
          <w:rFonts w:hint="eastAsia" w:ascii="宋体" w:hAnsi="宋体" w:cs="宋体"/>
          <w:b/>
          <w:bCs/>
          <w:color w:val="auto"/>
        </w:rPr>
        <w:t>十、其他事项</w:t>
      </w:r>
    </w:p>
    <w:p>
      <w:pPr>
        <w:spacing w:line="440" w:lineRule="exact"/>
        <w:ind w:firstLine="474" w:firstLineChars="225"/>
        <w:rPr>
          <w:rFonts w:ascii="宋体" w:hAnsi="宋体" w:cs="宋体"/>
          <w:b/>
          <w:bCs/>
          <w:color w:val="auto"/>
        </w:rPr>
      </w:pPr>
      <w:r>
        <w:rPr>
          <w:rFonts w:hint="eastAsia" w:ascii="宋体" w:hAnsi="宋体" w:cs="宋体"/>
          <w:b/>
          <w:bCs/>
          <w:color w:val="auto"/>
        </w:rPr>
        <w:t>17.1解释权</w:t>
      </w:r>
    </w:p>
    <w:p>
      <w:pPr>
        <w:snapToGrid w:val="0"/>
        <w:spacing w:line="360" w:lineRule="auto"/>
        <w:ind w:firstLine="404" w:firstLineChars="200"/>
        <w:rPr>
          <w:rFonts w:ascii="宋体" w:hAnsi="宋体" w:cs="宋体"/>
          <w:color w:val="auto"/>
          <w:spacing w:val="-4"/>
        </w:rPr>
      </w:pPr>
      <w:r>
        <w:rPr>
          <w:rFonts w:hint="eastAsia" w:ascii="宋体" w:hAnsi="宋体" w:cs="宋体"/>
          <w:color w:val="auto"/>
          <w:spacing w:val="-4"/>
        </w:rPr>
        <w:t>本</w:t>
      </w:r>
      <w:r>
        <w:rPr>
          <w:rFonts w:hint="eastAsia" w:ascii="宋体" w:hAnsi="宋体" w:cs="宋体"/>
          <w:color w:val="auto"/>
        </w:rPr>
        <w:t>竞争性磋商</w:t>
      </w:r>
      <w:r>
        <w:rPr>
          <w:rFonts w:hint="eastAsia" w:ascii="宋体" w:hAnsi="宋体" w:cs="宋体"/>
          <w:color w:val="auto"/>
          <w:spacing w:val="-4"/>
        </w:rPr>
        <w:t>文件解释权属</w:t>
      </w:r>
      <w:r>
        <w:rPr>
          <w:rFonts w:hint="eastAsia" w:ascii="宋体" w:hAnsi="宋体" w:cs="宋体"/>
          <w:b/>
          <w:bCs/>
          <w:color w:val="auto"/>
          <w:spacing w:val="-4"/>
          <w:u w:val="single"/>
        </w:rPr>
        <w:t>华夏城投项目管理有限公司</w:t>
      </w:r>
      <w:r>
        <w:rPr>
          <w:rFonts w:hint="eastAsia" w:ascii="宋体" w:hAnsi="宋体" w:cs="宋体"/>
          <w:color w:val="auto"/>
          <w:spacing w:val="-4"/>
        </w:rPr>
        <w:t>。</w:t>
      </w:r>
    </w:p>
    <w:p>
      <w:pPr>
        <w:snapToGrid w:val="0"/>
        <w:spacing w:line="360" w:lineRule="auto"/>
        <w:ind w:firstLine="422" w:firstLineChars="200"/>
        <w:rPr>
          <w:rFonts w:ascii="宋体" w:hAnsi="宋体" w:cs="宋体"/>
          <w:b/>
          <w:color w:val="auto"/>
          <w:kern w:val="0"/>
        </w:rPr>
      </w:pPr>
      <w:r>
        <w:rPr>
          <w:rFonts w:hint="eastAsia" w:ascii="宋体" w:hAnsi="宋体" w:cs="宋体"/>
          <w:b/>
          <w:color w:val="auto"/>
          <w:kern w:val="0"/>
        </w:rPr>
        <w:t>解释权：</w:t>
      </w:r>
      <w:r>
        <w:rPr>
          <w:rFonts w:hint="eastAsia" w:ascii="宋体" w:hAnsi="宋体" w:cs="宋体"/>
          <w:color w:val="auto"/>
          <w:kern w:val="0"/>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代理机构负责解释。</w:t>
      </w:r>
    </w:p>
    <w:p>
      <w:pPr>
        <w:pStyle w:val="24"/>
        <w:spacing w:line="340" w:lineRule="exact"/>
        <w:ind w:firstLine="474" w:firstLineChars="225"/>
        <w:rPr>
          <w:rFonts w:hAnsi="宋体" w:cs="宋体"/>
          <w:color w:val="auto"/>
        </w:rPr>
      </w:pPr>
      <w:r>
        <w:rPr>
          <w:rFonts w:hint="eastAsia" w:hAnsi="宋体" w:cs="宋体"/>
          <w:b/>
          <w:bCs/>
          <w:color w:val="auto"/>
        </w:rPr>
        <w:t>17.2 有关事宜</w:t>
      </w:r>
    </w:p>
    <w:p>
      <w:pPr>
        <w:spacing w:line="440" w:lineRule="exact"/>
        <w:ind w:left="420" w:leftChars="200" w:firstLine="105" w:firstLineChars="50"/>
        <w:rPr>
          <w:rFonts w:ascii="宋体" w:hAnsi="宋体" w:cs="宋体"/>
          <w:color w:val="auto"/>
        </w:rPr>
      </w:pPr>
      <w:r>
        <w:rPr>
          <w:rFonts w:hint="eastAsia" w:ascii="宋体" w:hAnsi="宋体" w:cs="宋体"/>
          <w:color w:val="auto"/>
        </w:rPr>
        <w:t>所有与本竞争性磋商文件有关的函件请按下列通讯地址联系：</w:t>
      </w:r>
    </w:p>
    <w:p>
      <w:pPr>
        <w:spacing w:line="440" w:lineRule="exact"/>
        <w:ind w:left="420" w:leftChars="200" w:firstLine="105" w:firstLineChars="50"/>
        <w:rPr>
          <w:rFonts w:ascii="宋体" w:hAnsi="宋体" w:cs="宋体"/>
          <w:color w:val="auto"/>
        </w:rPr>
      </w:pPr>
      <w:r>
        <w:rPr>
          <w:rFonts w:hint="eastAsia" w:ascii="宋体" w:hAnsi="宋体" w:cs="宋体"/>
          <w:color w:val="auto"/>
        </w:rPr>
        <w:t>华夏城投项目管理有限公司</w:t>
      </w:r>
    </w:p>
    <w:p>
      <w:pPr>
        <w:spacing w:line="440" w:lineRule="exact"/>
        <w:ind w:left="420" w:leftChars="200" w:firstLine="105" w:firstLineChars="50"/>
        <w:rPr>
          <w:rFonts w:ascii="宋体" w:hAnsi="宋体" w:cs="宋体"/>
          <w:color w:val="auto"/>
        </w:rPr>
      </w:pPr>
      <w:r>
        <w:rPr>
          <w:rFonts w:hint="eastAsia" w:ascii="宋体" w:hAnsi="宋体" w:cs="宋体"/>
          <w:color w:val="auto"/>
        </w:rPr>
        <w:t>邮政编码：530022</w:t>
      </w:r>
    </w:p>
    <w:p>
      <w:pPr>
        <w:spacing w:line="440" w:lineRule="exact"/>
        <w:ind w:left="420" w:leftChars="200" w:firstLine="105" w:firstLineChars="50"/>
        <w:rPr>
          <w:rFonts w:ascii="宋体" w:hAnsi="宋体" w:cs="宋体"/>
          <w:color w:val="auto"/>
        </w:rPr>
      </w:pPr>
      <w:r>
        <w:rPr>
          <w:rFonts w:hint="eastAsia" w:ascii="宋体" w:hAnsi="宋体" w:cs="宋体"/>
          <w:color w:val="auto"/>
        </w:rPr>
        <w:t>通讯地址：南宁市东葛路118号青秀万达写字楼银座8楼808室</w:t>
      </w:r>
    </w:p>
    <w:p>
      <w:pPr>
        <w:spacing w:line="440" w:lineRule="exact"/>
        <w:ind w:left="420" w:leftChars="200" w:firstLine="105" w:firstLineChars="50"/>
        <w:rPr>
          <w:rFonts w:ascii="宋体" w:hAnsi="宋体" w:cs="宋体"/>
          <w:color w:val="auto"/>
        </w:rPr>
      </w:pPr>
      <w:r>
        <w:rPr>
          <w:rFonts w:hint="eastAsia" w:ascii="宋体" w:hAnsi="宋体" w:cs="宋体"/>
          <w:color w:val="auto"/>
        </w:rPr>
        <w:t>电    话：0771-5382528</w:t>
      </w:r>
    </w:p>
    <w:p>
      <w:pPr>
        <w:spacing w:line="440" w:lineRule="exact"/>
        <w:ind w:firstLine="474" w:firstLineChars="225"/>
        <w:rPr>
          <w:rFonts w:ascii="宋体" w:hAnsi="宋体" w:cs="宋体"/>
          <w:b/>
          <w:bCs/>
          <w:color w:val="auto"/>
        </w:rPr>
      </w:pPr>
      <w:r>
        <w:rPr>
          <w:rFonts w:hint="eastAsia" w:ascii="宋体" w:hAnsi="宋体" w:cs="宋体"/>
          <w:b/>
          <w:bCs/>
          <w:color w:val="auto"/>
        </w:rPr>
        <w:t>17.3采购代理费：</w:t>
      </w:r>
    </w:p>
    <w:p>
      <w:pPr>
        <w:snapToGrid w:val="0"/>
        <w:spacing w:line="360" w:lineRule="auto"/>
        <w:ind w:firstLine="422" w:firstLineChars="200"/>
        <w:rPr>
          <w:rFonts w:ascii="宋体" w:hAnsi="宋体" w:cs="宋体"/>
          <w:b/>
          <w:bCs/>
          <w:color w:val="auto"/>
        </w:rPr>
      </w:pPr>
      <w:bookmarkStart w:id="10" w:name="PO_3000001868_PM025"/>
      <w:r>
        <w:rPr>
          <w:rFonts w:hint="eastAsia" w:ascii="宋体" w:hAnsi="宋体" w:cs="宋体"/>
          <w:b/>
          <w:bCs/>
          <w:color w:val="auto"/>
        </w:rPr>
        <w:t>按照国家发展计划委员会《招标代理服务费管理暂行办法》(计价格(2002) 1980号收费标准、《国家发展改革委关于降低部分建设项目收费标准规范收费行为等有关问题的通知》(发改价[2011]534号)规定的基础上下浮25%收取，下浮后的代理服务费不足6000元的按6000元计取。</w:t>
      </w:r>
    </w:p>
    <w:p>
      <w:pPr>
        <w:snapToGrid w:val="0"/>
        <w:spacing w:line="360" w:lineRule="auto"/>
        <w:ind w:firstLine="420" w:firstLineChars="200"/>
        <w:contextualSpacing/>
        <w:rPr>
          <w:rFonts w:ascii="宋体" w:hAnsi="宋体" w:cs="宋体"/>
          <w:color w:val="auto"/>
          <w:szCs w:val="20"/>
        </w:rPr>
      </w:pPr>
      <w:r>
        <w:rPr>
          <w:rFonts w:hint="eastAsia" w:ascii="宋体" w:hAnsi="宋体" w:cs="宋体"/>
          <w:color w:val="auto"/>
          <w:szCs w:val="20"/>
        </w:rPr>
        <w:t>成交人应向采购代理机构一次付清代理服务费，否则采购代理机构有权不予以办理。</w:t>
      </w:r>
    </w:p>
    <w:p>
      <w:pPr>
        <w:snapToGrid w:val="0"/>
        <w:spacing w:line="360" w:lineRule="auto"/>
        <w:ind w:firstLine="420"/>
        <w:rPr>
          <w:rFonts w:ascii="宋体" w:hAnsi="宋体" w:cs="宋体"/>
          <w:color w:val="auto"/>
          <w:kern w:val="0"/>
          <w:sz w:val="20"/>
        </w:rPr>
      </w:pPr>
      <w:r>
        <w:rPr>
          <w:rFonts w:hint="eastAsia" w:ascii="宋体" w:hAnsi="宋体" w:cs="宋体"/>
          <w:color w:val="auto"/>
          <w:kern w:val="0"/>
          <w:sz w:val="20"/>
        </w:rPr>
        <w:t>《招标代理服务费管理暂行办法》(计价格(2002) 1980号收费标准、《国家发展改革委关于降低部分建设项目收费标准规范收费行为等有关问题的通知》(发改价[2011]534号)规定的招标代理服务费收费标准：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1805"/>
        <w:gridCol w:w="179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718" w:type="dxa"/>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default" w:ascii="宋体" w:hAnsi="宋体" w:cs="宋体"/>
                <w:color w:val="auto"/>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708785" cy="527685"/>
                      <wp:effectExtent l="1270" t="4445" r="4445" b="20320"/>
                      <wp:wrapNone/>
                      <wp:docPr id="1" name="Line 3"/>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5.4pt;margin-top:-0.5pt;height:41.55pt;width:134.55pt;z-index:251659264;mso-width-relative:page;mso-height-relative:page;" filled="f" stroked="t" coordsize="21600,21600" o:gfxdata="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PY+rXAAAACQEAAA8AAAAA&#10;AAAAAQAgAAAAIgAAAGRycy9kb3ducmV2LnhtbFBLAQIUABQAAAAIAIdO4kAmoZq83AEAAOADAAAO&#10;AAAAAAAAAAEAIAAAACYBAABkcnMvZTJvRG9jLnhtbFBLBQYAAAAABgAGAFkBAAB0BQAAAAA=&#10;">
                      <v:fill on="f" focussize="0,0"/>
                      <v:stroke color="#000000" joinstyle="round"/>
                      <v:imagedata o:title=""/>
                      <o:lock v:ext="edit" aspectratio="f"/>
                    </v:line>
                  </w:pict>
                </mc:Fallback>
              </mc:AlternateContent>
            </w:r>
            <w:r>
              <w:rPr>
                <w:rFonts w:hint="eastAsia" w:ascii="宋体" w:hAnsi="宋体" w:cs="宋体"/>
                <w:color w:val="auto"/>
              </w:rPr>
              <w:t xml:space="preserve">          费率</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中标金额</w:t>
            </w:r>
          </w:p>
        </w:tc>
        <w:tc>
          <w:tcPr>
            <w:tcW w:w="1805" w:type="dxa"/>
            <w:vAlign w:val="center"/>
          </w:tcPr>
          <w:p>
            <w:pPr>
              <w:keepNext w:val="0"/>
              <w:keepLines w:val="0"/>
              <w:suppressLineNumbers w:val="0"/>
              <w:snapToGrid w:val="0"/>
              <w:spacing w:before="0" w:beforeAutospacing="0" w:after="0" w:afterAutospacing="0" w:line="360" w:lineRule="auto"/>
              <w:ind w:left="0" w:right="0" w:firstLine="105" w:firstLineChars="50"/>
              <w:jc w:val="center"/>
              <w:rPr>
                <w:rFonts w:hint="default" w:ascii="宋体" w:hAnsi="宋体" w:cs="宋体"/>
                <w:color w:val="auto"/>
              </w:rPr>
            </w:pPr>
            <w:r>
              <w:rPr>
                <w:rFonts w:hint="eastAsia" w:ascii="宋体" w:hAnsi="宋体" w:cs="宋体"/>
                <w:color w:val="auto"/>
              </w:rPr>
              <w:t>货物招标</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服务招标</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100万元以下</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1.5%</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1.5%</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100～500万元</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1.1%</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0.8%</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500～1000万元</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0.8%</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0.45%</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1000～5000万元</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0.5%</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0.25%</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5000万元～1亿元</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0.25%</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0.1%</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1～5亿元</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0.05%</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0.05%</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5～10亿元</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0.035%</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0.035%</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10～50亿元</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0.008%</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0.008%</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50～100亿元</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0.006%</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0.006%</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18"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100亿以上</w:t>
            </w:r>
          </w:p>
        </w:tc>
        <w:tc>
          <w:tcPr>
            <w:tcW w:w="180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0.004%</w:t>
            </w:r>
          </w:p>
        </w:tc>
        <w:tc>
          <w:tcPr>
            <w:tcW w:w="179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0.004%</w:t>
            </w:r>
          </w:p>
        </w:tc>
        <w:tc>
          <w:tcPr>
            <w:tcW w:w="164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color w:val="auto"/>
              </w:rPr>
              <w:t>0.004%</w:t>
            </w:r>
          </w:p>
        </w:tc>
      </w:tr>
    </w:tbl>
    <w:p>
      <w:pPr>
        <w:snapToGrid w:val="0"/>
        <w:spacing w:line="360" w:lineRule="auto"/>
        <w:ind w:firstLine="300" w:firstLineChars="150"/>
        <w:rPr>
          <w:rFonts w:ascii="宋体" w:hAnsi="宋体" w:cs="宋体"/>
          <w:color w:val="auto"/>
        </w:rPr>
      </w:pPr>
      <w:r>
        <w:rPr>
          <w:rFonts w:hint="eastAsia" w:ascii="宋体" w:hAnsi="宋体" w:cs="宋体"/>
          <w:color w:val="auto"/>
          <w:kern w:val="0"/>
          <w:sz w:val="20"/>
        </w:rPr>
        <w:t>注：招标代理服务收费按差额定率累进法计算。</w:t>
      </w:r>
    </w:p>
    <w:bookmarkEnd w:id="10"/>
    <w:p>
      <w:pPr>
        <w:adjustRightInd w:val="0"/>
        <w:snapToGrid w:val="0"/>
        <w:spacing w:line="288" w:lineRule="auto"/>
        <w:ind w:firstLine="420" w:firstLineChars="200"/>
        <w:rPr>
          <w:rFonts w:ascii="宋体" w:hAnsi="宋体" w:cs="宋体"/>
          <w:color w:val="auto"/>
        </w:rPr>
      </w:pPr>
      <w:r>
        <w:rPr>
          <w:rFonts w:hint="eastAsia" w:ascii="宋体" w:hAnsi="宋体" w:cs="宋体"/>
          <w:color w:val="auto"/>
        </w:rPr>
        <w:t>采购代理费收取银行账户</w:t>
      </w:r>
    </w:p>
    <w:p>
      <w:pPr>
        <w:adjustRightInd w:val="0"/>
        <w:snapToGrid w:val="0"/>
        <w:spacing w:line="288" w:lineRule="auto"/>
        <w:ind w:firstLine="420" w:firstLineChars="200"/>
        <w:rPr>
          <w:rFonts w:ascii="宋体" w:hAnsi="宋体" w:cs="宋体"/>
          <w:color w:val="auto"/>
        </w:rPr>
      </w:pPr>
      <w:r>
        <w:rPr>
          <w:rFonts w:hint="eastAsia" w:ascii="宋体" w:hAnsi="宋体" w:cs="宋体"/>
          <w:color w:val="auto"/>
        </w:rPr>
        <w:t>账户名称：华夏城投项目管理有限公司广西分公司</w:t>
      </w:r>
    </w:p>
    <w:p>
      <w:pPr>
        <w:adjustRightInd w:val="0"/>
        <w:snapToGrid w:val="0"/>
        <w:spacing w:line="288" w:lineRule="auto"/>
        <w:ind w:firstLine="420" w:firstLineChars="200"/>
        <w:rPr>
          <w:rFonts w:ascii="宋体" w:hAnsi="宋体" w:cs="宋体"/>
          <w:color w:val="auto"/>
        </w:rPr>
      </w:pPr>
      <w:r>
        <w:rPr>
          <w:rFonts w:hint="eastAsia" w:ascii="宋体" w:hAnsi="宋体" w:cs="宋体"/>
          <w:color w:val="auto"/>
        </w:rPr>
        <w:t>开户银行：中国建设银行股份有限公司南宁五象支行</w:t>
      </w:r>
    </w:p>
    <w:p>
      <w:pPr>
        <w:adjustRightInd w:val="0"/>
        <w:snapToGrid w:val="0"/>
        <w:spacing w:line="288" w:lineRule="auto"/>
        <w:ind w:firstLine="420" w:firstLineChars="200"/>
        <w:rPr>
          <w:rFonts w:ascii="宋体" w:hAnsi="宋体" w:cs="宋体"/>
          <w:color w:val="auto"/>
        </w:rPr>
      </w:pPr>
      <w:r>
        <w:rPr>
          <w:rFonts w:hint="eastAsia" w:ascii="宋体" w:hAnsi="宋体" w:cs="宋体"/>
          <w:color w:val="auto"/>
        </w:rPr>
        <w:t xml:space="preserve">银行账号：45050160500100000030 </w:t>
      </w:r>
    </w:p>
    <w:p>
      <w:pPr>
        <w:spacing w:line="500" w:lineRule="exact"/>
        <w:rPr>
          <w:rFonts w:ascii="宋体" w:hAnsi="宋体" w:cs="宋体"/>
          <w:b/>
          <w:bCs/>
          <w:color w:val="auto"/>
          <w:sz w:val="32"/>
          <w:szCs w:val="32"/>
        </w:rPr>
      </w:pPr>
      <w:r>
        <w:rPr>
          <w:rFonts w:hint="eastAsia" w:ascii="宋体" w:hAnsi="宋体" w:cs="宋体"/>
          <w:b/>
          <w:bCs/>
          <w:color w:val="auto"/>
          <w:sz w:val="32"/>
          <w:szCs w:val="32"/>
        </w:rPr>
        <w:t xml:space="preserve"> </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r>
        <w:rPr>
          <w:rFonts w:hint="eastAsia" w:ascii="宋体" w:hAnsi="宋体" w:cs="宋体"/>
          <w:b/>
          <w:bCs/>
          <w:color w:val="auto"/>
          <w:sz w:val="32"/>
          <w:szCs w:val="32"/>
        </w:rPr>
        <w:t xml:space="preserve"> </w:t>
      </w:r>
    </w:p>
    <w:p>
      <w:pPr>
        <w:spacing w:line="500" w:lineRule="exact"/>
        <w:rPr>
          <w:rFonts w:ascii="宋体" w:hAnsi="宋体" w:cs="宋体"/>
          <w:b/>
          <w:bCs/>
          <w:color w:val="auto"/>
          <w:sz w:val="32"/>
          <w:szCs w:val="32"/>
        </w:rPr>
      </w:pPr>
      <w:r>
        <w:rPr>
          <w:rFonts w:hint="eastAsia" w:ascii="宋体" w:hAnsi="宋体" w:cs="宋体"/>
          <w:b/>
          <w:bCs/>
          <w:color w:val="auto"/>
          <w:sz w:val="32"/>
          <w:szCs w:val="32"/>
        </w:rPr>
        <w:br w:type="page"/>
      </w:r>
    </w:p>
    <w:p>
      <w:pPr>
        <w:spacing w:line="500" w:lineRule="exact"/>
        <w:rPr>
          <w:rFonts w:ascii="宋体" w:hAnsi="宋体" w:cs="宋体"/>
          <w:b/>
          <w:bCs/>
          <w:color w:val="auto"/>
          <w:sz w:val="32"/>
          <w:szCs w:val="32"/>
        </w:rPr>
      </w:pPr>
      <w:r>
        <w:rPr>
          <w:rFonts w:hint="eastAsia" w:ascii="宋体" w:hAnsi="宋体" w:cs="宋体"/>
          <w:b/>
          <w:bCs/>
          <w:color w:val="auto"/>
          <w:sz w:val="32"/>
          <w:szCs w:val="32"/>
        </w:rPr>
        <w:t xml:space="preserve"> </w:t>
      </w:r>
    </w:p>
    <w:p>
      <w:pPr>
        <w:rPr>
          <w:rFonts w:ascii="宋体" w:hAnsi="宋体" w:cs="宋体"/>
          <w:color w:val="auto"/>
        </w:rPr>
      </w:pPr>
      <w:bookmarkStart w:id="11" w:name="_Toc18481386"/>
      <w:bookmarkEnd w:id="11"/>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rPr>
          <w:rFonts w:ascii="宋体" w:hAnsi="宋体" w:cs="宋体"/>
          <w:color w:val="auto"/>
        </w:rPr>
      </w:pPr>
    </w:p>
    <w:p>
      <w:pPr>
        <w:pStyle w:val="5"/>
        <w:jc w:val="center"/>
        <w:rPr>
          <w:rFonts w:ascii="宋体" w:hAnsi="宋体" w:cs="宋体"/>
          <w:color w:val="auto"/>
        </w:rPr>
      </w:pPr>
      <w:bookmarkStart w:id="12" w:name="_Toc14321"/>
      <w:bookmarkStart w:id="13" w:name="_Toc24436"/>
      <w:r>
        <w:rPr>
          <w:rFonts w:hint="eastAsia" w:ascii="宋体" w:hAnsi="宋体" w:cs="宋体"/>
          <w:color w:val="auto"/>
        </w:rPr>
        <w:t>第三章  采购需求</w:t>
      </w:r>
      <w:bookmarkEnd w:id="12"/>
      <w:bookmarkEnd w:id="13"/>
    </w:p>
    <w:p>
      <w:pPr>
        <w:rPr>
          <w:rFonts w:ascii="宋体" w:hAnsi="宋体" w:cs="宋体"/>
          <w:color w:val="auto"/>
        </w:rPr>
      </w:pPr>
      <w:r>
        <w:rPr>
          <w:rFonts w:hint="eastAsia" w:ascii="宋体" w:hAnsi="宋体" w:cs="宋体"/>
          <w:color w:val="auto"/>
        </w:rPr>
        <w:t xml:space="preserve"> </w:t>
      </w:r>
    </w:p>
    <w:p>
      <w:pPr>
        <w:rPr>
          <w:rFonts w:ascii="宋体" w:hAnsi="宋体" w:cs="宋体"/>
          <w:b/>
          <w:bCs/>
          <w:color w:val="auto"/>
          <w:sz w:val="32"/>
          <w:szCs w:val="32"/>
        </w:rPr>
        <w:sectPr>
          <w:footerReference r:id="rId7" w:type="first"/>
          <w:footerReference r:id="rId6" w:type="default"/>
          <w:pgSz w:w="11906" w:h="16838"/>
          <w:pgMar w:top="1247" w:right="1247" w:bottom="1247" w:left="1247" w:header="851" w:footer="992" w:gutter="0"/>
          <w:pgNumType w:start="1"/>
          <w:cols w:space="720" w:num="1"/>
          <w:titlePg/>
          <w:docGrid w:type="lines" w:linePitch="312" w:charSpace="0"/>
        </w:sectPr>
      </w:pPr>
    </w:p>
    <w:p>
      <w:pPr>
        <w:adjustRightInd w:val="0"/>
        <w:snapToGrid w:val="0"/>
        <w:rPr>
          <w:rFonts w:ascii="宋体" w:hAnsi="宋体" w:cs="宋体"/>
          <w:bCs/>
          <w:color w:val="auto"/>
        </w:rPr>
      </w:pPr>
      <w:r>
        <w:rPr>
          <w:rFonts w:hint="eastAsia" w:ascii="宋体" w:hAnsi="宋体" w:cs="宋体"/>
          <w:bCs/>
          <w:color w:val="auto"/>
        </w:rPr>
        <w:t>说明：</w:t>
      </w:r>
    </w:p>
    <w:p>
      <w:pPr>
        <w:adjustRightInd w:val="0"/>
        <w:snapToGrid w:val="0"/>
        <w:ind w:firstLine="420" w:firstLineChars="200"/>
        <w:rPr>
          <w:rFonts w:ascii="宋体" w:hAnsi="宋体" w:cs="宋体"/>
          <w:bCs/>
          <w:color w:val="auto"/>
        </w:rPr>
      </w:pPr>
      <w:r>
        <w:rPr>
          <w:rFonts w:hint="eastAsia" w:ascii="宋体" w:hAnsi="宋体" w:cs="宋体"/>
          <w:bCs/>
          <w:color w:val="auto"/>
        </w:rPr>
        <w:t>1.“实质性要求”是指采购需求中带“▲”的条款或者不能负偏离的条款或者已经指明不满足按响应文件作无效处理的条款。</w:t>
      </w:r>
    </w:p>
    <w:p>
      <w:pPr>
        <w:adjustRightInd w:val="0"/>
        <w:snapToGrid w:val="0"/>
        <w:ind w:firstLine="420" w:firstLineChars="200"/>
        <w:rPr>
          <w:rFonts w:ascii="宋体" w:hAnsi="宋体" w:cs="宋体"/>
          <w:bCs/>
          <w:color w:val="auto"/>
        </w:rPr>
      </w:pPr>
      <w:r>
        <w:rPr>
          <w:rFonts w:hint="eastAsia" w:ascii="宋体" w:hAnsi="宋体" w:cs="宋体"/>
          <w:bCs/>
          <w:color w:val="auto"/>
        </w:rPr>
        <w:t>2.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adjustRightInd w:val="0"/>
        <w:snapToGrid w:val="0"/>
        <w:ind w:firstLine="420" w:firstLineChars="200"/>
        <w:rPr>
          <w:rFonts w:ascii="宋体" w:hAnsi="宋体" w:cs="宋体"/>
          <w:bCs/>
          <w:color w:val="auto"/>
          <w:kern w:val="0"/>
        </w:rPr>
      </w:pPr>
      <w:r>
        <w:rPr>
          <w:rFonts w:hint="eastAsia" w:ascii="宋体" w:hAnsi="宋体" w:cs="宋体"/>
          <w:bCs/>
          <w:color w:val="auto"/>
        </w:rPr>
        <w:t>3.供应商必须自行为其竞标产品侵犯他人的知识产权或者专利成果的行为承担相应法律责任。</w:t>
      </w:r>
    </w:p>
    <w:tbl>
      <w:tblPr>
        <w:tblStyle w:val="40"/>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1"/>
        <w:gridCol w:w="821"/>
        <w:gridCol w:w="509"/>
        <w:gridCol w:w="488"/>
        <w:gridCol w:w="604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序号</w:t>
            </w:r>
          </w:p>
        </w:tc>
        <w:tc>
          <w:tcPr>
            <w:tcW w:w="8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货物名称</w:t>
            </w:r>
          </w:p>
        </w:tc>
        <w:tc>
          <w:tcPr>
            <w:tcW w:w="5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单位</w:t>
            </w: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数量</w:t>
            </w:r>
          </w:p>
        </w:tc>
        <w:tc>
          <w:tcPr>
            <w:tcW w:w="60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技术参数要求</w:t>
            </w: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1</w:t>
            </w:r>
          </w:p>
        </w:tc>
        <w:tc>
          <w:tcPr>
            <w:tcW w:w="8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多参数生物反馈仪</w:t>
            </w:r>
          </w:p>
        </w:tc>
        <w:tc>
          <w:tcPr>
            <w:tcW w:w="5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台</w:t>
            </w: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1</w:t>
            </w:r>
          </w:p>
        </w:tc>
        <w:tc>
          <w:tcPr>
            <w:tcW w:w="60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
                <w:color w:val="auto"/>
                <w:kern w:val="0"/>
              </w:rPr>
              <w:t>一、适用范围：</w:t>
            </w:r>
            <w:r>
              <w:rPr>
                <w:rFonts w:hint="eastAsia" w:ascii="宋体" w:hAnsi="宋体" w:cs="宋体"/>
                <w:bCs/>
                <w:color w:val="auto"/>
                <w:kern w:val="0"/>
              </w:rPr>
              <w:t>适用于焦虑症、儿童多动症等神经精神疾病的生物反馈治疗。</w:t>
            </w:r>
          </w:p>
          <w:p>
            <w:pPr>
              <w:keepNext w:val="0"/>
              <w:keepLines w:val="0"/>
              <w:widowControl/>
              <w:suppressLineNumbers w:val="0"/>
              <w:spacing w:before="0" w:beforeAutospacing="0" w:after="0" w:afterAutospacing="0"/>
              <w:ind w:left="0" w:right="0"/>
              <w:jc w:val="left"/>
              <w:rPr>
                <w:rFonts w:hint="default" w:ascii="宋体" w:hAnsi="宋体" w:cs="宋体"/>
                <w:b/>
                <w:color w:val="auto"/>
                <w:kern w:val="0"/>
              </w:rPr>
            </w:pPr>
            <w:r>
              <w:rPr>
                <w:rFonts w:hint="eastAsia" w:ascii="宋体" w:hAnsi="宋体" w:cs="宋体"/>
                <w:b/>
                <w:color w:val="auto"/>
                <w:kern w:val="0"/>
              </w:rPr>
              <w:t>二、电极生物安全性</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 xml:space="preserve">    与患者接触的材料必须进行生物相容性的试验或评价。细胞毒性不大于1级，应无致敏反应，应无皮肤刺激反应。</w:t>
            </w:r>
          </w:p>
          <w:p>
            <w:pPr>
              <w:keepNext w:val="0"/>
              <w:keepLines w:val="0"/>
              <w:widowControl/>
              <w:suppressLineNumbers w:val="0"/>
              <w:spacing w:before="0" w:beforeAutospacing="0" w:after="0" w:afterAutospacing="0"/>
              <w:ind w:left="0" w:right="0"/>
              <w:jc w:val="left"/>
              <w:rPr>
                <w:rFonts w:hint="default" w:ascii="宋体" w:hAnsi="宋体" w:cs="宋体"/>
                <w:b/>
                <w:color w:val="auto"/>
                <w:kern w:val="0"/>
              </w:rPr>
            </w:pPr>
            <w:r>
              <w:rPr>
                <w:rFonts w:hint="eastAsia" w:ascii="宋体" w:hAnsi="宋体" w:cs="宋体"/>
                <w:b/>
                <w:color w:val="auto"/>
                <w:kern w:val="0"/>
              </w:rPr>
              <w:t>三、产品结构及组成</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 xml:space="preserve">    计算机、多参数生物反馈软件、编码器、数据采集连接部件、传感器、电极片、隔离变压器组成。</w:t>
            </w:r>
          </w:p>
          <w:p>
            <w:pPr>
              <w:keepNext w:val="0"/>
              <w:keepLines w:val="0"/>
              <w:widowControl/>
              <w:suppressLineNumbers w:val="0"/>
              <w:spacing w:before="0" w:beforeAutospacing="0" w:after="0" w:afterAutospacing="0"/>
              <w:ind w:left="0" w:right="0"/>
              <w:jc w:val="left"/>
              <w:rPr>
                <w:rFonts w:hint="default" w:ascii="宋体" w:hAnsi="宋体" w:cs="宋体"/>
                <w:b/>
                <w:color w:val="auto"/>
                <w:kern w:val="0"/>
              </w:rPr>
            </w:pPr>
            <w:r>
              <w:rPr>
                <w:rFonts w:hint="eastAsia" w:ascii="宋体" w:hAnsi="宋体" w:cs="宋体"/>
                <w:b/>
                <w:color w:val="auto"/>
                <w:kern w:val="0"/>
              </w:rPr>
              <w:t>四、技术参数</w:t>
            </w:r>
          </w:p>
          <w:p>
            <w:pPr>
              <w:keepNext w:val="0"/>
              <w:keepLines w:val="0"/>
              <w:widowControl/>
              <w:suppressLineNumbers w:val="0"/>
              <w:spacing w:before="0" w:beforeAutospacing="0" w:after="0" w:afterAutospacing="0"/>
              <w:ind w:left="0" w:right="0"/>
              <w:jc w:val="left"/>
              <w:rPr>
                <w:rFonts w:hint="default" w:ascii="宋体" w:hAnsi="宋体" w:cs="宋体"/>
                <w:b/>
                <w:color w:val="auto"/>
                <w:kern w:val="0"/>
              </w:rPr>
            </w:pPr>
            <w:r>
              <w:rPr>
                <w:rFonts w:hint="eastAsia" w:ascii="宋体" w:hAnsi="宋体" w:cs="宋体"/>
                <w:b/>
                <w:color w:val="auto"/>
                <w:kern w:val="0"/>
              </w:rPr>
              <w:t>（一）、硬件</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1、核心部件：包括信号处理器、传感器、专用电极、光纤。</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2、八通道多参数信号处理器：可监测和记录脑电(EEG)、肌电(EMG)、皮电(SC)、皮温(Temp)、心电(EKG)、血容量搏动(BVP)和呼吸(Resp)多种生理信号。</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▲3、信号处理器的物理通道：均为独立通道（非集成通道）。</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4、信号处理器工作模式：采用直流供电，脱离计算机作为动态Holter使用。</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▲5、传感器类型：非集成外置独立传感器，内置IC芯片，有效消除伪差 。</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6、阻抗测试：内置定标及全程在线阻抗测试功能。</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7、脑电电极：必须是专业盘状电极，可用于头部任何位点。</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8、肌电电极：可用于全身任何部位肌肉。</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9、数据传输：采用光纤传输，光纤的长度可调节。</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10、主机及双屏设计：系统运行稳定，屏幕角度可调节。</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11、AD采样率：</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1）肌电(EMG)通道≥2048Hz。</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2）脑电(EEG)、皮电(SC)、皮温(Temp)、心电(EKG)、血容量搏动(BVP)和呼吸(Resp)通道≥256 Hz。</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12、AD采样位数：14位。</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13、精确度：脑电(EEG)、肌电(EMG)及心电(EKG)精确度误差</w:t>
            </w:r>
            <w:r>
              <w:rPr>
                <w:rFonts w:hint="eastAsia" w:ascii="宋体" w:hAnsi="宋体" w:cs="宋体"/>
                <w:color w:val="auto"/>
              </w:rPr>
              <w:t>≦</w:t>
            </w:r>
            <w:r>
              <w:rPr>
                <w:rFonts w:hint="eastAsia" w:ascii="宋体" w:hAnsi="宋体" w:cs="宋体"/>
                <w:bCs/>
                <w:color w:val="auto"/>
                <w:kern w:val="0"/>
              </w:rPr>
              <w:t>±10%。</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14、输入阻抗：脑电(EEG)、肌电(EMG)及心电(EKG)≥50MΩ。</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15、共模抑制比：</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1）脑电(EEG)通道≥110dB。</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2）肌电(EMG)、心电(EKG)通道≥100dB。</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16、输入噪声：</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1）脑电(EEG)通道≦2μVp-p。</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2）肌电(EMG)、心电(EKG)通道≦5μVp-p。</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17、测量范围：</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1）脑电(EEG)测量范围：2～500µVp-p。</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2）肌电(EMG)测量范围：5～5000µVp-p。</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3）心电(EKG)测量范围：0.01～50mVp-p。</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4）血容量搏动(BVP)测量范围: 0%～100%。</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5）皮温(Temp)测量范围: 10℃～45℃。</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6）皮电(SC)测量范围: 0.1～30µS。</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7）呼吸(Resp)测量范围: ≥30%～65%。</w:t>
            </w:r>
          </w:p>
          <w:p>
            <w:pPr>
              <w:keepNext w:val="0"/>
              <w:keepLines w:val="0"/>
              <w:widowControl/>
              <w:suppressLineNumbers w:val="0"/>
              <w:spacing w:before="0" w:beforeAutospacing="0" w:after="0" w:afterAutospacing="0"/>
              <w:ind w:left="0" w:right="0"/>
              <w:jc w:val="left"/>
              <w:rPr>
                <w:rFonts w:hint="default" w:ascii="宋体" w:hAnsi="宋体" w:cs="宋体"/>
                <w:b/>
                <w:color w:val="auto"/>
                <w:kern w:val="0"/>
              </w:rPr>
            </w:pPr>
            <w:r>
              <w:rPr>
                <w:rFonts w:hint="eastAsia" w:ascii="宋体" w:hAnsi="宋体" w:cs="宋体"/>
                <w:b/>
                <w:color w:val="auto"/>
                <w:kern w:val="0"/>
              </w:rPr>
              <w:t>（二）软件</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1、软件平台：操作平台&amp;开发工具</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1.1操作平台软件中文版：</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1）听觉反馈：可采用各种MIDI、WAVE、MP3等文件，还可以改变节奏、音调或音量。</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2）视觉反馈：可采用AVI、flash等格式的影像文件。</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1.2开发工具软件：内含三种开发工具</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1）通道编辑软件： 提供</w:t>
            </w:r>
            <w:r>
              <w:rPr>
                <w:rFonts w:hint="eastAsia" w:ascii="宋体" w:hAnsi="宋体" w:cs="宋体"/>
                <w:bCs/>
                <w:color w:val="auto"/>
                <w:kern w:val="0"/>
              </w:rPr>
              <w:t>≥</w:t>
            </w:r>
            <w:r>
              <w:rPr>
                <w:rFonts w:hint="eastAsia" w:ascii="宋体" w:hAnsi="宋体" w:cs="宋体"/>
                <w:bCs/>
                <w:color w:val="auto"/>
                <w:kern w:val="0"/>
              </w:rPr>
              <w:t>60种物理算法，支持</w:t>
            </w:r>
            <w:r>
              <w:rPr>
                <w:rFonts w:hint="eastAsia" w:ascii="宋体" w:hAnsi="宋体" w:cs="宋体"/>
                <w:bCs/>
                <w:color w:val="auto"/>
                <w:kern w:val="0"/>
              </w:rPr>
              <w:t>≥</w:t>
            </w:r>
            <w:r>
              <w:rPr>
                <w:rFonts w:hint="eastAsia" w:ascii="宋体" w:hAnsi="宋体" w:cs="宋体"/>
                <w:bCs/>
                <w:color w:val="auto"/>
                <w:kern w:val="0"/>
              </w:rPr>
              <w:t>255个虚拟通道编辑</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2）界面编辑软件：可自定义训练项目、选择可采集数据。</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3）方案编辑软件：串联界面形成完成流程的评估-训练方案。</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2、治疗方案：可根据不同疾病的脑电(EEG)、肌电(EMG)、皮电(SC)、皮温(Temp)、心电(EKG)、血容量搏动(BVP)和呼吸(Resp)等变化，给予不同疾病的治疗方案进行针对性的治疗。</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3、专家治疗方案：</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3.1 专用孤独症神经生物反馈训练，可采用双极脑电进行生物反馈训练。</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3.2 专用抑郁、焦虑障碍、多动症、抽动症及其共病的生物反馈训练。</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3.3儿童专用生物反馈训练软件，阶梯式训练。</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3.4脑电波诱发训练。</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▲4、评估功能：具有5种评估方式</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4.1基线阈值评估</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4.2脑电认知评估</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4.3全参数应激评估</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4.4心理测量评估量表</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4.5视听整合连续测试(IVA)</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5、训练功能：</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5.1具有呼吸放松、冥想训练、渐进式放松、音乐治疗等多种形式放松治疗。</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5.2反馈要求：脑电及其他生理参数反馈输入端输入信号以后，可以通过手动阈值、自动阈值等形式，给予视觉、听觉等形式进行反馈提示，并通过输出端呈现给受试者。</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5.3可采用五个界面进行训练，并可随意切换；可输出数字或模拟信号、直方图、两维频谱图、三维频谱图等。</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6、数据处理：采集EEG、EKG、EMG、SC、TEMP、RESP、BVP电生理信号，应用多种函数运算方式，进行时域信号处理、频域信号FFT转换、逻辑运算、事件标记、统计运算等多种方式进行数据处理为临床治疗所需提供相关参数。最多可支持8种参数的同时训练。</w:t>
            </w:r>
          </w:p>
          <w:p>
            <w:pPr>
              <w:keepNext w:val="0"/>
              <w:keepLines w:val="0"/>
              <w:widowControl/>
              <w:suppressLineNumbers w:val="0"/>
              <w:spacing w:before="0" w:beforeAutospacing="0" w:after="0" w:afterAutospacing="0"/>
              <w:ind w:left="210" w:leftChars="100" w:right="0"/>
              <w:jc w:val="left"/>
              <w:rPr>
                <w:rFonts w:hint="default" w:ascii="宋体" w:hAnsi="宋体" w:cs="宋体"/>
                <w:bCs/>
                <w:color w:val="auto"/>
                <w:kern w:val="0"/>
              </w:rPr>
            </w:pPr>
            <w:r>
              <w:rPr>
                <w:rFonts w:hint="eastAsia" w:ascii="宋体" w:hAnsi="宋体" w:cs="宋体"/>
                <w:bCs/>
                <w:color w:val="auto"/>
                <w:kern w:val="0"/>
              </w:rPr>
              <w:t>7、数据管理功能：可回放训练、进行分析并生成报告，支持多次训练趋势报告分析。</w:t>
            </w:r>
          </w:p>
          <w:p>
            <w:pPr>
              <w:keepNext w:val="0"/>
              <w:keepLines w:val="0"/>
              <w:widowControl/>
              <w:suppressLineNumbers w:val="0"/>
              <w:spacing w:before="0" w:beforeAutospacing="0" w:after="0" w:afterAutospacing="0"/>
              <w:ind w:left="0" w:right="0"/>
              <w:jc w:val="left"/>
              <w:rPr>
                <w:rFonts w:hint="default" w:ascii="宋体" w:hAnsi="宋体" w:cs="宋体"/>
                <w:b/>
                <w:color w:val="auto"/>
                <w:kern w:val="0"/>
              </w:rPr>
            </w:pPr>
            <w:r>
              <w:rPr>
                <w:rFonts w:hint="eastAsia" w:ascii="宋体" w:hAnsi="宋体" w:cs="宋体"/>
                <w:b/>
                <w:color w:val="auto"/>
                <w:kern w:val="0"/>
              </w:rPr>
              <w:t>五、配置要求</w:t>
            </w:r>
          </w:p>
          <w:tbl>
            <w:tblPr>
              <w:tblStyle w:val="40"/>
              <w:tblW w:w="5700" w:type="dxa"/>
              <w:jc w:val="center"/>
              <w:tblLayout w:type="fixed"/>
              <w:tblCellMar>
                <w:top w:w="0" w:type="dxa"/>
                <w:left w:w="108" w:type="dxa"/>
                <w:bottom w:w="0" w:type="dxa"/>
                <w:right w:w="108" w:type="dxa"/>
              </w:tblCellMar>
            </w:tblPr>
            <w:tblGrid>
              <w:gridCol w:w="450"/>
              <w:gridCol w:w="524"/>
              <w:gridCol w:w="1368"/>
              <w:gridCol w:w="2287"/>
              <w:gridCol w:w="444"/>
              <w:gridCol w:w="627"/>
            </w:tblGrid>
            <w:tr>
              <w:tblPrEx>
                <w:tblCellMar>
                  <w:top w:w="0" w:type="dxa"/>
                  <w:left w:w="108" w:type="dxa"/>
                  <w:bottom w:w="0" w:type="dxa"/>
                  <w:right w:w="108" w:type="dxa"/>
                </w:tblCellMar>
              </w:tblPrEx>
              <w:trPr>
                <w:trHeight w:val="376" w:hRule="atLeast"/>
                <w:jc w:val="center"/>
              </w:trPr>
              <w:tc>
                <w:tcPr>
                  <w:tcW w:w="57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b/>
                      <w:bCs/>
                      <w:color w:val="auto"/>
                      <w:kern w:val="0"/>
                    </w:rPr>
                    <w:t>多参数生物反馈仪配置清单</w:t>
                  </w:r>
                </w:p>
              </w:tc>
            </w:tr>
            <w:tr>
              <w:tblPrEx>
                <w:tblCellMar>
                  <w:top w:w="0" w:type="dxa"/>
                  <w:left w:w="108" w:type="dxa"/>
                  <w:bottom w:w="0" w:type="dxa"/>
                  <w:right w:w="108" w:type="dxa"/>
                </w:tblCellMar>
              </w:tblPrEx>
              <w:trPr>
                <w:trHeight w:val="322"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分类</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序号</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子类别</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单位</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数量</w:t>
                  </w:r>
                </w:p>
              </w:tc>
            </w:tr>
            <w:tr>
              <w:tblPrEx>
                <w:tblCellMar>
                  <w:top w:w="0" w:type="dxa"/>
                  <w:left w:w="108" w:type="dxa"/>
                  <w:bottom w:w="0" w:type="dxa"/>
                  <w:right w:w="108" w:type="dxa"/>
                </w:tblCellMar>
              </w:tblPrEx>
              <w:trPr>
                <w:trHeight w:val="322"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多参数生物反馈仪</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编码器</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数据采集连接部件</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1Ft 数据传输光缆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15Ft 数据传输光缆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4</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TT-USB数据传输接头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5</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USB 数据转接线缆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6</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5#电池</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节</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4</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7</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EEG传感器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脑电传感器</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w:t>
                  </w:r>
                </w:p>
              </w:tc>
            </w:tr>
            <w:tr>
              <w:tblPrEx>
                <w:tblCellMar>
                  <w:top w:w="0" w:type="dxa"/>
                  <w:left w:w="108" w:type="dxa"/>
                  <w:bottom w:w="0" w:type="dxa"/>
                  <w:right w:w="108" w:type="dxa"/>
                </w:tblCellMar>
              </w:tblPrEx>
              <w:trPr>
                <w:trHeight w:val="618"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8</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两通道脑电连接线组（配件）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9</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EMG传感器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表面肌电传感器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10</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表面肌电头带（配件）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EKG传感器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心电传感器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12</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BVP传感器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血容量搏动 传感器</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13</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SC传感器 </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皮阻传感器</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14</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TEMP传感器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体温传感器</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RESP呼吸传感器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呼吸传感器</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16</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电极片</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三极电极片</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片</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50</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17</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 xml:space="preserve">平台操作软件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18</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系统开发工具软件</w:t>
                  </w:r>
                </w:p>
              </w:tc>
              <w:tc>
                <w:tcPr>
                  <w:tcW w:w="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19</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Style w:val="153"/>
                      <w:rFonts w:hint="default"/>
                      <w:color w:val="auto"/>
                      <w:sz w:val="21"/>
                      <w:szCs w:val="21"/>
                    </w:rPr>
                    <w:t>应用方案组件</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20</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视听整合连续测试软件（含加密狗）</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21</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心理测试评估量表软件</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22</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电脑主机</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23</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液晶显示器</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24</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转接线</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25</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键盘</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26</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鼠标（含鼠标垫）</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27</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隔离变压器</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28</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多参数生物反馈仪说明书</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本</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29</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合格证</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张</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其他</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30</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导电膏</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31</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磨砂膏</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32</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一次性使用心电电极</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片</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25</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33</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电脑音箱</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34</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耳机</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35</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激光打印机</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36</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DVD光盘</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张</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2</w:t>
                  </w:r>
                </w:p>
              </w:tc>
            </w:tr>
            <w:tr>
              <w:tblPrEx>
                <w:tblCellMar>
                  <w:top w:w="0" w:type="dxa"/>
                  <w:left w:w="108" w:type="dxa"/>
                  <w:bottom w:w="0" w:type="dxa"/>
                  <w:right w:w="108" w:type="dxa"/>
                </w:tblCellMar>
              </w:tblPrEx>
              <w:trPr>
                <w:trHeight w:val="32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37</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推车</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r>
              <w:tblPrEx>
                <w:tblCellMar>
                  <w:top w:w="0" w:type="dxa"/>
                  <w:left w:w="108" w:type="dxa"/>
                  <w:bottom w:w="0" w:type="dxa"/>
                  <w:right w:w="108" w:type="dxa"/>
                </w:tblCellMar>
              </w:tblPrEx>
              <w:trPr>
                <w:trHeight w:val="332"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38</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rPr>
                  </w:pPr>
                  <w:r>
                    <w:rPr>
                      <w:rFonts w:hint="eastAsia" w:ascii="宋体" w:hAnsi="宋体" w:cs="宋体"/>
                      <w:color w:val="auto"/>
                      <w:kern w:val="0"/>
                    </w:rPr>
                    <w:t>双屏支架</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ascii="宋体" w:hAnsi="宋体" w:cs="宋体"/>
                      <w:color w:val="auto"/>
                      <w:kern w:val="0"/>
                    </w:rPr>
                    <w:t>1</w:t>
                  </w:r>
                </w:p>
              </w:tc>
            </w:tr>
          </w:tbl>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388000.00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商务条款</w:t>
            </w:r>
          </w:p>
        </w:tc>
        <w:tc>
          <w:tcPr>
            <w:tcW w:w="903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▲一、合同签订期：自成交通知书发出之日起25日内。</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▲二、交货期：</w:t>
            </w:r>
            <w:r>
              <w:rPr>
                <w:rFonts w:hint="eastAsia" w:ascii="宋体" w:hAnsi="宋体" w:cs="宋体"/>
                <w:color w:val="auto"/>
              </w:rPr>
              <w:t>自签订合同之日起30个日历日内交货安装调试完毕并验收合格</w:t>
            </w:r>
            <w:r>
              <w:rPr>
                <w:rFonts w:hint="eastAsia" w:ascii="宋体" w:hAnsi="宋体" w:cs="宋体"/>
                <w:bCs/>
                <w:color w:val="auto"/>
                <w:kern w:val="0"/>
              </w:rPr>
              <w:t>。</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三、交货地点：采购人指定地点。</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四、交货方式：现场交货。</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五、售后服务要求</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▲1.免费送货上门、安装、调试。</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▲2.按国家有关产品“三包”规定执行“三包”，货物验收合格后，自安装验收合格之日起多参数生物反馈仪质保期≥ 1 年（自交货并验收合格之日起计)。</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3.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▲4.超过质量保证期的货物，成交供应商提供终生维修、保养服务，维修时只收部件成本费。</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5.成交供应商优惠提供备品备件，优惠提供产品更新、改造服务。</w:t>
            </w:r>
          </w:p>
          <w:p>
            <w:pPr>
              <w:keepNext w:val="0"/>
              <w:keepLines w:val="0"/>
              <w:widowControl/>
              <w:suppressLineNumbers w:val="0"/>
              <w:spacing w:before="0" w:beforeAutospacing="0" w:after="0" w:afterAutospacing="0"/>
              <w:ind w:left="0" w:right="0"/>
              <w:jc w:val="left"/>
              <w:rPr>
                <w:rFonts w:hint="default"/>
                <w:color w:val="auto"/>
              </w:rPr>
            </w:pPr>
            <w:r>
              <w:rPr>
                <w:rFonts w:hint="eastAsia"/>
                <w:color w:val="auto"/>
              </w:rPr>
              <w:t>6.故障响应时间：</w:t>
            </w:r>
            <w:r>
              <w:rPr>
                <w:rFonts w:hint="eastAsia" w:ascii="宋体" w:hAnsi="宋体" w:cs="宋体"/>
                <w:bCs/>
                <w:color w:val="auto"/>
                <w:kern w:val="0"/>
              </w:rPr>
              <w:t>成交供应商</w:t>
            </w:r>
            <w:r>
              <w:rPr>
                <w:rFonts w:hint="eastAsia"/>
                <w:color w:val="auto"/>
              </w:rPr>
              <w:t>接到故障通知后在1小时内做出响应，8小时内到采购人指定现场，按国家及行业标准对故障进行及时处理；在24小时内不能解决的，供应商须在一个工作日内提供与原设备技术参数要求相同或高于原设备技术参数要求的备用产品，以保证采购人的正常工作。</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7.每半年一次定期回访以及对设备维护。</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▲8.竞标产品必须是全新、未使用过的产品。产品包装必须是未经使用的全新的合格产品，并按照原厂标准包装规格供货，不接受散装或拆包装件。所有货物都提供使用说明书和详细装箱清单及质量合格证。</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▲9.为采购人提供相应的指导，仪器到货后，由仪器工程师安装并为操作人员进行现场培训。</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▲10.安装完成后，专职应用工程师上门进行培训，包括仪器和软件操作、数据处理等进行系统培训，教会操作人员能够独立使用设备。</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六、其他要求：</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▲1.竞标报价为采购人指定地点的现场交货价，包括：</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（1）货物的价格；</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（2）货物的标准附件、备品备件、专用工具的价格；</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（3）运输、装卸、调试、检测、技术支持、售后服务等费用；</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（4）必要的保险费用和各项税费；</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（5）安装、送货上门的费用。</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2.付款方式：无预付款，全部货物交货、安装调试并验收合格，成交人提供验收报告及开具增值税发票后，采购人六个月内一次性支付完剩余全部货款；成交人应在签订合同前按成交金额的5%向采购人指定账户提交履约保证金，交货完毕并验收合格后，成交人提出退款申请，采购人20个工作日内无息返还。</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3.备品备件及耗材等要求：成交供应商应按成交价或优于市场价提供相关配件和服务。</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4.验收条件及标准：</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（1）采购人对成交供应商提交的货物依据采购文件上的技术规格要求和国家有关质量标准进行现场收，外观、说明书符合采购文件技术要求的，给予签收，不合格的不予签收。</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2）成交供应商交货前应对产品作出全面检查和对验收文件进行整理，并列出清单，作为采购人收货验收和使用的技术条件依据，检验的结果应随货物交采购人。成交供应商不能完整交付货物及本款规定的单证和工具的，必须负责补齐，否则视为未按合同约定交货。</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（3）成交供应商需负责安装、调试，并培训采购人的使用操作人员，直到设备运行符合技术要求，采购人方可组织验收。</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（4）采购人组织验收，成交供应商必须到场配合，验收合格后双方签署验收合格凭证。</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5）采购人与成交供应商对产品质量有争议协商不成且必须通过检测才能判断时，采购人有权委托具有相应资质的检测单位按照相关标准进行检测，质量检测合格的检测费用由采购人承担，上述情况之外验收产生的费用成交供应商负责。</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5.实施和安装要求：</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（1）成交供应商必须服从采购人现场负责人的指挥，按指定地点进行安装；</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（2）安装过程中的所有安全保障由成交供应商自行负责；</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（3）严格按竞标产品的安装规范要求进行安装，确保安全。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rPr>
            </w:pPr>
            <w:r>
              <w:rPr>
                <w:rFonts w:hint="eastAsia" w:ascii="宋体" w:hAnsi="宋体" w:cs="宋体"/>
                <w:bCs/>
                <w:color w:val="auto"/>
                <w:kern w:val="0"/>
              </w:rPr>
              <w:t>其他说明</w:t>
            </w:r>
          </w:p>
        </w:tc>
        <w:tc>
          <w:tcPr>
            <w:tcW w:w="903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cs="宋体"/>
                <w:bCs/>
                <w:color w:val="auto"/>
                <w:kern w:val="0"/>
              </w:rPr>
            </w:pPr>
            <w:r>
              <w:rPr>
                <w:rFonts w:hint="eastAsia" w:ascii="宋体" w:hAnsi="宋体" w:cs="宋体"/>
                <w:bCs/>
                <w:color w:val="auto"/>
                <w:kern w:val="0"/>
              </w:rPr>
              <w:t>一、进口产品说明</w:t>
            </w:r>
          </w:p>
          <w:p>
            <w:pPr>
              <w:pStyle w:val="24"/>
              <w:keepNext w:val="0"/>
              <w:keepLines w:val="0"/>
              <w:suppressLineNumbers w:val="0"/>
              <w:snapToGrid w:val="0"/>
              <w:spacing w:before="0" w:beforeAutospacing="0" w:after="0" w:afterAutospacing="0" w:line="360" w:lineRule="auto"/>
              <w:ind w:left="2" w:leftChars="1" w:right="0" w:firstLine="420" w:firstLineChars="200"/>
              <w:rPr>
                <w:rFonts w:hint="default" w:hAnsi="宋体" w:cs="宋体"/>
                <w:bCs/>
                <w:color w:val="auto"/>
                <w:kern w:val="0"/>
              </w:rPr>
            </w:pPr>
            <w:r>
              <w:rPr>
                <w:rFonts w:hint="eastAsia" w:hAnsi="宋体" w:cs="宋体"/>
                <w:bCs/>
                <w:color w:val="auto"/>
                <w:kern w:val="0"/>
              </w:rPr>
              <w:t>本项目货物不接受进口产品（即通过中国海关报关验放进入中国境内且产自关境外的产品）参与竞标</w:t>
            </w:r>
            <w:r>
              <w:rPr>
                <w:rFonts w:hint="eastAsia" w:hAnsi="宋体" w:cs="宋体"/>
                <w:color w:val="auto"/>
                <w:szCs w:val="21"/>
              </w:rPr>
              <w:t>。</w:t>
            </w:r>
          </w:p>
        </w:tc>
      </w:tr>
    </w:tbl>
    <w:p>
      <w:pPr>
        <w:pStyle w:val="24"/>
        <w:snapToGrid w:val="0"/>
        <w:spacing w:line="360" w:lineRule="auto"/>
        <w:ind w:left="2" w:leftChars="1" w:firstLine="420" w:firstLineChars="200"/>
        <w:rPr>
          <w:rFonts w:hAnsi="宋体"/>
          <w:color w:val="auto"/>
        </w:rPr>
      </w:pPr>
    </w:p>
    <w:p>
      <w:pPr>
        <w:pStyle w:val="4"/>
        <w:ind w:left="63" w:right="63"/>
        <w:rPr>
          <w:color w:val="auto"/>
          <w:lang w:val="zh-CN"/>
        </w:rPr>
        <w:sectPr>
          <w:pgSz w:w="11906" w:h="16838"/>
          <w:pgMar w:top="1247" w:right="1247" w:bottom="1247" w:left="1247" w:header="851" w:footer="992" w:gutter="0"/>
          <w:cols w:space="720" w:num="1"/>
          <w:titlePg/>
          <w:docGrid w:type="lines" w:linePitch="312" w:charSpace="0"/>
        </w:sectPr>
      </w:pPr>
    </w:p>
    <w:p>
      <w:pPr>
        <w:pStyle w:val="2"/>
        <w:rPr>
          <w:rFonts w:ascii="宋体" w:hAnsi="宋体" w:cs="宋体"/>
          <w:color w:val="auto"/>
        </w:rPr>
      </w:pPr>
      <w:r>
        <w:rPr>
          <w:rFonts w:hint="eastAsia" w:ascii="宋体" w:hAnsi="宋体" w:cs="宋体"/>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adjustRightInd w:val="0"/>
        <w:snapToGrid w:val="0"/>
        <w:spacing w:line="440" w:lineRule="exact"/>
        <w:ind w:firstLine="424" w:firstLineChars="201"/>
        <w:rPr>
          <w:rFonts w:ascii="宋体" w:hAnsi="宋体" w:cs="宋体"/>
          <w:b/>
          <w:bCs/>
          <w:color w:val="auto"/>
        </w:rPr>
      </w:pPr>
      <w:r>
        <w:rPr>
          <w:rFonts w:hint="eastAsia" w:ascii="宋体" w:hAnsi="宋体" w:cs="宋体"/>
          <w:b/>
          <w:bCs/>
          <w:color w:val="auto"/>
        </w:rPr>
        <w:t xml:space="preserve"> </w:t>
      </w:r>
    </w:p>
    <w:p>
      <w:pPr>
        <w:pStyle w:val="5"/>
        <w:jc w:val="center"/>
        <w:rPr>
          <w:rFonts w:ascii="宋体" w:hAnsi="宋体" w:cs="宋体"/>
          <w:color w:val="auto"/>
        </w:rPr>
      </w:pPr>
      <w:bookmarkStart w:id="14" w:name="_Toc18481387"/>
      <w:bookmarkEnd w:id="14"/>
      <w:bookmarkStart w:id="15" w:name="_Toc25028"/>
      <w:bookmarkStart w:id="16" w:name="_Toc857"/>
      <w:bookmarkStart w:id="17" w:name="_Toc2573"/>
      <w:bookmarkStart w:id="18" w:name="_Toc18481388"/>
      <w:bookmarkStart w:id="19" w:name="_Toc19509"/>
      <w:r>
        <w:rPr>
          <w:rFonts w:hint="eastAsia" w:ascii="宋体" w:hAnsi="宋体" w:cs="宋体"/>
          <w:color w:val="auto"/>
        </w:rPr>
        <w:t>第四章  竞争性磋商响应文件格式</w:t>
      </w:r>
      <w:bookmarkEnd w:id="15"/>
      <w:bookmarkEnd w:id="16"/>
    </w:p>
    <w:p>
      <w:pPr>
        <w:rPr>
          <w:rFonts w:ascii="宋体" w:hAnsi="宋体" w:cs="宋体"/>
          <w:color w:val="auto"/>
        </w:rPr>
      </w:pPr>
      <w:r>
        <w:rPr>
          <w:rFonts w:hint="eastAsia" w:ascii="宋体" w:hAnsi="宋体" w:cs="宋体"/>
          <w:color w:val="auto"/>
        </w:rPr>
        <w:t xml:space="preserve"> </w:t>
      </w:r>
    </w:p>
    <w:p>
      <w:pPr>
        <w:pageBreakBefore/>
        <w:rPr>
          <w:rFonts w:ascii="宋体" w:hAnsi="宋体" w:cs="宋体"/>
          <w:b/>
          <w:color w:val="auto"/>
          <w:sz w:val="28"/>
          <w:szCs w:val="28"/>
        </w:rPr>
      </w:pPr>
      <w:r>
        <w:rPr>
          <w:rFonts w:hint="eastAsia" w:ascii="宋体" w:hAnsi="宋体" w:cs="宋体"/>
          <w:b/>
          <w:color w:val="auto"/>
          <w:sz w:val="28"/>
          <w:szCs w:val="28"/>
        </w:rPr>
        <w:t>一、 竞争性磋商响应文件外包装封面及竞争性磋商响应文件封面格式</w:t>
      </w:r>
    </w:p>
    <w:p>
      <w:pPr>
        <w:snapToGrid w:val="0"/>
        <w:spacing w:beforeLines="50" w:after="50" w:line="360" w:lineRule="exact"/>
        <w:rPr>
          <w:rFonts w:ascii="宋体" w:hAnsi="宋体" w:cs="宋体"/>
          <w:b/>
          <w:color w:val="auto"/>
        </w:rPr>
      </w:pPr>
      <w:r>
        <w:rPr>
          <w:rFonts w:hint="eastAsia" w:ascii="宋体" w:hAnsi="宋体" w:cs="宋体"/>
          <w:b/>
          <w:color w:val="auto"/>
        </w:rPr>
        <w:t xml:space="preserve">一）. 竞争性磋商响应文件的外包装封面格式： </w:t>
      </w:r>
    </w:p>
    <w:p>
      <w:pPr>
        <w:snapToGrid w:val="0"/>
        <w:spacing w:beforeLines="50" w:after="50" w:line="360" w:lineRule="exact"/>
        <w:rPr>
          <w:rFonts w:ascii="宋体" w:hAnsi="宋体" w:cs="宋体"/>
          <w:color w:val="auto"/>
        </w:rPr>
      </w:pPr>
    </w:p>
    <w:p>
      <w:pPr>
        <w:snapToGrid w:val="0"/>
        <w:spacing w:beforeLines="50" w:after="50" w:line="360" w:lineRule="exact"/>
        <w:ind w:firstLine="3518" w:firstLineChars="1095"/>
        <w:rPr>
          <w:rFonts w:ascii="宋体" w:hAnsi="宋体" w:cs="宋体"/>
          <w:color w:val="auto"/>
          <w:sz w:val="32"/>
          <w:szCs w:val="32"/>
        </w:rPr>
      </w:pPr>
      <w:r>
        <w:rPr>
          <w:rFonts w:hint="eastAsia" w:ascii="宋体" w:hAnsi="宋体" w:cs="宋体"/>
          <w:b/>
          <w:color w:val="auto"/>
          <w:sz w:val="32"/>
          <w:szCs w:val="32"/>
        </w:rPr>
        <w:t>竞争性磋商响应文件</w:t>
      </w:r>
      <w:r>
        <w:rPr>
          <w:rFonts w:hint="eastAsia" w:ascii="宋体" w:hAnsi="宋体" w:cs="宋体"/>
          <w:b/>
          <w:bCs/>
          <w:color w:val="auto"/>
          <w:sz w:val="32"/>
          <w:szCs w:val="32"/>
        </w:rPr>
        <w:t xml:space="preserve">              </w:t>
      </w:r>
    </w:p>
    <w:p>
      <w:pPr>
        <w:snapToGrid w:val="0"/>
        <w:spacing w:beforeLines="50" w:after="50" w:line="360" w:lineRule="exact"/>
        <w:ind w:firstLine="630" w:firstLineChars="300"/>
        <w:rPr>
          <w:rFonts w:ascii="宋体" w:hAnsi="宋体" w:cs="宋体"/>
          <w:bCs/>
          <w:color w:val="auto"/>
        </w:rPr>
      </w:pPr>
      <w:r>
        <w:rPr>
          <w:rFonts w:hint="eastAsia" w:ascii="宋体" w:hAnsi="宋体" w:cs="宋体"/>
          <w:color w:val="auto"/>
        </w:rPr>
        <w:t>项目名称</w:t>
      </w:r>
      <w:r>
        <w:rPr>
          <w:rFonts w:hint="eastAsia" w:ascii="宋体" w:hAnsi="宋体" w:cs="宋体"/>
          <w:bCs/>
          <w:color w:val="auto"/>
        </w:rPr>
        <w:t>：</w:t>
      </w:r>
    </w:p>
    <w:p>
      <w:pPr>
        <w:snapToGrid w:val="0"/>
        <w:spacing w:beforeLines="50" w:after="50" w:line="360" w:lineRule="exact"/>
        <w:ind w:firstLine="630" w:firstLineChars="300"/>
        <w:rPr>
          <w:rFonts w:ascii="宋体" w:hAnsi="宋体" w:cs="宋体"/>
          <w:bCs/>
          <w:color w:val="auto"/>
        </w:rPr>
      </w:pPr>
      <w:r>
        <w:rPr>
          <w:rFonts w:hint="eastAsia" w:ascii="宋体" w:hAnsi="宋体" w:cs="宋体"/>
          <w:color w:val="auto"/>
        </w:rPr>
        <w:t>项目编号</w:t>
      </w:r>
      <w:r>
        <w:rPr>
          <w:rFonts w:hint="eastAsia" w:ascii="宋体" w:hAnsi="宋体" w:cs="宋体"/>
          <w:bCs/>
          <w:color w:val="auto"/>
        </w:rPr>
        <w:t>：</w:t>
      </w:r>
    </w:p>
    <w:p>
      <w:pPr>
        <w:pStyle w:val="10"/>
        <w:snapToGrid w:val="0"/>
        <w:spacing w:before="50" w:after="50" w:line="440" w:lineRule="exact"/>
        <w:ind w:firstLine="630" w:firstLineChars="300"/>
        <w:rPr>
          <w:rFonts w:ascii="宋体" w:hAnsi="宋体" w:cs="宋体"/>
          <w:bCs/>
          <w:color w:val="auto"/>
          <w:szCs w:val="21"/>
        </w:rPr>
      </w:pPr>
      <w:r>
        <w:rPr>
          <w:rFonts w:hint="eastAsia" w:ascii="宋体" w:hAnsi="宋体" w:cs="宋体"/>
          <w:color w:val="auto"/>
          <w:szCs w:val="21"/>
        </w:rPr>
        <w:t>供应商名称</w:t>
      </w:r>
      <w:r>
        <w:rPr>
          <w:rFonts w:hint="eastAsia" w:ascii="宋体" w:hAnsi="宋体" w:cs="宋体"/>
          <w:bCs/>
          <w:color w:val="auto"/>
          <w:szCs w:val="21"/>
        </w:rPr>
        <w:t>：</w:t>
      </w:r>
    </w:p>
    <w:p>
      <w:pPr>
        <w:pStyle w:val="10"/>
        <w:snapToGrid w:val="0"/>
        <w:spacing w:before="50" w:after="50" w:line="360" w:lineRule="exact"/>
        <w:ind w:firstLine="630" w:firstLineChars="300"/>
        <w:rPr>
          <w:rFonts w:ascii="宋体" w:hAnsi="宋体" w:cs="宋体"/>
          <w:bCs/>
          <w:color w:val="auto"/>
          <w:szCs w:val="21"/>
        </w:rPr>
      </w:pPr>
      <w:r>
        <w:rPr>
          <w:rFonts w:hint="eastAsia" w:ascii="宋体" w:hAnsi="宋体" w:cs="宋体"/>
          <w:bCs/>
          <w:color w:val="auto"/>
          <w:szCs w:val="21"/>
        </w:rPr>
        <w:t>（截标时才能启封）</w:t>
      </w:r>
    </w:p>
    <w:p>
      <w:pPr>
        <w:snapToGrid w:val="0"/>
        <w:spacing w:beforeLines="50" w:after="50" w:line="360" w:lineRule="exact"/>
        <w:rPr>
          <w:rFonts w:ascii="宋体" w:hAnsi="宋体" w:cs="宋体"/>
          <w:b/>
          <w:color w:val="auto"/>
        </w:rPr>
      </w:pPr>
      <w:r>
        <w:rPr>
          <w:rFonts w:hint="eastAsia" w:ascii="宋体" w:hAnsi="宋体" w:cs="宋体"/>
          <w:b/>
          <w:color w:val="auto"/>
        </w:rPr>
        <w:t xml:space="preserve">二）. 竞争性磋商响应文件封面格式： </w:t>
      </w:r>
    </w:p>
    <w:p>
      <w:pPr>
        <w:snapToGrid w:val="0"/>
        <w:spacing w:beforeLines="50" w:after="50" w:line="360" w:lineRule="exact"/>
        <w:rPr>
          <w:rFonts w:ascii="宋体" w:hAnsi="宋体" w:cs="宋体"/>
          <w:b/>
          <w:color w:val="auto"/>
        </w:rPr>
      </w:pPr>
    </w:p>
    <w:p>
      <w:pPr>
        <w:snapToGrid w:val="0"/>
        <w:spacing w:line="360" w:lineRule="auto"/>
        <w:ind w:left="6319" w:leftChars="3009" w:firstLine="843" w:firstLineChars="400"/>
        <w:rPr>
          <w:rFonts w:ascii="宋体" w:hAnsi="宋体" w:cs="宋体"/>
          <w:bCs/>
          <w:color w:val="auto"/>
        </w:rPr>
      </w:pPr>
      <w:r>
        <w:rPr>
          <w:rFonts w:hint="eastAsia" w:ascii="宋体" w:hAnsi="宋体" w:cs="宋体"/>
          <w:b/>
          <w:bCs/>
          <w:color w:val="auto"/>
        </w:rPr>
        <w:t>（正/副本）</w:t>
      </w:r>
    </w:p>
    <w:p>
      <w:pPr>
        <w:snapToGrid w:val="0"/>
        <w:spacing w:line="360" w:lineRule="auto"/>
        <w:ind w:firstLine="3518" w:firstLineChars="1095"/>
        <w:rPr>
          <w:rFonts w:ascii="宋体" w:hAnsi="宋体" w:cs="宋体"/>
          <w:b/>
          <w:color w:val="auto"/>
          <w:sz w:val="32"/>
          <w:szCs w:val="32"/>
        </w:rPr>
      </w:pPr>
      <w:r>
        <w:rPr>
          <w:rFonts w:hint="eastAsia" w:ascii="宋体" w:hAnsi="宋体" w:cs="宋体"/>
          <w:b/>
          <w:color w:val="auto"/>
          <w:sz w:val="32"/>
          <w:szCs w:val="32"/>
        </w:rPr>
        <w:t>竞争性磋商响应文件</w:t>
      </w:r>
    </w:p>
    <w:p>
      <w:pPr>
        <w:adjustRightInd w:val="0"/>
        <w:snapToGrid w:val="0"/>
        <w:spacing w:line="360" w:lineRule="auto"/>
        <w:jc w:val="center"/>
        <w:rPr>
          <w:rFonts w:ascii="宋体" w:hAnsi="宋体" w:cs="宋体"/>
          <w:b/>
          <w:bCs/>
          <w:color w:val="auto"/>
          <w:sz w:val="32"/>
          <w:szCs w:val="32"/>
        </w:rPr>
      </w:pPr>
    </w:p>
    <w:p>
      <w:pPr>
        <w:adjustRightInd w:val="0"/>
        <w:snapToGrid w:val="0"/>
        <w:spacing w:line="360" w:lineRule="auto"/>
        <w:ind w:firstLine="1911" w:firstLineChars="595"/>
        <w:rPr>
          <w:rFonts w:ascii="宋体" w:hAnsi="宋体" w:cs="宋体"/>
          <w:b/>
          <w:bCs/>
          <w:color w:val="auto"/>
          <w:sz w:val="32"/>
          <w:szCs w:val="32"/>
        </w:rPr>
      </w:pPr>
    </w:p>
    <w:p>
      <w:pPr>
        <w:adjustRightInd w:val="0"/>
        <w:snapToGrid w:val="0"/>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项目编号：</w:t>
      </w:r>
    </w:p>
    <w:p>
      <w:pPr>
        <w:adjustRightInd w:val="0"/>
        <w:snapToGrid w:val="0"/>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项目名称：</w:t>
      </w:r>
    </w:p>
    <w:p>
      <w:pPr>
        <w:snapToGrid w:val="0"/>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供  应  商：</w:t>
      </w:r>
      <w:r>
        <w:rPr>
          <w:rFonts w:hint="eastAsia" w:ascii="宋体" w:hAnsi="宋体" w:cs="宋体"/>
          <w:b/>
          <w:bCs/>
          <w:color w:val="auto"/>
          <w:sz w:val="28"/>
          <w:szCs w:val="28"/>
          <w:u w:val="single"/>
        </w:rPr>
        <w:t xml:space="preserve">                 （盖公章）</w:t>
      </w:r>
    </w:p>
    <w:p>
      <w:pPr>
        <w:snapToGrid w:val="0"/>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供应商地址：</w:t>
      </w:r>
      <w:r>
        <w:rPr>
          <w:rFonts w:hint="eastAsia" w:ascii="宋体" w:hAnsi="宋体" w:cs="宋体"/>
          <w:b/>
          <w:bCs/>
          <w:color w:val="auto"/>
          <w:sz w:val="28"/>
          <w:szCs w:val="28"/>
          <w:u w:val="single"/>
        </w:rPr>
        <w:t xml:space="preserve">                           </w:t>
      </w:r>
    </w:p>
    <w:p>
      <w:pPr>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 xml:space="preserve">    年  月  日</w:t>
      </w:r>
    </w:p>
    <w:p>
      <w:pPr>
        <w:pageBreakBefore/>
        <w:spacing w:line="520" w:lineRule="exact"/>
        <w:rPr>
          <w:rFonts w:ascii="宋体" w:hAnsi="宋体" w:cs="宋体"/>
          <w:b/>
          <w:color w:val="auto"/>
        </w:rPr>
      </w:pPr>
      <w:r>
        <w:rPr>
          <w:rFonts w:hint="eastAsia" w:ascii="宋体" w:hAnsi="宋体" w:cs="宋体"/>
          <w:b/>
          <w:color w:val="auto"/>
        </w:rPr>
        <w:t>二、附  件</w:t>
      </w:r>
    </w:p>
    <w:p>
      <w:pPr>
        <w:spacing w:line="520" w:lineRule="exact"/>
        <w:rPr>
          <w:rFonts w:ascii="宋体" w:hAnsi="宋体" w:cs="宋体"/>
          <w:color w:val="auto"/>
        </w:rPr>
      </w:pPr>
      <w:r>
        <w:rPr>
          <w:rFonts w:hint="eastAsia" w:ascii="宋体" w:hAnsi="宋体" w:cs="宋体"/>
          <w:color w:val="auto"/>
        </w:rPr>
        <w:t xml:space="preserve">附件一 </w:t>
      </w:r>
    </w:p>
    <w:p>
      <w:pPr>
        <w:spacing w:line="400" w:lineRule="exact"/>
        <w:jc w:val="center"/>
        <w:rPr>
          <w:rFonts w:ascii="宋体" w:hAnsi="宋体"/>
          <w:b/>
          <w:color w:val="auto"/>
          <w:sz w:val="24"/>
        </w:rPr>
      </w:pPr>
      <w:r>
        <w:rPr>
          <w:rFonts w:hint="eastAsia" w:ascii="宋体" w:hAnsi="宋体"/>
          <w:b/>
          <w:color w:val="auto"/>
          <w:sz w:val="24"/>
        </w:rPr>
        <w:t>磋商响应函</w:t>
      </w:r>
    </w:p>
    <w:p>
      <w:pPr>
        <w:spacing w:line="400" w:lineRule="exact"/>
        <w:ind w:firstLine="420" w:firstLineChars="200"/>
        <w:rPr>
          <w:rFonts w:ascii="宋体" w:hAnsi="宋体"/>
          <w:color w:val="auto"/>
        </w:rPr>
      </w:pPr>
    </w:p>
    <w:p>
      <w:pPr>
        <w:snapToGrid w:val="0"/>
        <w:spacing w:line="4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pPr>
        <w:snapToGrid w:val="0"/>
        <w:spacing w:line="400" w:lineRule="exact"/>
        <w:ind w:firstLine="480"/>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（项目名称）项目的竞争性磋商采购文件，项目编号：</w:t>
      </w:r>
      <w:r>
        <w:rPr>
          <w:rFonts w:hint="eastAsia" w:ascii="宋体" w:hAnsi="宋体" w:cs="宋体"/>
          <w:color w:val="auto"/>
          <w:sz w:val="24"/>
          <w:u w:val="single"/>
        </w:rPr>
        <w:t xml:space="preserve">        （项目编号）</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（供应商名称）提交响应文件正本一份、副本四份。</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据此函，签字代表宣布同意如下：</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1. 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2. 供应商在参与磋商之前已经与贵方进行了充分的沟通，完全理解并接受采购文件的各项规定和要求，对采购文件的合理性、合法性不再有异议。</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3. 响应文件有效期自响应文件递交截止时间之日起</w:t>
      </w:r>
      <w:r>
        <w:rPr>
          <w:rFonts w:hint="eastAsia" w:ascii="宋体" w:hAnsi="宋体" w:cs="宋体"/>
          <w:color w:val="auto"/>
          <w:sz w:val="24"/>
          <w:u w:val="single"/>
        </w:rPr>
        <w:t xml:space="preserve">        </w:t>
      </w:r>
      <w:r>
        <w:rPr>
          <w:rFonts w:hint="eastAsia" w:ascii="宋体" w:hAnsi="宋体" w:cs="宋体"/>
          <w:color w:val="auto"/>
          <w:sz w:val="24"/>
        </w:rPr>
        <w:t>日。</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4. 如成交，本响应文件至本项目合同履行完毕止均保持有效，本供应商将按“采购文件”及政府采购法律、法规的规定履行合同责任和义务。</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5. 供应商同意按照贵方要求提供与磋商有关的一切数据或资料。</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6. 与本次磋商有关的一切正式往来信函请寄：</w:t>
      </w:r>
    </w:p>
    <w:p>
      <w:pPr>
        <w:snapToGrid w:val="0"/>
        <w:spacing w:line="400" w:lineRule="exact"/>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r>
        <w:rPr>
          <w:rFonts w:hint="eastAsia" w:ascii="宋体" w:hAnsi="宋体" w:cs="宋体"/>
          <w:color w:val="auto"/>
          <w:sz w:val="24"/>
        </w:rPr>
        <w:t xml:space="preserve">   电话：</w:t>
      </w:r>
      <w:r>
        <w:rPr>
          <w:rFonts w:hint="eastAsia" w:ascii="宋体" w:hAnsi="宋体" w:cs="宋体"/>
          <w:color w:val="auto"/>
          <w:sz w:val="24"/>
          <w:u w:val="single"/>
        </w:rPr>
        <w:t xml:space="preserve">                </w:t>
      </w:r>
    </w:p>
    <w:p>
      <w:pPr>
        <w:snapToGrid w:val="0"/>
        <w:spacing w:line="400" w:lineRule="exact"/>
        <w:rPr>
          <w:rFonts w:ascii="宋体" w:hAnsi="宋体" w:cs="宋体"/>
          <w:color w:val="auto"/>
          <w:sz w:val="24"/>
          <w:u w:val="single"/>
        </w:rPr>
      </w:pPr>
      <w:r>
        <w:rPr>
          <w:rFonts w:hint="eastAsia" w:ascii="宋体" w:hAnsi="宋体" w:cs="宋体"/>
          <w:color w:val="auto"/>
          <w:sz w:val="24"/>
        </w:rPr>
        <w:t>传真：</w:t>
      </w:r>
      <w:r>
        <w:rPr>
          <w:rFonts w:hint="eastAsia" w:ascii="宋体" w:hAnsi="宋体" w:cs="宋体"/>
          <w:color w:val="auto"/>
          <w:sz w:val="24"/>
          <w:u w:val="single"/>
        </w:rPr>
        <w:t xml:space="preserve">                       </w:t>
      </w:r>
      <w:r>
        <w:rPr>
          <w:rFonts w:hint="eastAsia" w:ascii="宋体" w:hAnsi="宋体" w:cs="宋体"/>
          <w:color w:val="auto"/>
          <w:sz w:val="24"/>
        </w:rPr>
        <w:t>供应商代表姓名：</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pPr>
        <w:snapToGrid w:val="0"/>
        <w:spacing w:line="400" w:lineRule="exact"/>
        <w:rPr>
          <w:rFonts w:ascii="宋体" w:hAnsi="宋体" w:cs="宋体"/>
          <w:color w:val="auto"/>
          <w:sz w:val="24"/>
          <w:u w:val="single"/>
        </w:rPr>
      </w:pPr>
      <w:r>
        <w:rPr>
          <w:rFonts w:hint="eastAsia" w:ascii="宋体" w:hAnsi="宋体" w:cs="宋体"/>
          <w:color w:val="auto"/>
          <w:sz w:val="24"/>
        </w:rPr>
        <w:t>供应商名称：</w:t>
      </w:r>
      <w:r>
        <w:rPr>
          <w:rFonts w:hint="eastAsia" w:ascii="宋体" w:hAnsi="宋体" w:cs="宋体"/>
          <w:color w:val="auto"/>
          <w:sz w:val="24"/>
          <w:u w:val="single"/>
        </w:rPr>
        <w:t xml:space="preserve">                                          </w:t>
      </w:r>
    </w:p>
    <w:p>
      <w:pPr>
        <w:snapToGrid w:val="0"/>
        <w:spacing w:line="400" w:lineRule="exact"/>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银行帐号：</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400" w:lineRule="exact"/>
        <w:ind w:firstLine="420" w:firstLineChars="200"/>
        <w:rPr>
          <w:rFonts w:ascii="宋体" w:hAnsi="宋体" w:cs="宋体"/>
          <w:color w:val="auto"/>
        </w:rPr>
      </w:pPr>
      <w:r>
        <w:rPr>
          <w:rFonts w:hint="eastAsia" w:ascii="宋体" w:hAnsi="宋体" w:cs="宋体"/>
          <w:color w:val="auto"/>
        </w:rPr>
        <w:t xml:space="preserve"> </w:t>
      </w: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r>
        <w:rPr>
          <w:rFonts w:hint="eastAsia" w:ascii="宋体" w:hAnsi="宋体" w:cs="宋体"/>
          <w:color w:val="auto"/>
        </w:rPr>
        <w:t xml:space="preserve">日期：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pStyle w:val="24"/>
        <w:spacing w:line="500" w:lineRule="exact"/>
        <w:ind w:firstLine="420" w:firstLineChars="200"/>
        <w:rPr>
          <w:rFonts w:hAnsi="宋体" w:cs="宋体"/>
          <w:color w:val="auto"/>
          <w:u w:val="single"/>
        </w:rPr>
      </w:pPr>
      <w:r>
        <w:rPr>
          <w:rFonts w:hint="eastAsia" w:hAnsi="宋体" w:cs="宋体"/>
          <w:color w:val="auto"/>
        </w:rPr>
        <w:t>法定代表人或委托代理人（签字）:</w:t>
      </w:r>
      <w:r>
        <w:rPr>
          <w:rFonts w:hint="eastAsia" w:hAnsi="宋体" w:cs="宋体"/>
          <w:color w:val="auto"/>
          <w:u w:val="single"/>
        </w:rPr>
        <w:t xml:space="preserve">              </w:t>
      </w:r>
    </w:p>
    <w:p>
      <w:pPr>
        <w:pStyle w:val="24"/>
        <w:spacing w:line="500" w:lineRule="exact"/>
        <w:ind w:firstLine="420" w:firstLineChars="200"/>
        <w:rPr>
          <w:rFonts w:hAnsi="宋体" w:cs="宋体"/>
          <w:color w:val="auto"/>
          <w:u w:val="single"/>
        </w:rPr>
      </w:pPr>
      <w:r>
        <w:rPr>
          <w:rFonts w:hint="eastAsia" w:hAnsi="宋体" w:cs="宋体"/>
          <w:color w:val="auto"/>
        </w:rPr>
        <w:t>磋商人名称（盖章）：</w:t>
      </w:r>
      <w:r>
        <w:rPr>
          <w:rFonts w:hint="eastAsia" w:hAnsi="宋体" w:cs="宋体"/>
          <w:color w:val="auto"/>
          <w:u w:val="single"/>
        </w:rPr>
        <w:t xml:space="preserve">       </w:t>
      </w:r>
    </w:p>
    <w:p>
      <w:pPr>
        <w:spacing w:line="400" w:lineRule="exact"/>
        <w:ind w:firstLine="420" w:firstLineChars="200"/>
        <w:rPr>
          <w:rFonts w:ascii="宋体" w:hAnsi="宋体" w:cs="宋体"/>
          <w:color w:val="auto"/>
        </w:rPr>
      </w:pPr>
      <w:r>
        <w:rPr>
          <w:rFonts w:hint="eastAsia" w:ascii="宋体" w:hAnsi="宋体" w:cs="宋体"/>
          <w:color w:val="auto"/>
        </w:rPr>
        <w:t xml:space="preserve">  </w:t>
      </w:r>
    </w:p>
    <w:p>
      <w:pPr>
        <w:pStyle w:val="24"/>
        <w:spacing w:line="520" w:lineRule="exact"/>
        <w:ind w:firstLine="840"/>
        <w:rPr>
          <w:rFonts w:hAnsi="宋体" w:cs="宋体"/>
          <w:color w:val="auto"/>
        </w:rPr>
      </w:pPr>
      <w:r>
        <w:rPr>
          <w:rFonts w:hint="eastAsia" w:hAnsi="宋体" w:cs="宋体"/>
          <w:color w:val="auto"/>
        </w:rPr>
        <w:t xml:space="preserve">                     </w:t>
      </w:r>
    </w:p>
    <w:p>
      <w:pPr>
        <w:pageBreakBefore/>
        <w:spacing w:line="500" w:lineRule="exact"/>
        <w:rPr>
          <w:rFonts w:ascii="宋体" w:hAnsi="宋体" w:cs="宋体"/>
          <w:color w:val="auto"/>
        </w:rPr>
      </w:pPr>
      <w:r>
        <w:rPr>
          <w:rFonts w:hint="eastAsia" w:ascii="宋体" w:hAnsi="宋体" w:cs="宋体"/>
          <w:color w:val="auto"/>
        </w:rPr>
        <w:t xml:space="preserve">附件二             </w:t>
      </w:r>
    </w:p>
    <w:p>
      <w:pPr>
        <w:spacing w:line="500" w:lineRule="exact"/>
        <w:jc w:val="center"/>
        <w:rPr>
          <w:rFonts w:ascii="宋体" w:hAnsi="宋体" w:cs="宋体"/>
          <w:b/>
          <w:color w:val="auto"/>
        </w:rPr>
      </w:pPr>
    </w:p>
    <w:p>
      <w:pPr>
        <w:spacing w:line="500" w:lineRule="exact"/>
        <w:jc w:val="center"/>
        <w:rPr>
          <w:rFonts w:ascii="宋体" w:hAnsi="宋体" w:cs="宋体"/>
          <w:b/>
          <w:color w:val="auto"/>
          <w:sz w:val="24"/>
          <w:szCs w:val="24"/>
        </w:rPr>
      </w:pPr>
      <w:r>
        <w:rPr>
          <w:rFonts w:hint="eastAsia" w:ascii="宋体" w:hAnsi="宋体" w:cs="宋体"/>
          <w:b/>
          <w:color w:val="auto"/>
          <w:sz w:val="24"/>
          <w:szCs w:val="24"/>
        </w:rPr>
        <w:t>报  价  表</w:t>
      </w:r>
    </w:p>
    <w:p>
      <w:pPr>
        <w:snapToGrid w:val="0"/>
        <w:spacing w:before="50" w:after="50" w:line="360" w:lineRule="auto"/>
        <w:rPr>
          <w:rFonts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spacing w:line="360" w:lineRule="auto"/>
        <w:rPr>
          <w:rFonts w:ascii="宋体" w:hAnsi="宋体" w:cs="宋体"/>
          <w:b/>
          <w:color w:val="auto"/>
          <w:sz w:val="24"/>
          <w:szCs w:val="24"/>
        </w:rPr>
      </w:pPr>
      <w:r>
        <w:rPr>
          <w:rFonts w:hint="eastAsia" w:ascii="宋体" w:hAnsi="宋体" w:cs="宋体"/>
          <w:color w:val="auto"/>
          <w:kern w:val="0"/>
          <w:sz w:val="24"/>
          <w:szCs w:val="24"/>
        </w:rPr>
        <w:t>供应商名称</w:t>
      </w:r>
      <w:r>
        <w:rPr>
          <w:rFonts w:hint="eastAsia" w:ascii="宋体" w:hAnsi="宋体" w:cs="宋体"/>
          <w:color w:val="auto"/>
          <w:sz w:val="24"/>
          <w:szCs w:val="24"/>
        </w:rPr>
        <w:t>：</w:t>
      </w:r>
    </w:p>
    <w:tbl>
      <w:tblPr>
        <w:tblStyle w:val="40"/>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09"/>
        <w:gridCol w:w="1670"/>
        <w:gridCol w:w="1050"/>
        <w:gridCol w:w="870"/>
        <w:gridCol w:w="1280"/>
        <w:gridCol w:w="180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sz w:val="24"/>
                <w:szCs w:val="24"/>
              </w:rPr>
              <w:t>序号</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sz w:val="24"/>
                <w:szCs w:val="24"/>
              </w:rPr>
              <w:t>货物名称</w:t>
            </w: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货物规格型号</w:t>
            </w:r>
          </w:p>
        </w:tc>
        <w:tc>
          <w:tcPr>
            <w:tcW w:w="1050"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品牌</w:t>
            </w:r>
          </w:p>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（如有）</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数量①</w:t>
            </w:r>
          </w:p>
        </w:tc>
        <w:tc>
          <w:tcPr>
            <w:tcW w:w="128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sz w:val="24"/>
                <w:szCs w:val="24"/>
              </w:rPr>
              <w:t>单价(元)②</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sz w:val="24"/>
                <w:szCs w:val="24"/>
              </w:rPr>
              <w:t>投标报价（元）</w:t>
            </w:r>
          </w:p>
          <w:p>
            <w:pPr>
              <w:keepNext w:val="0"/>
              <w:keepLines w:val="0"/>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sz w:val="24"/>
                <w:szCs w:val="24"/>
              </w:rPr>
              <w:t>③＝①×②</w:t>
            </w:r>
          </w:p>
        </w:tc>
        <w:tc>
          <w:tcPr>
            <w:tcW w:w="1210"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sz w:val="24"/>
                <w:szCs w:val="24"/>
              </w:rPr>
              <w:t>1</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28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210"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sz w:val="24"/>
                <w:szCs w:val="24"/>
              </w:rPr>
              <w:t>2</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28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c>
          <w:tcPr>
            <w:tcW w:w="1210"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default"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sz w:val="24"/>
                <w:szCs w:val="24"/>
              </w:rPr>
              <w:t>报价合计（包含税费等所有费用）：（大写）人民币</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tc>
      </w:tr>
    </w:tbl>
    <w:p>
      <w:pPr>
        <w:snapToGrid w:val="0"/>
        <w:spacing w:before="50" w:after="50" w:line="360" w:lineRule="auto"/>
        <w:ind w:firstLine="480" w:firstLineChars="20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注： </w:t>
      </w:r>
    </w:p>
    <w:p>
      <w:pPr>
        <w:snapToGrid w:val="0"/>
        <w:spacing w:before="50" w:after="50"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 供应商需按本表格式填写，不得自行更改，如有多分标，按分标分别提供响应报价表</w:t>
      </w:r>
      <w:r>
        <w:rPr>
          <w:rFonts w:hint="eastAsia" w:ascii="仿宋_GB2312" w:hAnsi="仿宋" w:eastAsia="仿宋_GB2312" w:cs="仿宋_GB2312"/>
          <w:b/>
          <w:color w:val="auto"/>
          <w:kern w:val="0"/>
          <w:sz w:val="24"/>
          <w:lang w:val="zh-CN"/>
        </w:rPr>
        <w:t>。</w:t>
      </w:r>
    </w:p>
    <w:p>
      <w:pPr>
        <w:snapToGrid w:val="0"/>
        <w:spacing w:before="50" w:after="50" w:line="360" w:lineRule="auto"/>
        <w:ind w:firstLine="480" w:firstLineChars="200"/>
        <w:jc w:val="left"/>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rPr>
        <w:t>2</w:t>
      </w:r>
      <w:r>
        <w:rPr>
          <w:rFonts w:hint="eastAsia" w:ascii="仿宋_GB2312" w:hAnsi="仿宋" w:eastAsia="仿宋_GB2312" w:cs="仿宋_GB2312"/>
          <w:color w:val="auto"/>
          <w:kern w:val="0"/>
          <w:sz w:val="24"/>
          <w:lang w:val="zh-CN"/>
        </w:rPr>
        <w:t>、以上表格要求细分项目及报价，在“货物名称”一栏中，填写具体货物，</w:t>
      </w:r>
      <w:r>
        <w:rPr>
          <w:rFonts w:hint="eastAsia" w:ascii="仿宋_GB2312" w:hAnsi="仿宋" w:eastAsia="仿宋_GB2312" w:cs="仿宋_GB2312"/>
          <w:b/>
          <w:color w:val="auto"/>
          <w:kern w:val="0"/>
          <w:sz w:val="24"/>
          <w:lang w:val="zh-CN"/>
        </w:rPr>
        <w:t>否则其响应作无效响应处理。</w:t>
      </w:r>
    </w:p>
    <w:p>
      <w:pPr>
        <w:snapToGrid w:val="0"/>
        <w:spacing w:before="50" w:after="50" w:line="360" w:lineRule="auto"/>
        <w:ind w:firstLine="480" w:firstLineChars="200"/>
        <w:jc w:val="left"/>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rPr>
        <w:t>3</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rPr>
        <w:t>竞标</w:t>
      </w:r>
      <w:r>
        <w:rPr>
          <w:rFonts w:hint="eastAsia" w:ascii="仿宋_GB2312" w:hAnsi="仿宋" w:eastAsia="仿宋_GB2312" w:cs="仿宋_GB2312"/>
          <w:color w:val="auto"/>
          <w:kern w:val="0"/>
          <w:sz w:val="24"/>
          <w:lang w:val="zh-CN"/>
        </w:rPr>
        <w:t>人填报要求：报价表要求细分的单价及单项合价，不得超过采购文件《第三章</w:t>
      </w:r>
      <w:r>
        <w:rPr>
          <w:rFonts w:ascii="仿宋_GB2312" w:hAnsi="仿宋" w:eastAsia="仿宋_GB2312" w:cs="仿宋_GB2312"/>
          <w:color w:val="auto"/>
          <w:kern w:val="0"/>
          <w:sz w:val="24"/>
          <w:lang w:val="zh-CN"/>
        </w:rPr>
        <w:t xml:space="preserve"> </w:t>
      </w:r>
      <w:r>
        <w:rPr>
          <w:rFonts w:hint="eastAsia" w:ascii="仿宋_GB2312" w:hAnsi="仿宋" w:eastAsia="仿宋_GB2312" w:cs="仿宋_GB2312"/>
          <w:color w:val="auto"/>
          <w:kern w:val="0"/>
          <w:sz w:val="24"/>
          <w:lang w:val="zh-CN"/>
        </w:rPr>
        <w:t>采购需求》规定的各分项单价及分项采购预算（或者分项最高限价），</w:t>
      </w:r>
      <w:r>
        <w:rPr>
          <w:rFonts w:hint="eastAsia" w:ascii="仿宋_GB2312" w:hAnsi="仿宋" w:eastAsia="仿宋_GB2312" w:cs="仿宋_GB2312"/>
          <w:b/>
          <w:bCs/>
          <w:color w:val="auto"/>
          <w:kern w:val="0"/>
          <w:sz w:val="24"/>
          <w:lang w:val="zh-CN"/>
        </w:rPr>
        <w:t>否则其响应作无效响应处理</w:t>
      </w:r>
      <w:r>
        <w:rPr>
          <w:rFonts w:hint="eastAsia" w:ascii="仿宋_GB2312" w:hAnsi="仿宋" w:eastAsia="仿宋_GB2312" w:cs="仿宋_GB2312"/>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4</w:t>
      </w:r>
      <w:r>
        <w:rPr>
          <w:rFonts w:hint="eastAsia" w:ascii="仿宋_GB2312" w:hAnsi="仿宋" w:eastAsia="仿宋_GB2312" w:cs="仿宋_GB2312"/>
          <w:color w:val="auto"/>
          <w:kern w:val="0"/>
          <w:sz w:val="24"/>
          <w:lang w:val="zh-CN"/>
        </w:rPr>
        <w:t>、特别提示：采购机构将对项目名称和项目编号，成交供应商名称、地址和成交金额，主要成交标的的名称、规格型号、数量、单价、货物要求等予以公示。</w:t>
      </w:r>
    </w:p>
    <w:p>
      <w:pPr>
        <w:spacing w:line="500" w:lineRule="exact"/>
        <w:ind w:firstLine="831" w:firstLineChars="396"/>
        <w:rPr>
          <w:rFonts w:ascii="宋体" w:hAnsi="宋体" w:cs="宋体"/>
          <w:bCs/>
          <w:color w:val="auto"/>
        </w:rPr>
      </w:pPr>
    </w:p>
    <w:p>
      <w:pPr>
        <w:spacing w:line="500" w:lineRule="exact"/>
        <w:ind w:firstLine="831" w:firstLineChars="396"/>
        <w:rPr>
          <w:rFonts w:ascii="宋体" w:hAnsi="宋体" w:cs="宋体"/>
          <w:bCs/>
          <w:color w:val="auto"/>
        </w:rPr>
      </w:pPr>
    </w:p>
    <w:p>
      <w:pPr>
        <w:pStyle w:val="24"/>
        <w:spacing w:line="500" w:lineRule="exact"/>
        <w:ind w:firstLine="420" w:firstLineChars="200"/>
        <w:rPr>
          <w:rFonts w:hAnsi="宋体" w:cs="宋体"/>
          <w:color w:val="auto"/>
          <w:u w:val="single"/>
        </w:rPr>
      </w:pPr>
      <w:r>
        <w:rPr>
          <w:rFonts w:hint="eastAsia" w:hAnsi="宋体" w:cs="宋体"/>
          <w:color w:val="auto"/>
        </w:rPr>
        <w:t>法定代表人或委托代理人（签字）:</w:t>
      </w:r>
      <w:r>
        <w:rPr>
          <w:rFonts w:hint="eastAsia" w:hAnsi="宋体" w:cs="宋体"/>
          <w:color w:val="auto"/>
          <w:u w:val="single"/>
        </w:rPr>
        <w:t xml:space="preserve">              </w:t>
      </w:r>
    </w:p>
    <w:p>
      <w:pPr>
        <w:pStyle w:val="24"/>
        <w:spacing w:line="500" w:lineRule="exact"/>
        <w:ind w:firstLine="420" w:firstLineChars="200"/>
        <w:rPr>
          <w:rFonts w:hAnsi="宋体" w:cs="宋体"/>
          <w:color w:val="auto"/>
          <w:u w:val="single"/>
        </w:rPr>
      </w:pPr>
      <w:r>
        <w:rPr>
          <w:rFonts w:hint="eastAsia" w:hAnsi="宋体" w:cs="宋体"/>
          <w:color w:val="auto"/>
        </w:rPr>
        <w:t>磋商人名称（盖章）：</w:t>
      </w:r>
      <w:r>
        <w:rPr>
          <w:rFonts w:hint="eastAsia" w:hAnsi="宋体" w:cs="宋体"/>
          <w:color w:val="auto"/>
          <w:u w:val="single"/>
        </w:rPr>
        <w:t xml:space="preserve">       </w:t>
      </w:r>
    </w:p>
    <w:p>
      <w:pPr>
        <w:spacing w:line="500" w:lineRule="exact"/>
        <w:ind w:firstLine="420" w:firstLineChars="200"/>
        <w:rPr>
          <w:rFonts w:ascii="宋体" w:hAnsi="宋体" w:cs="宋体"/>
          <w:color w:val="auto"/>
        </w:rPr>
      </w:pPr>
      <w:r>
        <w:rPr>
          <w:rFonts w:hint="eastAsia" w:ascii="宋体" w:hAnsi="宋体" w:cs="宋体"/>
          <w:color w:val="auto"/>
        </w:rPr>
        <w:t>报价时间：</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500" w:lineRule="exact"/>
        <w:ind w:firstLine="420"/>
        <w:rPr>
          <w:rFonts w:ascii="宋体" w:hAnsi="宋体" w:cs="宋体"/>
          <w:color w:val="auto"/>
        </w:rPr>
      </w:pPr>
    </w:p>
    <w:p>
      <w:pPr>
        <w:pageBreakBefore/>
        <w:adjustRightInd w:val="0"/>
        <w:snapToGrid w:val="0"/>
        <w:spacing w:line="300" w:lineRule="auto"/>
        <w:ind w:left="-88" w:leftChars="-42"/>
        <w:rPr>
          <w:rFonts w:ascii="宋体" w:hAnsi="宋体" w:cs="宋体"/>
          <w:color w:val="auto"/>
        </w:rPr>
      </w:pPr>
      <w:r>
        <w:rPr>
          <w:rFonts w:hint="eastAsia" w:ascii="宋体" w:hAnsi="宋体" w:cs="宋体"/>
          <w:color w:val="auto"/>
        </w:rPr>
        <w:t xml:space="preserve">附件三  </w:t>
      </w:r>
    </w:p>
    <w:p>
      <w:pPr>
        <w:spacing w:line="300" w:lineRule="auto"/>
        <w:rPr>
          <w:rFonts w:ascii="宋体" w:hAnsi="宋体" w:cs="宋体"/>
          <w:b/>
          <w:color w:val="auto"/>
        </w:rPr>
      </w:pPr>
    </w:p>
    <w:p>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pPr>
        <w:spacing w:line="360" w:lineRule="auto"/>
        <w:contextualSpacing/>
        <w:jc w:val="center"/>
        <w:rPr>
          <w:rFonts w:ascii="宋体" w:hAnsi="宋体"/>
          <w:b/>
          <w:color w:val="auto"/>
          <w:sz w:val="24"/>
        </w:rPr>
      </w:pPr>
    </w:p>
    <w:tbl>
      <w:tblPr>
        <w:tblStyle w:val="40"/>
        <w:tblW w:w="9914" w:type="dxa"/>
        <w:jc w:val="center"/>
        <w:shd w:val="clear" w:color="auto" w:fill="FBFBFB"/>
        <w:tblLayout w:type="fixed"/>
        <w:tblCellMar>
          <w:top w:w="0" w:type="dxa"/>
          <w:left w:w="0" w:type="dxa"/>
          <w:bottom w:w="0" w:type="dxa"/>
          <w:right w:w="0" w:type="dxa"/>
        </w:tblCellMar>
      </w:tblPr>
      <w:tblGrid>
        <w:gridCol w:w="982"/>
        <w:gridCol w:w="2320"/>
        <w:gridCol w:w="1455"/>
        <w:gridCol w:w="4287"/>
        <w:gridCol w:w="870"/>
      </w:tblGrid>
      <w:tr>
        <w:tblPrEx>
          <w:shd w:val="clear" w:color="auto" w:fill="FBFBFB"/>
          <w:tblCellMar>
            <w:top w:w="0" w:type="dxa"/>
            <w:left w:w="0" w:type="dxa"/>
            <w:bottom w:w="0" w:type="dxa"/>
            <w:right w:w="0" w:type="dxa"/>
          </w:tblCellMar>
        </w:tblPrEx>
        <w:trPr>
          <w:tblHeader/>
          <w:jc w:val="center"/>
        </w:trPr>
        <w:tc>
          <w:tcPr>
            <w:tcW w:w="98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序号</w:t>
            </w:r>
          </w:p>
        </w:tc>
        <w:tc>
          <w:tcPr>
            <w:tcW w:w="2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r>
              <w:rPr>
                <w:rFonts w:hint="eastAsia" w:ascii="宋体" w:hAnsi="宋体" w:cs="宋体"/>
                <w:color w:val="auto"/>
                <w:kern w:val="0"/>
                <w:sz w:val="24"/>
              </w:rPr>
              <w:t>1</w:t>
            </w:r>
          </w:p>
        </w:tc>
        <w:tc>
          <w:tcPr>
            <w:tcW w:w="2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r>
      <w:tr>
        <w:tblPrEx>
          <w:tblCellMar>
            <w:top w:w="0" w:type="dxa"/>
            <w:left w:w="0" w:type="dxa"/>
            <w:bottom w:w="0" w:type="dxa"/>
            <w:right w:w="0"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r>
              <w:rPr>
                <w:rFonts w:hint="eastAsia" w:ascii="宋体" w:hAnsi="宋体" w:cs="宋体"/>
                <w:color w:val="auto"/>
                <w:kern w:val="0"/>
                <w:sz w:val="24"/>
              </w:rPr>
              <w:t>2</w:t>
            </w:r>
          </w:p>
        </w:tc>
        <w:tc>
          <w:tcPr>
            <w:tcW w:w="2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r>
      <w:tr>
        <w:tblPrEx>
          <w:tblCellMar>
            <w:top w:w="0" w:type="dxa"/>
            <w:left w:w="0" w:type="dxa"/>
            <w:bottom w:w="0" w:type="dxa"/>
            <w:right w:w="0"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r>
              <w:rPr>
                <w:rFonts w:hint="eastAsia" w:ascii="宋体" w:hAnsi="宋体" w:cs="宋体"/>
                <w:color w:val="auto"/>
                <w:kern w:val="0"/>
                <w:sz w:val="24"/>
              </w:rPr>
              <w:t>3</w:t>
            </w:r>
          </w:p>
        </w:tc>
        <w:tc>
          <w:tcPr>
            <w:tcW w:w="2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r>
      <w:tr>
        <w:tblPrEx>
          <w:tblCellMar>
            <w:top w:w="0" w:type="dxa"/>
            <w:left w:w="0" w:type="dxa"/>
            <w:bottom w:w="0" w:type="dxa"/>
            <w:right w:w="0" w:type="dxa"/>
          </w:tblCellMar>
        </w:tblPrEx>
        <w:trPr>
          <w:jc w:val="center"/>
        </w:trPr>
        <w:tc>
          <w:tcPr>
            <w:tcW w:w="98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r>
              <w:rPr>
                <w:rFonts w:hint="eastAsia" w:ascii="宋体" w:hAnsi="宋体" w:cs="宋体"/>
                <w:color w:val="auto"/>
                <w:kern w:val="0"/>
                <w:sz w:val="24"/>
              </w:rPr>
              <w:t>……</w:t>
            </w:r>
          </w:p>
        </w:tc>
        <w:tc>
          <w:tcPr>
            <w:tcW w:w="2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r>
    </w:tbl>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rPr>
      </w:pPr>
    </w:p>
    <w:p>
      <w:pPr>
        <w:rPr>
          <w:rFonts w:ascii="宋体" w:hAnsi="宋体"/>
          <w:color w:val="auto"/>
        </w:rPr>
      </w:pPr>
    </w:p>
    <w:p>
      <w:pPr>
        <w:spacing w:line="360" w:lineRule="auto"/>
        <w:contextualSpacing/>
        <w:jc w:val="left"/>
        <w:rPr>
          <w:rFonts w:ascii="宋体" w:hAnsi="宋体" w:cs="宋体"/>
          <w:color w:val="auto"/>
          <w:sz w:val="28"/>
          <w:szCs w:val="28"/>
        </w:rPr>
      </w:pPr>
    </w:p>
    <w:p>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 xml:space="preserve">磋商人名称（盖章）： </w:t>
      </w:r>
      <w:r>
        <w:rPr>
          <w:rFonts w:hint="eastAsia" w:ascii="宋体" w:hAnsi="宋体" w:cs="宋体"/>
          <w:color w:val="auto"/>
          <w:sz w:val="24"/>
          <w:u w:val="single"/>
        </w:rPr>
        <w:t xml:space="preserve">                              </w:t>
      </w:r>
    </w:p>
    <w:p>
      <w:pPr>
        <w:pStyle w:val="2"/>
        <w:rPr>
          <w:color w:val="auto"/>
        </w:rPr>
      </w:pP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jc w:val="center"/>
        <w:rPr>
          <w:rFonts w:ascii="宋体" w:hAnsi="宋体"/>
          <w:b/>
          <w:color w:val="auto"/>
          <w:sz w:val="32"/>
          <w:szCs w:val="32"/>
        </w:rPr>
      </w:pPr>
      <w:r>
        <w:rPr>
          <w:rFonts w:hint="eastAsia" w:ascii="宋体" w:hAnsi="宋体"/>
          <w:b/>
          <w:color w:val="auto"/>
          <w:sz w:val="32"/>
          <w:szCs w:val="32"/>
        </w:rPr>
        <w:t>供应商直接管理关系信息表</w:t>
      </w:r>
    </w:p>
    <w:p>
      <w:pPr>
        <w:snapToGrid w:val="0"/>
        <w:spacing w:line="360" w:lineRule="auto"/>
        <w:jc w:val="center"/>
        <w:rPr>
          <w:rFonts w:ascii="宋体" w:hAnsi="宋体"/>
          <w:b/>
          <w:color w:val="auto"/>
          <w:sz w:val="24"/>
        </w:rPr>
      </w:pPr>
    </w:p>
    <w:tbl>
      <w:tblPr>
        <w:tblStyle w:val="4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rPr>
            </w:pPr>
          </w:p>
        </w:tc>
      </w:tr>
    </w:tbl>
    <w:p>
      <w:pPr>
        <w:spacing w:line="360" w:lineRule="auto"/>
        <w:contextualSpacing/>
        <w:jc w:val="left"/>
        <w:rPr>
          <w:rFonts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ascii="宋体" w:hAnsi="宋体"/>
          <w:color w:val="auto"/>
          <w:sz w:val="28"/>
          <w:szCs w:val="28"/>
        </w:rPr>
      </w:pPr>
    </w:p>
    <w:p>
      <w:pPr>
        <w:spacing w:line="360" w:lineRule="auto"/>
        <w:contextualSpacing/>
        <w:jc w:val="left"/>
        <w:rPr>
          <w:rFonts w:ascii="宋体" w:hAnsi="宋体"/>
          <w:color w:val="auto"/>
          <w:sz w:val="28"/>
          <w:szCs w:val="28"/>
        </w:rPr>
      </w:pPr>
    </w:p>
    <w:p>
      <w:pPr>
        <w:spacing w:line="360" w:lineRule="auto"/>
        <w:contextualSpacing/>
        <w:jc w:val="left"/>
        <w:rPr>
          <w:rFonts w:ascii="宋体" w:hAnsi="宋体"/>
          <w:color w:val="auto"/>
          <w:sz w:val="28"/>
          <w:szCs w:val="28"/>
        </w:rPr>
      </w:pPr>
    </w:p>
    <w:p>
      <w:pPr>
        <w:spacing w:line="360" w:lineRule="auto"/>
        <w:ind w:left="1260" w:leftChars="600" w:right="480"/>
        <w:contextualSpacing/>
        <w:jc w:val="center"/>
        <w:rPr>
          <w:rFonts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 xml:space="preserve">磋商人名称（盖章）： </w:t>
      </w:r>
      <w:r>
        <w:rPr>
          <w:rFonts w:hint="eastAsia" w:ascii="宋体" w:hAnsi="宋体" w:cs="宋体"/>
          <w:color w:val="auto"/>
          <w:sz w:val="24"/>
          <w:u w:val="single"/>
        </w:rPr>
        <w:t xml:space="preserve">                              </w:t>
      </w:r>
    </w:p>
    <w:p>
      <w:pPr>
        <w:pStyle w:val="2"/>
        <w:rPr>
          <w:color w:val="auto"/>
        </w:rPr>
      </w:pP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pacing w:line="300" w:lineRule="auto"/>
        <w:rPr>
          <w:rFonts w:ascii="宋体" w:hAnsi="宋体" w:cs="宋体"/>
          <w:color w:val="auto"/>
        </w:rPr>
      </w:pPr>
    </w:p>
    <w:p>
      <w:pPr>
        <w:pageBreakBefore/>
        <w:spacing w:line="300" w:lineRule="auto"/>
        <w:rPr>
          <w:rFonts w:ascii="宋体" w:hAnsi="宋体" w:cs="宋体"/>
          <w:color w:val="auto"/>
        </w:rPr>
      </w:pPr>
      <w:r>
        <w:rPr>
          <w:rFonts w:hint="eastAsia" w:ascii="宋体" w:hAnsi="宋体" w:cs="宋体"/>
          <w:color w:val="auto"/>
        </w:rPr>
        <w:t>附件四</w:t>
      </w:r>
    </w:p>
    <w:p>
      <w:pPr>
        <w:snapToGrid w:val="0"/>
        <w:spacing w:line="360" w:lineRule="exact"/>
        <w:jc w:val="center"/>
        <w:rPr>
          <w:rFonts w:ascii="宋体" w:hAnsi="宋体"/>
          <w:b/>
          <w:bCs/>
          <w:color w:val="auto"/>
          <w:sz w:val="28"/>
          <w:szCs w:val="28"/>
        </w:rPr>
      </w:pPr>
      <w:r>
        <w:rPr>
          <w:rFonts w:hint="eastAsia" w:ascii="宋体" w:hAnsi="宋体"/>
          <w:b/>
          <w:bCs/>
          <w:color w:val="auto"/>
          <w:sz w:val="28"/>
          <w:szCs w:val="28"/>
        </w:rPr>
        <w:t>竞标声明</w:t>
      </w:r>
    </w:p>
    <w:p>
      <w:pPr>
        <w:snapToGrid w:val="0"/>
        <w:spacing w:line="360" w:lineRule="exact"/>
        <w:ind w:firstLine="411" w:firstLineChars="196"/>
        <w:jc w:val="center"/>
        <w:rPr>
          <w:rFonts w:ascii="宋体" w:hAnsi="宋体"/>
          <w:color w:val="auto"/>
        </w:rPr>
      </w:pPr>
    </w:p>
    <w:p>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 xml:space="preserve">（供应商名称）        </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 xml:space="preserve">        （项目名称）</w:t>
      </w:r>
      <w:r>
        <w:rPr>
          <w:rFonts w:hint="eastAsia" w:ascii="宋体" w:hAnsi="宋体" w:cs="宋体"/>
          <w:color w:val="auto"/>
          <w:sz w:val="24"/>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24"/>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pPr>
        <w:pStyle w:val="24"/>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电子邮箱：</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22"/>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帐号：</w:t>
      </w:r>
      <w:r>
        <w:rPr>
          <w:rFonts w:hint="eastAsia" w:ascii="宋体" w:hAnsi="宋体" w:cs="宋体"/>
          <w:color w:val="auto"/>
          <w:sz w:val="24"/>
          <w:u w:val="single"/>
        </w:rPr>
        <w:t xml:space="preserve">                               </w:t>
      </w:r>
    </w:p>
    <w:p>
      <w:pPr>
        <w:pStyle w:val="22"/>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22"/>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contextualSpacing/>
        <w:jc w:val="left"/>
        <w:rPr>
          <w:rFonts w:ascii="宋体" w:hAnsi="宋体" w:cs="宋体"/>
          <w:color w:val="auto"/>
        </w:rPr>
      </w:pPr>
    </w:p>
    <w:p>
      <w:pPr>
        <w:spacing w:line="360" w:lineRule="auto"/>
        <w:ind w:firstLine="2520" w:firstLineChars="1050"/>
        <w:contextualSpacing/>
        <w:rPr>
          <w:color w:val="auto"/>
        </w:rPr>
      </w:pPr>
      <w:r>
        <w:rPr>
          <w:rFonts w:hint="eastAsia" w:ascii="宋体" w:hAnsi="宋体"/>
          <w:color w:val="auto"/>
          <w:sz w:val="24"/>
        </w:rPr>
        <w:t>法定代表人（签字或者盖章</w:t>
      </w:r>
      <w:r>
        <w:rPr>
          <w:rFonts w:hint="eastAsia"/>
          <w:color w:val="auto"/>
        </w:rPr>
        <w:t>）：</w:t>
      </w:r>
      <w:r>
        <w:rPr>
          <w:rFonts w:hint="eastAsia"/>
          <w:color w:val="auto"/>
          <w:u w:val="single"/>
        </w:rPr>
        <w:t xml:space="preserve">           </w:t>
      </w:r>
      <w:r>
        <w:rPr>
          <w:rFonts w:hint="eastAsia"/>
          <w:color w:val="auto"/>
        </w:rPr>
        <w:t xml:space="preserve">                 </w:t>
      </w:r>
    </w:p>
    <w:p>
      <w:pPr>
        <w:spacing w:line="360" w:lineRule="auto"/>
        <w:ind w:right="480" w:firstLine="2400" w:firstLineChars="1000"/>
        <w:contextualSpacing/>
        <w:rPr>
          <w:rFonts w:ascii="宋体" w:hAnsi="宋体" w:cs="宋体"/>
          <w:color w:val="auto"/>
          <w:sz w:val="24"/>
          <w:u w:val="single"/>
        </w:rPr>
      </w:pPr>
      <w:r>
        <w:rPr>
          <w:rFonts w:hint="eastAsia" w:ascii="宋体" w:hAnsi="宋体" w:cs="宋体"/>
          <w:color w:val="auto"/>
          <w:sz w:val="24"/>
        </w:rPr>
        <w:t xml:space="preserve">磋商人名称（盖章）： </w:t>
      </w:r>
      <w:r>
        <w:rPr>
          <w:rFonts w:hint="eastAsia" w:ascii="宋体" w:hAnsi="宋体" w:cs="宋体"/>
          <w:color w:val="auto"/>
          <w:sz w:val="24"/>
          <w:u w:val="single"/>
        </w:rPr>
        <w:t xml:space="preserve">                              </w:t>
      </w:r>
    </w:p>
    <w:p>
      <w:pPr>
        <w:pStyle w:val="22"/>
        <w:tabs>
          <w:tab w:val="left" w:pos="939"/>
        </w:tabs>
        <w:spacing w:line="360" w:lineRule="auto"/>
        <w:ind w:left="0" w:leftChars="0" w:firstLine="420" w:firstLineChars="200"/>
        <w:rPr>
          <w:color w:val="auto"/>
          <w:sz w:val="24"/>
        </w:rPr>
      </w:pPr>
      <w:r>
        <w:rPr>
          <w:rFonts w:hint="eastAsia" w:ascii="宋体" w:hAnsi="宋体" w:cs="宋体"/>
          <w:color w:val="auto"/>
        </w:rPr>
        <w:t xml:space="preserve">                                                        </w:t>
      </w:r>
      <w:r>
        <w:rPr>
          <w:rFonts w:hint="eastAsia"/>
          <w:color w:val="auto"/>
        </w:rPr>
        <w:t xml:space="preserve"> 年    月    日</w:t>
      </w:r>
    </w:p>
    <w:p>
      <w:pPr>
        <w:autoSpaceDE w:val="0"/>
        <w:autoSpaceDN w:val="0"/>
        <w:spacing w:line="300" w:lineRule="auto"/>
        <w:ind w:left="480" w:hanging="480"/>
        <w:rPr>
          <w:rFonts w:ascii="宋体" w:hAnsi="宋体" w:cs="宋体"/>
          <w:color w:val="auto"/>
        </w:rPr>
      </w:pPr>
    </w:p>
    <w:p>
      <w:pPr>
        <w:pageBreakBefore/>
        <w:spacing w:line="300" w:lineRule="auto"/>
        <w:rPr>
          <w:rFonts w:ascii="宋体" w:hAnsi="宋体" w:cs="宋体"/>
          <w:color w:val="auto"/>
        </w:rPr>
      </w:pPr>
      <w:r>
        <w:rPr>
          <w:rFonts w:hint="eastAsia" w:ascii="宋体" w:hAnsi="宋体" w:cs="宋体"/>
          <w:color w:val="auto"/>
        </w:rPr>
        <w:t>附件五</w:t>
      </w:r>
    </w:p>
    <w:p>
      <w:pPr>
        <w:spacing w:line="300" w:lineRule="auto"/>
        <w:jc w:val="center"/>
        <w:rPr>
          <w:rFonts w:ascii="宋体" w:hAnsi="宋体"/>
          <w:b/>
          <w:color w:val="auto"/>
          <w:sz w:val="24"/>
          <w:szCs w:val="24"/>
        </w:rPr>
      </w:pPr>
      <w:r>
        <w:rPr>
          <w:rFonts w:hint="eastAsia" w:ascii="宋体" w:hAnsi="宋体"/>
          <w:b/>
          <w:color w:val="auto"/>
          <w:sz w:val="24"/>
          <w:szCs w:val="24"/>
        </w:rPr>
        <w:t>商务、技术响应、偏离情况说明表</w:t>
      </w:r>
    </w:p>
    <w:p>
      <w:pPr>
        <w:spacing w:line="300" w:lineRule="auto"/>
        <w:rPr>
          <w:rFonts w:ascii="宋体" w:hAnsi="宋体"/>
          <w:color w:val="auto"/>
        </w:rPr>
      </w:pPr>
    </w:p>
    <w:p>
      <w:pPr>
        <w:pStyle w:val="29"/>
        <w:spacing w:line="360" w:lineRule="auto"/>
        <w:jc w:val="center"/>
        <w:rPr>
          <w:rFonts w:ascii="宋体" w:hAnsi="宋体"/>
          <w:color w:val="auto"/>
        </w:rPr>
      </w:pPr>
      <w:r>
        <w:rPr>
          <w:rFonts w:hint="eastAsia" w:ascii="宋体" w:hAnsi="宋体"/>
          <w:b/>
          <w:color w:val="auto"/>
          <w:sz w:val="28"/>
          <w:szCs w:val="28"/>
        </w:rPr>
        <w:t>①商务响应、偏离情况说明表</w:t>
      </w:r>
    </w:p>
    <w:tbl>
      <w:tblPr>
        <w:tblStyle w:val="4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29"/>
        <w:gridCol w:w="2583"/>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jc w:val="center"/>
              <w:rPr>
                <w:rFonts w:hint="default" w:ascii="宋体" w:hAnsi="宋体"/>
                <w:color w:val="auto"/>
              </w:rPr>
            </w:pPr>
            <w:r>
              <w:rPr>
                <w:rFonts w:hint="eastAsia" w:ascii="宋体" w:hAnsi="宋体"/>
                <w:color w:val="auto"/>
              </w:rPr>
              <w:t>项号</w:t>
            </w: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jc w:val="center"/>
              <w:rPr>
                <w:rFonts w:hint="default" w:ascii="宋体" w:hAnsi="宋体"/>
                <w:color w:val="auto"/>
              </w:rPr>
            </w:pPr>
            <w:r>
              <w:rPr>
                <w:rFonts w:hint="eastAsia" w:ascii="宋体" w:hAnsi="宋体"/>
                <w:color w:val="auto"/>
              </w:rPr>
              <w:t>竞争性磋商采购文件的商务需求</w:t>
            </w:r>
          </w:p>
        </w:tc>
        <w:tc>
          <w:tcPr>
            <w:tcW w:w="2583"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jc w:val="center"/>
              <w:rPr>
                <w:rFonts w:hint="default" w:ascii="宋体" w:hAnsi="宋体"/>
                <w:color w:val="auto"/>
              </w:rPr>
            </w:pPr>
            <w:r>
              <w:rPr>
                <w:rFonts w:hint="eastAsia" w:ascii="宋体" w:hAnsi="宋体"/>
                <w:color w:val="auto"/>
              </w:rPr>
              <w:t>响应文件承诺的商务条款</w:t>
            </w:r>
          </w:p>
        </w:tc>
        <w:tc>
          <w:tcPr>
            <w:tcW w:w="2777"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jc w:val="center"/>
              <w:rPr>
                <w:rFonts w:hint="default" w:ascii="宋体" w:hAnsi="宋体"/>
                <w:color w:val="auto"/>
              </w:rPr>
            </w:pPr>
            <w:r>
              <w:rPr>
                <w:rFonts w:hint="eastAsia" w:ascii="宋体" w:hAnsi="宋体"/>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一</w:t>
            </w: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1  ……</w:t>
            </w:r>
          </w:p>
        </w:tc>
        <w:tc>
          <w:tcPr>
            <w:tcW w:w="2583"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1  ……</w:t>
            </w:r>
          </w:p>
        </w:tc>
        <w:tc>
          <w:tcPr>
            <w:tcW w:w="2777"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2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583"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2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777"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3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583"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3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777"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2583" w:type="dxa"/>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2777" w:type="dxa"/>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二</w:t>
            </w: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1  ……</w:t>
            </w:r>
          </w:p>
        </w:tc>
        <w:tc>
          <w:tcPr>
            <w:tcW w:w="2583"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1  ……</w:t>
            </w:r>
          </w:p>
        </w:tc>
        <w:tc>
          <w:tcPr>
            <w:tcW w:w="2777"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2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583"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2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777"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3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583"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3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777"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2583" w:type="dxa"/>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2777" w:type="dxa"/>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1  ……</w:t>
            </w:r>
          </w:p>
        </w:tc>
        <w:tc>
          <w:tcPr>
            <w:tcW w:w="2583"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1  ……</w:t>
            </w:r>
          </w:p>
        </w:tc>
        <w:tc>
          <w:tcPr>
            <w:tcW w:w="2777"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2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583"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2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777"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3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583"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3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2777" w:type="dxa"/>
            <w:tcBorders>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p>
        </w:tc>
        <w:tc>
          <w:tcPr>
            <w:tcW w:w="3429"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2583" w:type="dxa"/>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2777" w:type="dxa"/>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正偏离（负偏离或无偏离）</w:t>
            </w:r>
          </w:p>
          <w:p>
            <w:pPr>
              <w:keepNext w:val="0"/>
              <w:keepLines w:val="0"/>
              <w:suppressLineNumbers w:val="0"/>
              <w:snapToGrid w:val="0"/>
              <w:spacing w:before="0" w:beforeAutospacing="0" w:after="0" w:afterAutospacing="0"/>
              <w:ind w:left="0" w:right="0"/>
              <w:rPr>
                <w:rFonts w:hint="default" w:ascii="宋体" w:hAnsi="宋体"/>
                <w:color w:val="auto"/>
              </w:rPr>
            </w:pPr>
          </w:p>
        </w:tc>
      </w:tr>
    </w:tbl>
    <w:p>
      <w:pPr>
        <w:spacing w:line="400" w:lineRule="exact"/>
        <w:rPr>
          <w:rFonts w:ascii="宋体" w:hAnsi="宋体" w:cs="仿宋_GB2312"/>
          <w:color w:val="auto"/>
          <w:kern w:val="0"/>
          <w:sz w:val="24"/>
        </w:rPr>
      </w:pPr>
      <w:r>
        <w:rPr>
          <w:rFonts w:hint="eastAsia" w:ascii="宋体" w:hAnsi="宋体" w:cs="仿宋_GB2312"/>
          <w:color w:val="auto"/>
          <w:kern w:val="0"/>
          <w:sz w:val="24"/>
        </w:rPr>
        <w:t>注：</w:t>
      </w:r>
    </w:p>
    <w:p>
      <w:pPr>
        <w:spacing w:line="400" w:lineRule="exact"/>
        <w:ind w:firstLine="480" w:firstLineChars="200"/>
        <w:rPr>
          <w:rFonts w:ascii="宋体" w:hAnsi="宋体" w:cs="仿宋_GB2312"/>
          <w:color w:val="auto"/>
          <w:kern w:val="0"/>
          <w:sz w:val="24"/>
        </w:rPr>
      </w:pPr>
      <w:r>
        <w:rPr>
          <w:rFonts w:hint="eastAsia" w:ascii="宋体" w:hAnsi="宋体" w:cs="仿宋_GB2312"/>
          <w:color w:val="auto"/>
          <w:kern w:val="0"/>
          <w:sz w:val="24"/>
        </w:rPr>
        <w:t>1.说明：应对照采购文件“第三章 采购需求”中的商务条款逐条作出明确响应，并作出偏离说明。</w:t>
      </w:r>
    </w:p>
    <w:p>
      <w:pPr>
        <w:spacing w:line="400" w:lineRule="exact"/>
        <w:ind w:firstLine="480" w:firstLineChars="200"/>
        <w:rPr>
          <w:rFonts w:ascii="宋体" w:hAnsi="宋体" w:cs="仿宋_GB2312"/>
          <w:color w:val="auto"/>
          <w:kern w:val="0"/>
          <w:sz w:val="24"/>
        </w:rPr>
      </w:pPr>
      <w:r>
        <w:rPr>
          <w:rFonts w:hint="eastAsia" w:ascii="宋体" w:hAnsi="宋体" w:cs="仿宋_GB2312"/>
          <w:color w:val="auto"/>
          <w:kern w:val="0"/>
          <w:sz w:val="24"/>
        </w:rPr>
        <w:t>2.供应商应根据自身的承诺，对照采购文件要求，在“偏离说明”中注明“正偏离”、“负偏离”或者“无偏离”。既不属于“正偏离”也不属于“负偏离”即为“无偏离”。</w:t>
      </w:r>
      <w:r>
        <w:rPr>
          <w:rFonts w:hint="eastAsia" w:ascii="宋体" w:hAnsi="宋体" w:eastAsia="仿宋_GB2312" w:cs="仿宋_GB2312"/>
          <w:color w:val="auto"/>
          <w:kern w:val="0"/>
          <w:sz w:val="24"/>
        </w:rPr>
        <w:t xml:space="preserve"> 当响应文件的</w:t>
      </w:r>
      <w:r>
        <w:rPr>
          <w:rFonts w:hint="eastAsia" w:ascii="宋体" w:hAnsi="宋体" w:cs="仿宋_GB2312"/>
          <w:color w:val="auto"/>
          <w:kern w:val="0"/>
          <w:sz w:val="24"/>
        </w:rPr>
        <w:t>商务内容低于竞争性磋商采购文件要求时，竞标人应当如实写明“负偏离”，否则视为虚假应标</w:t>
      </w:r>
    </w:p>
    <w:p>
      <w:pPr>
        <w:spacing w:line="400" w:lineRule="exact"/>
        <w:ind w:firstLine="480" w:firstLineChars="200"/>
        <w:rPr>
          <w:rFonts w:ascii="宋体" w:hAnsi="宋体" w:cs="仿宋_GB2312"/>
          <w:color w:val="auto"/>
          <w:kern w:val="0"/>
          <w:sz w:val="24"/>
        </w:rPr>
      </w:pPr>
      <w:r>
        <w:rPr>
          <w:rFonts w:hint="eastAsia" w:ascii="宋体" w:hAnsi="宋体" w:cs="仿宋_GB2312"/>
          <w:color w:val="auto"/>
          <w:kern w:val="0"/>
          <w:sz w:val="24"/>
        </w:rPr>
        <w:t>3.表格内容均需按要求填写并盖章，不得留空，否则按竞标无效处理。</w:t>
      </w:r>
    </w:p>
    <w:p>
      <w:pPr>
        <w:spacing w:line="400" w:lineRule="exact"/>
        <w:ind w:firstLine="480"/>
        <w:rPr>
          <w:rFonts w:ascii="宋体" w:hAnsi="宋体" w:cs="仿宋_GB2312"/>
          <w:color w:val="auto"/>
          <w:kern w:val="0"/>
          <w:sz w:val="24"/>
        </w:rPr>
      </w:pPr>
    </w:p>
    <w:p>
      <w:pPr>
        <w:pStyle w:val="24"/>
        <w:spacing w:line="360" w:lineRule="exact"/>
        <w:rPr>
          <w:rFonts w:hAnsi="宋体"/>
          <w:color w:val="auto"/>
        </w:rPr>
      </w:pPr>
    </w:p>
    <w:p>
      <w:pPr>
        <w:rPr>
          <w:rFonts w:ascii="宋体" w:hAnsi="宋体"/>
          <w:color w:val="auto"/>
        </w:rPr>
      </w:pPr>
    </w:p>
    <w:p>
      <w:pPr>
        <w:spacing w:line="360" w:lineRule="auto"/>
        <w:ind w:right="480"/>
        <w:contextualSpacing/>
        <w:jc w:val="center"/>
        <w:rPr>
          <w:rFonts w:ascii="宋体" w:hAnsi="宋体" w:cs="宋体"/>
          <w:color w:val="auto"/>
          <w:sz w:val="24"/>
          <w:u w:val="single"/>
        </w:rPr>
      </w:pPr>
      <w:r>
        <w:rPr>
          <w:rFonts w:hint="eastAsia" w:ascii="宋体" w:hAnsi="宋体"/>
          <w:color w:val="auto"/>
        </w:rPr>
        <w:t xml:space="preserve"> </w:t>
      </w:r>
      <w:r>
        <w:rPr>
          <w:rFonts w:hint="eastAsia" w:ascii="宋体" w:hAnsi="宋体" w:cs="宋体"/>
          <w:color w:val="auto"/>
          <w:sz w:val="24"/>
        </w:rPr>
        <w:t>法定代表人或者委托代理人</w:t>
      </w:r>
      <w:r>
        <w:rPr>
          <w:rFonts w:hint="eastAsia" w:ascii="宋体" w:hAnsi="宋体"/>
          <w:color w:val="auto"/>
          <w:sz w:val="24"/>
        </w:rPr>
        <w:t>（签字）</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 xml:space="preserve">磋商人名称（盖章）： </w:t>
      </w:r>
      <w:r>
        <w:rPr>
          <w:rFonts w:hint="eastAsia" w:ascii="宋体" w:hAnsi="宋体" w:cs="宋体"/>
          <w:color w:val="auto"/>
          <w:sz w:val="24"/>
          <w:u w:val="single"/>
        </w:rPr>
        <w:t xml:space="preserve">                              </w:t>
      </w: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pacing w:line="360" w:lineRule="auto"/>
        <w:ind w:firstLine="560" w:firstLineChars="200"/>
        <w:contextualSpacing/>
        <w:jc w:val="right"/>
        <w:rPr>
          <w:rFonts w:ascii="宋体" w:hAnsi="宋体" w:cs="宋体"/>
          <w:color w:val="auto"/>
          <w:sz w:val="28"/>
          <w:szCs w:val="28"/>
        </w:rPr>
      </w:pPr>
    </w:p>
    <w:p>
      <w:pPr>
        <w:rPr>
          <w:rFonts w:ascii="宋体" w:hAnsi="宋体"/>
          <w:bCs/>
          <w:color w:val="auto"/>
        </w:rPr>
      </w:pPr>
      <w:r>
        <w:rPr>
          <w:rFonts w:ascii="宋体" w:hAnsi="宋体"/>
          <w:bCs/>
          <w:color w:val="auto"/>
        </w:rPr>
        <w:br w:type="page"/>
      </w:r>
    </w:p>
    <w:p>
      <w:pPr>
        <w:pStyle w:val="29"/>
        <w:spacing w:line="360" w:lineRule="auto"/>
        <w:jc w:val="center"/>
        <w:rPr>
          <w:rFonts w:ascii="宋体" w:hAnsi="宋体"/>
          <w:color w:val="auto"/>
          <w:sz w:val="24"/>
        </w:rPr>
      </w:pPr>
      <w:r>
        <w:rPr>
          <w:rFonts w:hint="eastAsia" w:ascii="宋体" w:hAnsi="宋体"/>
          <w:b/>
          <w:color w:val="auto"/>
          <w:sz w:val="28"/>
          <w:szCs w:val="28"/>
        </w:rPr>
        <w:t>②技术响应、偏离情况说明表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97"/>
        <w:gridCol w:w="771"/>
        <w:gridCol w:w="1654"/>
        <w:gridCol w:w="308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项号</w:t>
            </w:r>
          </w:p>
        </w:tc>
        <w:tc>
          <w:tcPr>
            <w:tcW w:w="36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竞争性磋商采购文件需求</w:t>
            </w:r>
          </w:p>
        </w:tc>
        <w:tc>
          <w:tcPr>
            <w:tcW w:w="3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响应文件承诺</w:t>
            </w:r>
          </w:p>
        </w:tc>
        <w:tc>
          <w:tcPr>
            <w:tcW w:w="11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auto"/>
              </w:rPr>
            </w:pP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数量</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技术参数要求</w:t>
            </w:r>
          </w:p>
        </w:tc>
        <w:tc>
          <w:tcPr>
            <w:tcW w:w="3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货物技术参数</w:t>
            </w: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2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一</w:t>
            </w:r>
          </w:p>
        </w:tc>
        <w:tc>
          <w:tcPr>
            <w:tcW w:w="119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77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1  ……</w:t>
            </w:r>
          </w:p>
        </w:tc>
        <w:tc>
          <w:tcPr>
            <w:tcW w:w="308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1  ……</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2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1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77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2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3087"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2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2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1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77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3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3087"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3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2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19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77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3087" w:type="dxa"/>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2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1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77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 xml:space="preserve">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3087"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 xml:space="preserve"> ……</w:t>
            </w:r>
          </w:p>
          <w:p>
            <w:pPr>
              <w:keepNext w:val="0"/>
              <w:keepLines w:val="0"/>
              <w:suppressLineNumbers w:val="0"/>
              <w:snapToGrid w:val="0"/>
              <w:spacing w:before="0" w:beforeAutospacing="0" w:after="0" w:afterAutospacing="0"/>
              <w:ind w:left="0" w:right="0"/>
              <w:rPr>
                <w:rFonts w:hint="default" w:ascii="宋体" w:hAnsi="宋体"/>
                <w:color w:val="auto"/>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2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19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77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3087" w:type="dxa"/>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olor w:val="auto"/>
              </w:rPr>
            </w:pPr>
            <w:r>
              <w:rPr>
                <w:rFonts w:hint="eastAsia" w:ascii="宋体" w:hAnsi="宋体"/>
                <w:color w:val="auto"/>
              </w:rPr>
              <w:t>……</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p>
        </w:tc>
      </w:tr>
    </w:tbl>
    <w:p>
      <w:pPr>
        <w:spacing w:line="360" w:lineRule="auto"/>
        <w:contextualSpacing/>
        <w:rPr>
          <w:rFonts w:ascii="宋体" w:hAnsi="宋体"/>
          <w:color w:val="auto"/>
          <w:kern w:val="0"/>
          <w:sz w:val="24"/>
          <w:szCs w:val="24"/>
        </w:rPr>
      </w:pPr>
      <w:r>
        <w:rPr>
          <w:rFonts w:hint="eastAsia" w:ascii="宋体" w:hAnsi="宋体"/>
          <w:color w:val="auto"/>
          <w:kern w:val="0"/>
          <w:sz w:val="24"/>
          <w:szCs w:val="24"/>
        </w:rPr>
        <w:t>注：</w:t>
      </w:r>
    </w:p>
    <w:p>
      <w:pPr>
        <w:spacing w:line="400" w:lineRule="exact"/>
        <w:ind w:firstLine="480" w:firstLineChars="200"/>
        <w:rPr>
          <w:rFonts w:ascii="宋体" w:hAnsi="宋体" w:cs="仿宋_GB2312"/>
          <w:color w:val="auto"/>
          <w:kern w:val="0"/>
          <w:sz w:val="24"/>
          <w:szCs w:val="24"/>
        </w:rPr>
      </w:pPr>
      <w:r>
        <w:rPr>
          <w:rFonts w:hint="eastAsia" w:ascii="宋体" w:hAnsi="宋体" w:cs="仿宋_GB2312"/>
          <w:color w:val="auto"/>
          <w:kern w:val="0"/>
          <w:sz w:val="24"/>
          <w:szCs w:val="24"/>
        </w:rPr>
        <w:t>1.说明：应对照采购文件“第三章 采购需求”中的技术参数条款逐条作出明确响应，并作出偏离说明。</w:t>
      </w:r>
    </w:p>
    <w:p>
      <w:pPr>
        <w:spacing w:line="400" w:lineRule="exact"/>
        <w:ind w:firstLine="480" w:firstLineChars="200"/>
        <w:rPr>
          <w:rFonts w:ascii="宋体" w:hAnsi="宋体" w:cs="仿宋_GB2312"/>
          <w:color w:val="auto"/>
          <w:kern w:val="0"/>
          <w:sz w:val="24"/>
          <w:szCs w:val="24"/>
        </w:rPr>
      </w:pPr>
      <w:r>
        <w:rPr>
          <w:rFonts w:hint="eastAsia" w:ascii="宋体" w:hAnsi="宋体" w:cs="仿宋_GB2312"/>
          <w:color w:val="auto"/>
          <w:kern w:val="0"/>
          <w:sz w:val="24"/>
          <w:szCs w:val="24"/>
        </w:rPr>
        <w:t>2.供应商应根据自身的承诺，对照采购文件要求，在“偏离说明”中注明“正偏离”、“负偏离”或者“无偏离”。既不属于“正偏离”也不属于“负偏离”即为“无偏离”。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ind w:firstLine="480" w:firstLineChars="200"/>
        <w:rPr>
          <w:rFonts w:ascii="宋体" w:hAnsi="宋体" w:cs="仿宋_GB2312"/>
          <w:color w:val="auto"/>
          <w:kern w:val="0"/>
          <w:sz w:val="24"/>
          <w:szCs w:val="24"/>
        </w:rPr>
      </w:pPr>
      <w:r>
        <w:rPr>
          <w:rFonts w:hint="eastAsia" w:ascii="宋体" w:hAnsi="宋体" w:cs="仿宋_GB2312"/>
          <w:color w:val="auto"/>
          <w:kern w:val="0"/>
          <w:sz w:val="24"/>
          <w:szCs w:val="24"/>
        </w:rPr>
        <w:t>3.表格内容均需按要求填写并盖章，不得留空，否则按竞标无效处理。</w:t>
      </w:r>
    </w:p>
    <w:p>
      <w:pPr>
        <w:spacing w:line="400" w:lineRule="exact"/>
        <w:ind w:firstLine="480" w:firstLineChars="200"/>
        <w:rPr>
          <w:rFonts w:ascii="宋体" w:hAnsi="宋体" w:eastAsia="仿宋_GB2312" w:cs="仿宋_GB2312"/>
          <w:color w:val="auto"/>
          <w:kern w:val="0"/>
          <w:sz w:val="24"/>
          <w:szCs w:val="24"/>
        </w:rPr>
      </w:pPr>
      <w:r>
        <w:rPr>
          <w:rFonts w:hint="eastAsia" w:ascii="宋体" w:hAnsi="宋体" w:cs="仿宋_GB2312"/>
          <w:color w:val="auto"/>
          <w:kern w:val="0"/>
          <w:sz w:val="24"/>
          <w:szCs w:val="24"/>
        </w:rPr>
        <w:t>4. 如技术偏离表中的竞标响应与佐证材料不一致的，以佐证材料为准。</w:t>
      </w:r>
    </w:p>
    <w:p>
      <w:pPr>
        <w:pStyle w:val="24"/>
        <w:spacing w:line="360" w:lineRule="exact"/>
        <w:rPr>
          <w:rFonts w:hAnsi="宋体"/>
          <w:color w:val="auto"/>
        </w:rPr>
      </w:pPr>
    </w:p>
    <w:p>
      <w:pPr>
        <w:rPr>
          <w:rFonts w:ascii="宋体" w:hAnsi="宋体"/>
          <w:color w:val="auto"/>
        </w:rPr>
      </w:pPr>
    </w:p>
    <w:p>
      <w:pPr>
        <w:snapToGrid w:val="0"/>
        <w:ind w:left="2310" w:leftChars="1100" w:firstLine="960" w:firstLineChars="400"/>
        <w:jc w:val="left"/>
        <w:rPr>
          <w:rFonts w:ascii="宋体" w:hAnsi="宋体" w:cs="宋体"/>
          <w:color w:val="auto"/>
          <w:kern w:val="0"/>
          <w:sz w:val="24"/>
          <w:szCs w:val="24"/>
        </w:rPr>
      </w:pPr>
      <w:r>
        <w:rPr>
          <w:rFonts w:hint="eastAsia" w:ascii="宋体" w:hAnsi="宋体" w:cs="宋体"/>
          <w:color w:val="auto"/>
          <w:kern w:val="0"/>
          <w:sz w:val="24"/>
          <w:szCs w:val="24"/>
        </w:rPr>
        <w:t>法定代表人或法定代表人授权代表（签字）：</w:t>
      </w:r>
    </w:p>
    <w:p>
      <w:pPr>
        <w:snapToGrid w:val="0"/>
        <w:ind w:left="3360" w:leftChars="1600"/>
        <w:jc w:val="left"/>
        <w:rPr>
          <w:rFonts w:ascii="宋体" w:hAnsi="宋体" w:cs="宋体"/>
          <w:color w:val="auto"/>
          <w:kern w:val="0"/>
          <w:sz w:val="24"/>
          <w:szCs w:val="24"/>
        </w:rPr>
      </w:pPr>
    </w:p>
    <w:p>
      <w:pPr>
        <w:snapToGrid w:val="0"/>
        <w:ind w:left="3360" w:leftChars="1600"/>
        <w:jc w:val="left"/>
        <w:rPr>
          <w:rFonts w:ascii="宋体" w:hAnsi="宋体" w:cs="宋体"/>
          <w:color w:val="auto"/>
          <w:kern w:val="0"/>
          <w:sz w:val="24"/>
          <w:szCs w:val="24"/>
        </w:rPr>
      </w:pPr>
      <w:r>
        <w:rPr>
          <w:rFonts w:hint="eastAsia" w:ascii="宋体" w:hAnsi="宋体" w:cs="宋体"/>
          <w:color w:val="auto"/>
          <w:kern w:val="0"/>
          <w:sz w:val="24"/>
          <w:szCs w:val="24"/>
        </w:rPr>
        <w:t>磋商供应商名称（盖章）：</w:t>
      </w:r>
    </w:p>
    <w:p>
      <w:pPr>
        <w:snapToGrid w:val="0"/>
        <w:ind w:left="3780" w:leftChars="1800"/>
        <w:rPr>
          <w:rFonts w:ascii="宋体" w:hAnsi="宋体" w:cs="宋体"/>
          <w:color w:val="auto"/>
          <w:kern w:val="0"/>
          <w:sz w:val="24"/>
          <w:szCs w:val="24"/>
        </w:rPr>
      </w:pPr>
    </w:p>
    <w:p>
      <w:pPr>
        <w:snapToGrid w:val="0"/>
        <w:ind w:left="3780" w:leftChars="1800"/>
        <w:rPr>
          <w:rFonts w:ascii="宋体" w:hAnsi="宋体" w:cs="宋体"/>
          <w:color w:val="auto"/>
          <w:kern w:val="0"/>
          <w:sz w:val="24"/>
          <w:szCs w:val="24"/>
        </w:rPr>
      </w:pPr>
      <w:r>
        <w:rPr>
          <w:rFonts w:hint="eastAsia" w:ascii="宋体" w:hAnsi="宋体" w:cs="宋体"/>
          <w:color w:val="auto"/>
          <w:kern w:val="0"/>
          <w:sz w:val="24"/>
          <w:szCs w:val="24"/>
        </w:rPr>
        <w:t>日期：      年   月   日</w:t>
      </w:r>
    </w:p>
    <w:p>
      <w:pPr>
        <w:rPr>
          <w:rFonts w:ascii="宋体" w:hAnsi="宋体" w:cs="宋体"/>
          <w:color w:val="auto"/>
          <w:kern w:val="0"/>
          <w:sz w:val="24"/>
          <w:szCs w:val="24"/>
        </w:rPr>
      </w:pPr>
      <w:r>
        <w:rPr>
          <w:rFonts w:hint="eastAsia" w:ascii="宋体" w:hAnsi="宋体" w:cs="宋体"/>
          <w:color w:val="auto"/>
          <w:kern w:val="0"/>
          <w:sz w:val="24"/>
          <w:szCs w:val="24"/>
        </w:rPr>
        <w:br w:type="page"/>
      </w:r>
    </w:p>
    <w:p>
      <w:pPr>
        <w:pageBreakBefore/>
        <w:spacing w:line="300" w:lineRule="auto"/>
        <w:rPr>
          <w:rFonts w:ascii="宋体" w:hAnsi="宋体" w:cs="宋体"/>
          <w:color w:val="auto"/>
        </w:rPr>
      </w:pPr>
      <w:r>
        <w:rPr>
          <w:rFonts w:hint="eastAsia" w:ascii="宋体" w:hAnsi="宋体" w:cs="宋体"/>
          <w:color w:val="auto"/>
        </w:rPr>
        <w:t>附件六</w:t>
      </w:r>
    </w:p>
    <w:p>
      <w:pPr>
        <w:pStyle w:val="29"/>
        <w:spacing w:line="360" w:lineRule="auto"/>
        <w:jc w:val="center"/>
        <w:rPr>
          <w:rFonts w:ascii="宋体" w:hAnsi="宋体"/>
          <w:b/>
          <w:color w:val="auto"/>
          <w:sz w:val="28"/>
          <w:szCs w:val="28"/>
        </w:rPr>
      </w:pPr>
      <w:r>
        <w:rPr>
          <w:rFonts w:hint="eastAsia" w:ascii="宋体" w:hAnsi="宋体"/>
          <w:b/>
          <w:color w:val="auto"/>
          <w:sz w:val="28"/>
          <w:szCs w:val="28"/>
        </w:rPr>
        <w:t>货物配置清单</w:t>
      </w:r>
    </w:p>
    <w:p>
      <w:pPr>
        <w:spacing w:line="300" w:lineRule="auto"/>
        <w:rPr>
          <w:rFonts w:ascii="宋体" w:hAnsi="宋体"/>
          <w:color w:val="auto"/>
        </w:rPr>
      </w:pPr>
    </w:p>
    <w:tbl>
      <w:tblPr>
        <w:tblStyle w:val="4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1340"/>
        <w:gridCol w:w="865"/>
        <w:gridCol w:w="963"/>
        <w:gridCol w:w="1922"/>
        <w:gridCol w:w="1340"/>
        <w:gridCol w:w="793"/>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r>
              <w:rPr>
                <w:rFonts w:hint="eastAsia" w:ascii="宋体" w:hAnsi="宋体"/>
                <w:color w:val="auto"/>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r>
              <w:rPr>
                <w:rFonts w:hint="eastAsia" w:ascii="宋体" w:hAnsi="宋体"/>
                <w:color w:val="auto"/>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r>
              <w:rPr>
                <w:rFonts w:hint="eastAsia" w:ascii="宋体" w:hAnsi="宋体"/>
                <w:color w:val="auto"/>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r>
              <w:rPr>
                <w:rFonts w:hint="eastAsia" w:ascii="宋体" w:hAnsi="宋体"/>
                <w:color w:val="auto"/>
                <w:sz w:val="24"/>
              </w:rPr>
              <w:t>品牌</w:t>
            </w:r>
          </w:p>
        </w:tc>
        <w:tc>
          <w:tcPr>
            <w:tcW w:w="99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p>
            <w:pPr>
              <w:keepNext w:val="0"/>
              <w:keepLines w:val="0"/>
              <w:suppressLineNumbers w:val="0"/>
              <w:snapToGrid w:val="0"/>
              <w:spacing w:before="50" w:beforeAutospacing="0" w:after="50" w:afterAutospacing="0"/>
              <w:ind w:left="0" w:right="0"/>
              <w:jc w:val="center"/>
              <w:rPr>
                <w:rFonts w:hint="default" w:ascii="宋体" w:hAnsi="宋体"/>
                <w:color w:val="auto"/>
                <w:sz w:val="24"/>
              </w:rPr>
            </w:pPr>
            <w:r>
              <w:rPr>
                <w:rFonts w:hint="eastAsia" w:ascii="宋体" w:hAnsi="宋体"/>
                <w:color w:val="auto"/>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r>
              <w:rPr>
                <w:rFonts w:hint="eastAsia" w:ascii="宋体" w:hAnsi="宋体"/>
                <w:color w:val="auto"/>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r>
              <w:rPr>
                <w:rFonts w:hint="eastAsia" w:ascii="宋体" w:hAnsi="宋体"/>
                <w:color w:val="auto"/>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r>
              <w:rPr>
                <w:rFonts w:hint="eastAsia" w:ascii="宋体" w:hAnsi="宋体"/>
                <w:color w:val="auto"/>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w:t>
      </w:r>
    </w:p>
    <w:p>
      <w:pPr>
        <w:tabs>
          <w:tab w:val="left" w:pos="1065"/>
        </w:tabs>
        <w:adjustRightInd w:val="0"/>
        <w:spacing w:line="360" w:lineRule="auto"/>
        <w:rPr>
          <w:rFonts w:ascii="宋体" w:hAnsi="宋体" w:cs="仿宋_GB2312"/>
          <w:color w:val="auto"/>
          <w:sz w:val="24"/>
        </w:rPr>
      </w:pPr>
      <w:r>
        <w:rPr>
          <w:rFonts w:hint="eastAsia" w:ascii="宋体" w:hAnsi="宋体"/>
          <w:b/>
          <w:bCs/>
          <w:color w:val="auto"/>
          <w:sz w:val="24"/>
        </w:rPr>
        <w:t>以上性能配置清单中“货物名称、数量及单位、品牌、规格型号、制造商、原产地、参数性能、指标及配置”必须如实填写完整，填写有缺漏的，响应文件作无效处理</w:t>
      </w:r>
      <w:r>
        <w:rPr>
          <w:rFonts w:hint="eastAsia" w:ascii="宋体" w:hAnsi="宋体"/>
          <w:b/>
          <w:color w:val="auto"/>
          <w:sz w:val="24"/>
        </w:rPr>
        <w:t>。</w:t>
      </w:r>
      <w:r>
        <w:rPr>
          <w:rFonts w:hint="eastAsia" w:ascii="宋体" w:hAnsi="宋体"/>
          <w:color w:val="auto"/>
          <w:sz w:val="24"/>
        </w:rPr>
        <w:t>货物名称、数量及单位必须与“采购需求”一致，</w:t>
      </w:r>
      <w:r>
        <w:rPr>
          <w:rFonts w:hint="eastAsia" w:ascii="宋体" w:hAnsi="宋体"/>
          <w:bCs/>
          <w:color w:val="auto"/>
          <w:sz w:val="24"/>
        </w:rPr>
        <w:t>否则响应文件作无效处理</w:t>
      </w:r>
      <w:r>
        <w:rPr>
          <w:rFonts w:hint="eastAsia" w:ascii="宋体" w:hAnsi="宋体"/>
          <w:b/>
          <w:color w:val="auto"/>
          <w:sz w:val="24"/>
        </w:rPr>
        <w:t>。</w:t>
      </w:r>
    </w:p>
    <w:p>
      <w:pPr>
        <w:adjustRightInd w:val="0"/>
        <w:spacing w:line="360" w:lineRule="auto"/>
        <w:jc w:val="left"/>
        <w:rPr>
          <w:rFonts w:ascii="宋体" w:hAnsi="宋体" w:cs="仿宋_GB2312"/>
          <w:color w:val="auto"/>
          <w:sz w:val="24"/>
        </w:rPr>
      </w:pPr>
    </w:p>
    <w:p>
      <w:pPr>
        <w:spacing w:line="360" w:lineRule="auto"/>
        <w:ind w:right="480"/>
        <w:contextualSpacing/>
        <w:jc w:val="center"/>
        <w:rPr>
          <w:rFonts w:ascii="宋体" w:hAnsi="宋体" w:cs="宋体"/>
          <w:color w:val="auto"/>
          <w:sz w:val="24"/>
          <w:u w:val="single"/>
        </w:rPr>
      </w:pPr>
      <w:r>
        <w:rPr>
          <w:rFonts w:hint="eastAsia" w:ascii="宋体" w:hAnsi="宋体"/>
          <w:color w:val="auto"/>
        </w:rPr>
        <w:t xml:space="preserve"> </w:t>
      </w:r>
      <w:r>
        <w:rPr>
          <w:rFonts w:hint="eastAsia" w:ascii="宋体" w:hAnsi="宋体" w:cs="宋体"/>
          <w:color w:val="auto"/>
          <w:sz w:val="24"/>
        </w:rPr>
        <w:t>法定代表人或者委托代理人</w:t>
      </w:r>
      <w:r>
        <w:rPr>
          <w:rFonts w:hint="eastAsia" w:ascii="宋体" w:hAnsi="宋体"/>
          <w:color w:val="auto"/>
          <w:sz w:val="24"/>
        </w:rPr>
        <w:t>（签字）</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 xml:space="preserve">磋商人名称（盖章）： </w:t>
      </w:r>
      <w:r>
        <w:rPr>
          <w:rFonts w:hint="eastAsia" w:ascii="宋体" w:hAnsi="宋体" w:cs="宋体"/>
          <w:color w:val="auto"/>
          <w:sz w:val="24"/>
          <w:u w:val="single"/>
        </w:rPr>
        <w:t xml:space="preserve">                              </w:t>
      </w: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pStyle w:val="3"/>
        <w:ind w:firstLine="480"/>
        <w:rPr>
          <w:color w:val="auto"/>
        </w:rPr>
      </w:pPr>
    </w:p>
    <w:p>
      <w:pPr>
        <w:pStyle w:val="2"/>
        <w:rPr>
          <w:color w:val="auto"/>
        </w:rPr>
      </w:pPr>
    </w:p>
    <w:p>
      <w:pPr>
        <w:rPr>
          <w:color w:val="auto"/>
        </w:rPr>
      </w:pPr>
      <w:r>
        <w:rPr>
          <w:rFonts w:hint="eastAsia" w:ascii="宋体" w:hAnsi="宋体"/>
          <w:bCs/>
          <w:color w:val="auto"/>
        </w:rPr>
        <w:br w:type="page"/>
      </w:r>
    </w:p>
    <w:p>
      <w:pPr>
        <w:pageBreakBefore/>
        <w:spacing w:line="300" w:lineRule="auto"/>
        <w:rPr>
          <w:rFonts w:ascii="宋体" w:hAnsi="宋体" w:cs="宋体"/>
          <w:color w:val="auto"/>
        </w:rPr>
      </w:pPr>
      <w:r>
        <w:rPr>
          <w:rFonts w:hint="eastAsia" w:ascii="宋体" w:hAnsi="宋体" w:cs="宋体"/>
          <w:color w:val="auto"/>
        </w:rPr>
        <w:t>附件七</w:t>
      </w:r>
    </w:p>
    <w:p>
      <w:pPr>
        <w:adjustRightInd w:val="0"/>
        <w:snapToGrid w:val="0"/>
        <w:spacing w:line="300" w:lineRule="auto"/>
        <w:jc w:val="center"/>
        <w:rPr>
          <w:rFonts w:ascii="宋体" w:hAnsi="宋体"/>
          <w:b/>
          <w:color w:val="auto"/>
        </w:rPr>
      </w:pPr>
      <w:r>
        <w:rPr>
          <w:rFonts w:hint="eastAsia" w:ascii="宋体" w:hAnsi="宋体"/>
          <w:b/>
          <w:color w:val="auto"/>
        </w:rPr>
        <w:t>法定代表人(负责人)授权委托书</w:t>
      </w:r>
    </w:p>
    <w:p>
      <w:pPr>
        <w:adjustRightInd w:val="0"/>
        <w:snapToGrid w:val="0"/>
        <w:spacing w:line="520" w:lineRule="exact"/>
        <w:rPr>
          <w:rFonts w:ascii="宋体" w:hAnsi="宋体"/>
          <w:color w:val="auto"/>
        </w:rPr>
      </w:pPr>
    </w:p>
    <w:p>
      <w:pPr>
        <w:adjustRightInd w:val="0"/>
        <w:snapToGrid w:val="0"/>
        <w:spacing w:line="520" w:lineRule="exact"/>
        <w:rPr>
          <w:rFonts w:ascii="宋体" w:hAnsi="宋体"/>
          <w:color w:val="auto"/>
        </w:rPr>
      </w:pPr>
    </w:p>
    <w:p>
      <w:pPr>
        <w:spacing w:line="400" w:lineRule="exact"/>
        <w:rPr>
          <w:rFonts w:ascii="宋体" w:hAnsi="宋体"/>
          <w:color w:val="auto"/>
        </w:rPr>
      </w:pPr>
      <w:r>
        <w:rPr>
          <w:rFonts w:hint="eastAsia"/>
          <w:color w:val="auto"/>
          <w:u w:val="single"/>
        </w:rPr>
        <w:t>（采购代理机构名称）</w:t>
      </w:r>
      <w:r>
        <w:rPr>
          <w:rFonts w:hint="eastAsia" w:ascii="宋体" w:hAnsi="宋体"/>
          <w:color w:val="auto"/>
        </w:rPr>
        <w:t>：</w:t>
      </w:r>
    </w:p>
    <w:p>
      <w:pPr>
        <w:spacing w:line="520" w:lineRule="exact"/>
        <w:ind w:firstLine="420" w:firstLineChars="200"/>
        <w:rPr>
          <w:rFonts w:ascii="宋体" w:hAnsi="宋体"/>
          <w:color w:val="auto"/>
        </w:rPr>
      </w:pPr>
      <w:r>
        <w:rPr>
          <w:rFonts w:hint="eastAsia" w:ascii="宋体" w:hAnsi="宋体"/>
          <w:color w:val="auto"/>
        </w:rPr>
        <w:t>兹授权</w:t>
      </w:r>
      <w:r>
        <w:rPr>
          <w:rFonts w:hint="eastAsia" w:ascii="宋体" w:hAnsi="宋体"/>
          <w:color w:val="auto"/>
          <w:u w:val="single"/>
        </w:rPr>
        <w:t xml:space="preserve">    </w:t>
      </w:r>
      <w:r>
        <w:rPr>
          <w:rFonts w:hint="eastAsia" w:ascii="宋体" w:hAnsi="宋体"/>
          <w:color w:val="auto"/>
        </w:rPr>
        <w:t>同志为我公司参加贵单位组织的</w:t>
      </w:r>
      <w:r>
        <w:rPr>
          <w:rFonts w:hint="eastAsia" w:ascii="宋体" w:hAnsi="宋体"/>
          <w:color w:val="auto"/>
          <w:u w:val="single"/>
        </w:rPr>
        <w:t xml:space="preserve">  （项目名称、项目编号）竞争性磋商</w:t>
      </w:r>
      <w:r>
        <w:rPr>
          <w:rFonts w:hint="eastAsia" w:ascii="宋体" w:hAnsi="宋体"/>
          <w:color w:val="auto"/>
        </w:rPr>
        <w:t>采购活动的委托代理人，全权代表我公司处理在该项目活动中的一切事宜。代理期限从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 xml:space="preserve">日止。 </w:t>
      </w:r>
    </w:p>
    <w:p>
      <w:pPr>
        <w:spacing w:line="520" w:lineRule="exact"/>
        <w:rPr>
          <w:rFonts w:ascii="宋体" w:hAnsi="宋体"/>
          <w:color w:val="auto"/>
        </w:rPr>
      </w:pPr>
    </w:p>
    <w:p>
      <w:pPr>
        <w:spacing w:line="520" w:lineRule="exact"/>
        <w:rPr>
          <w:rFonts w:ascii="宋体" w:hAnsi="宋体"/>
          <w:color w:val="auto"/>
        </w:rPr>
      </w:pPr>
      <w:r>
        <w:rPr>
          <w:rFonts w:hint="eastAsia" w:ascii="宋体" w:hAnsi="宋体"/>
          <w:color w:val="auto"/>
        </w:rPr>
        <w:t>供应商（盖章）：</w:t>
      </w:r>
      <w:r>
        <w:rPr>
          <w:rFonts w:hint="eastAsia" w:ascii="宋体" w:hAnsi="宋体"/>
          <w:color w:val="auto"/>
          <w:u w:val="single"/>
        </w:rPr>
        <w:t xml:space="preserve">               </w:t>
      </w:r>
    </w:p>
    <w:p>
      <w:pPr>
        <w:spacing w:line="520" w:lineRule="exact"/>
        <w:rPr>
          <w:rFonts w:ascii="宋体" w:hAnsi="宋体"/>
          <w:color w:val="auto"/>
        </w:rPr>
      </w:pPr>
      <w:r>
        <w:rPr>
          <w:rFonts w:hint="eastAsia" w:ascii="宋体" w:hAnsi="宋体"/>
          <w:color w:val="auto"/>
        </w:rPr>
        <w:t>法定代表人（签字）：</w:t>
      </w:r>
      <w:r>
        <w:rPr>
          <w:rFonts w:hint="eastAsia" w:ascii="宋体" w:hAnsi="宋体"/>
          <w:color w:val="auto"/>
          <w:u w:val="single"/>
        </w:rPr>
        <w:t xml:space="preserve">       </w:t>
      </w:r>
    </w:p>
    <w:p>
      <w:pPr>
        <w:spacing w:line="520" w:lineRule="exact"/>
        <w:rPr>
          <w:rFonts w:ascii="宋体" w:hAnsi="宋体"/>
          <w:color w:val="auto"/>
        </w:rPr>
      </w:pPr>
      <w:r>
        <w:rPr>
          <w:rFonts w:hint="eastAsia" w:ascii="宋体" w:hAnsi="宋体"/>
          <w:color w:val="auto"/>
        </w:rPr>
        <w:t>签发日期：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520" w:lineRule="exact"/>
        <w:rPr>
          <w:rFonts w:ascii="宋体" w:hAnsi="宋体"/>
          <w:color w:val="auto"/>
        </w:rPr>
      </w:pPr>
    </w:p>
    <w:p>
      <w:pPr>
        <w:spacing w:line="520" w:lineRule="exact"/>
        <w:rPr>
          <w:rFonts w:ascii="宋体" w:hAnsi="宋体"/>
          <w:color w:val="auto"/>
        </w:rPr>
      </w:pPr>
      <w:r>
        <w:rPr>
          <w:rFonts w:hint="eastAsia" w:ascii="宋体" w:hAnsi="宋体"/>
          <w:color w:val="auto"/>
        </w:rPr>
        <w:t>附：委托代理人工作单位</w:t>
      </w:r>
      <w:r>
        <w:rPr>
          <w:rFonts w:hint="eastAsia" w:ascii="宋体" w:hAnsi="宋体"/>
          <w:color w:val="auto"/>
          <w:u w:val="single"/>
        </w:rPr>
        <w:t xml:space="preserve">               </w:t>
      </w:r>
    </w:p>
    <w:p>
      <w:pPr>
        <w:spacing w:line="520" w:lineRule="exact"/>
        <w:ind w:firstLine="420" w:firstLineChars="200"/>
        <w:rPr>
          <w:rFonts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p>
    <w:p>
      <w:pPr>
        <w:adjustRightInd w:val="0"/>
        <w:snapToGrid w:val="0"/>
        <w:spacing w:line="520" w:lineRule="exact"/>
        <w:ind w:firstLine="420" w:firstLineChars="200"/>
        <w:rPr>
          <w:rFonts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tbl>
      <w:tblPr>
        <w:tblStyle w:val="4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auto"/>
              <w:ind w:left="0" w:right="0"/>
              <w:rPr>
                <w:rFonts w:hint="default" w:ascii="宋体" w:hAnsi="宋体"/>
                <w:color w:val="auto"/>
              </w:rPr>
            </w:pPr>
            <w:r>
              <w:rPr>
                <w:rFonts w:hint="eastAsia" w:ascii="宋体" w:hAnsi="宋体"/>
                <w:color w:val="auto"/>
              </w:rPr>
              <w:t>粘贴委托代理人的正面及反面身份证复印件</w:t>
            </w:r>
          </w:p>
        </w:tc>
      </w:tr>
    </w:tbl>
    <w:p>
      <w:pPr>
        <w:pStyle w:val="4"/>
        <w:ind w:left="63" w:right="63"/>
        <w:rPr>
          <w:rFonts w:ascii="宋体" w:hAnsi="宋体" w:cs="宋体"/>
          <w:color w:val="auto"/>
        </w:rPr>
      </w:pPr>
    </w:p>
    <w:p>
      <w:pPr>
        <w:pStyle w:val="2"/>
        <w:rPr>
          <w:color w:val="auto"/>
        </w:rPr>
      </w:pPr>
    </w:p>
    <w:p>
      <w:pPr>
        <w:snapToGrid w:val="0"/>
        <w:spacing w:line="360" w:lineRule="exact"/>
        <w:ind w:firstLine="1134" w:firstLineChars="540"/>
        <w:jc w:val="left"/>
        <w:rPr>
          <w:rFonts w:ascii="宋体" w:hAnsi="宋体" w:cs="宋体"/>
          <w:color w:val="auto"/>
          <w:kern w:val="0"/>
        </w:rPr>
      </w:pPr>
    </w:p>
    <w:p>
      <w:pPr>
        <w:snapToGrid w:val="0"/>
        <w:spacing w:line="360" w:lineRule="exact"/>
        <w:ind w:firstLine="1134" w:firstLineChars="540"/>
        <w:jc w:val="left"/>
        <w:rPr>
          <w:rFonts w:ascii="宋体" w:hAnsi="宋体" w:cs="宋体"/>
          <w:color w:val="auto"/>
          <w:kern w:val="0"/>
        </w:rPr>
      </w:pPr>
    </w:p>
    <w:p>
      <w:pPr>
        <w:pageBreakBefore/>
        <w:autoSpaceDE w:val="0"/>
        <w:autoSpaceDN w:val="0"/>
        <w:spacing w:line="300" w:lineRule="auto"/>
        <w:ind w:left="482" w:hanging="482"/>
        <w:rPr>
          <w:rFonts w:ascii="宋体" w:hAnsi="宋体" w:cs="宋体"/>
          <w:color w:val="auto"/>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spacing w:line="300" w:lineRule="auto"/>
        <w:ind w:left="420" w:hanging="420"/>
        <w:jc w:val="center"/>
        <w:rPr>
          <w:rFonts w:ascii="宋体" w:hAnsi="宋体" w:cs="宋体"/>
          <w:b/>
          <w:color w:val="auto"/>
          <w:kern w:val="0"/>
        </w:rPr>
      </w:pPr>
    </w:p>
    <w:p>
      <w:pPr>
        <w:pStyle w:val="5"/>
        <w:jc w:val="center"/>
        <w:rPr>
          <w:rFonts w:ascii="宋体" w:hAnsi="宋体" w:cs="宋体"/>
          <w:color w:val="auto"/>
        </w:rPr>
      </w:pPr>
      <w:r>
        <w:rPr>
          <w:rFonts w:hint="eastAsia" w:ascii="宋体" w:hAnsi="宋体" w:cs="宋体"/>
          <w:color w:val="auto"/>
        </w:rPr>
        <w:t>第五章  合同主要条款</w:t>
      </w:r>
      <w:bookmarkEnd w:id="17"/>
      <w:bookmarkEnd w:id="18"/>
      <w:bookmarkEnd w:id="19"/>
    </w:p>
    <w:p>
      <w:pPr>
        <w:spacing w:line="300" w:lineRule="auto"/>
        <w:ind w:left="420" w:hanging="420"/>
        <w:jc w:val="center"/>
        <w:rPr>
          <w:rFonts w:ascii="宋体" w:hAnsi="宋体" w:cs="宋体"/>
          <w:b/>
          <w:color w:val="auto"/>
          <w:kern w:val="0"/>
        </w:rPr>
      </w:pPr>
    </w:p>
    <w:p>
      <w:pPr>
        <w:pStyle w:val="24"/>
        <w:pageBreakBefore/>
        <w:jc w:val="center"/>
        <w:rPr>
          <w:rFonts w:hAnsi="宋体" w:cs="宋体"/>
          <w:b/>
          <w:color w:val="auto"/>
          <w:kern w:val="0"/>
        </w:rPr>
      </w:pPr>
    </w:p>
    <w:p>
      <w:pPr>
        <w:pStyle w:val="24"/>
        <w:jc w:val="center"/>
        <w:rPr>
          <w:rFonts w:hAnsi="宋体" w:cs="宋体"/>
          <w:b/>
          <w:color w:val="auto"/>
          <w:kern w:val="0"/>
        </w:rPr>
      </w:pPr>
    </w:p>
    <w:p>
      <w:pPr>
        <w:pStyle w:val="24"/>
        <w:jc w:val="center"/>
        <w:rPr>
          <w:rFonts w:hAnsi="宋体" w:cs="宋体"/>
          <w:b/>
          <w:color w:val="auto"/>
          <w:kern w:val="0"/>
        </w:rPr>
      </w:pPr>
    </w:p>
    <w:p>
      <w:pPr>
        <w:pStyle w:val="24"/>
        <w:jc w:val="center"/>
        <w:rPr>
          <w:rFonts w:hAnsi="宋体" w:cs="宋体"/>
          <w:b/>
          <w:color w:val="auto"/>
          <w:kern w:val="0"/>
        </w:rPr>
      </w:pPr>
    </w:p>
    <w:p>
      <w:pPr>
        <w:pStyle w:val="24"/>
        <w:jc w:val="center"/>
        <w:rPr>
          <w:rFonts w:hAnsi="宋体" w:cs="宋体"/>
          <w:b/>
          <w:color w:val="auto"/>
          <w:kern w:val="0"/>
        </w:rPr>
      </w:pPr>
    </w:p>
    <w:p>
      <w:pPr>
        <w:pStyle w:val="24"/>
        <w:jc w:val="center"/>
        <w:rPr>
          <w:rFonts w:hAnsi="宋体" w:cs="宋体"/>
          <w:b/>
          <w:color w:val="auto"/>
          <w:sz w:val="52"/>
          <w:szCs w:val="52"/>
        </w:rPr>
      </w:pPr>
      <w:r>
        <w:rPr>
          <w:rFonts w:hint="eastAsia" w:hAnsi="宋体" w:cs="宋体"/>
          <w:b/>
          <w:color w:val="auto"/>
          <w:sz w:val="52"/>
          <w:szCs w:val="52"/>
        </w:rPr>
        <w:t>采购合同</w:t>
      </w:r>
    </w:p>
    <w:p>
      <w:pPr>
        <w:pStyle w:val="24"/>
        <w:rPr>
          <w:rFonts w:hAnsi="宋体" w:cs="宋体"/>
          <w:color w:val="auto"/>
        </w:rPr>
      </w:pPr>
    </w:p>
    <w:p>
      <w:pPr>
        <w:pStyle w:val="24"/>
        <w:rPr>
          <w:rFonts w:hAnsi="宋体" w:cs="宋体"/>
          <w:color w:val="auto"/>
        </w:rPr>
      </w:pPr>
    </w:p>
    <w:p>
      <w:pPr>
        <w:pStyle w:val="24"/>
        <w:rPr>
          <w:rFonts w:hAnsi="宋体" w:cs="宋体"/>
          <w:color w:val="auto"/>
        </w:rPr>
      </w:pPr>
    </w:p>
    <w:p>
      <w:pPr>
        <w:pStyle w:val="24"/>
        <w:rPr>
          <w:rFonts w:hAnsi="宋体" w:cs="宋体"/>
          <w:color w:val="auto"/>
        </w:rPr>
      </w:pPr>
    </w:p>
    <w:p>
      <w:pPr>
        <w:pStyle w:val="24"/>
        <w:rPr>
          <w:rFonts w:hAnsi="宋体" w:cs="宋体"/>
          <w:color w:val="auto"/>
        </w:rPr>
      </w:pPr>
    </w:p>
    <w:p>
      <w:pPr>
        <w:tabs>
          <w:tab w:val="left" w:pos="721"/>
          <w:tab w:val="left" w:pos="7920"/>
        </w:tabs>
        <w:snapToGrid w:val="0"/>
        <w:spacing w:line="360" w:lineRule="exact"/>
        <w:ind w:firstLine="1306" w:firstLineChars="500"/>
        <w:rPr>
          <w:rFonts w:ascii="宋体" w:hAnsi="宋体" w:cs="宋体"/>
          <w:b/>
          <w:color w:val="auto"/>
          <w:sz w:val="30"/>
          <w:szCs w:val="30"/>
        </w:rPr>
      </w:pPr>
      <w:r>
        <w:rPr>
          <w:rFonts w:hint="eastAsia" w:ascii="宋体" w:hAnsi="宋体" w:cs="宋体"/>
          <w:b/>
          <w:color w:val="auto"/>
          <w:spacing w:val="-20"/>
          <w:sz w:val="30"/>
          <w:szCs w:val="30"/>
        </w:rPr>
        <w:t>合 同 名 称：</w:t>
      </w:r>
      <w:r>
        <w:rPr>
          <w:rFonts w:hint="eastAsia" w:ascii="宋体" w:hAnsi="宋体" w:cs="宋体"/>
          <w:b/>
          <w:color w:val="auto"/>
          <w:sz w:val="30"/>
          <w:szCs w:val="30"/>
          <w:u w:val="single"/>
        </w:rPr>
        <w:t xml:space="preserve">                                 </w:t>
      </w:r>
    </w:p>
    <w:p>
      <w:pPr>
        <w:tabs>
          <w:tab w:val="left" w:pos="721"/>
        </w:tabs>
        <w:snapToGrid w:val="0"/>
        <w:spacing w:line="360" w:lineRule="exact"/>
        <w:rPr>
          <w:rFonts w:ascii="宋体" w:hAnsi="宋体" w:cs="宋体"/>
          <w:b/>
          <w:color w:val="auto"/>
          <w:spacing w:val="-20"/>
          <w:sz w:val="30"/>
          <w:szCs w:val="30"/>
        </w:rPr>
      </w:pPr>
    </w:p>
    <w:p>
      <w:pPr>
        <w:tabs>
          <w:tab w:val="left" w:pos="721"/>
        </w:tabs>
        <w:snapToGrid w:val="0"/>
        <w:spacing w:line="360" w:lineRule="exact"/>
        <w:ind w:firstLine="1306" w:firstLineChars="500"/>
        <w:rPr>
          <w:rFonts w:ascii="宋体" w:hAnsi="宋体" w:cs="宋体"/>
          <w:b/>
          <w:color w:val="auto"/>
          <w:spacing w:val="-20"/>
          <w:sz w:val="30"/>
          <w:szCs w:val="30"/>
        </w:rPr>
      </w:pPr>
    </w:p>
    <w:p>
      <w:pPr>
        <w:tabs>
          <w:tab w:val="left" w:pos="721"/>
        </w:tabs>
        <w:snapToGrid w:val="0"/>
        <w:spacing w:line="360" w:lineRule="exact"/>
        <w:ind w:firstLine="1306" w:firstLineChars="500"/>
        <w:rPr>
          <w:rFonts w:ascii="宋体" w:hAnsi="宋体" w:cs="宋体"/>
          <w:b/>
          <w:color w:val="auto"/>
          <w:sz w:val="30"/>
          <w:szCs w:val="30"/>
          <w:u w:val="single"/>
        </w:rPr>
      </w:pPr>
      <w:r>
        <w:rPr>
          <w:rFonts w:hint="eastAsia" w:ascii="宋体" w:hAnsi="宋体" w:cs="宋体"/>
          <w:b/>
          <w:color w:val="auto"/>
          <w:spacing w:val="-20"/>
          <w:sz w:val="30"/>
          <w:szCs w:val="30"/>
        </w:rPr>
        <w:t>合 同 编 号：</w:t>
      </w:r>
      <w:r>
        <w:rPr>
          <w:rFonts w:hint="eastAsia" w:ascii="宋体" w:hAnsi="宋体" w:cs="宋体"/>
          <w:b/>
          <w:color w:val="auto"/>
          <w:sz w:val="30"/>
          <w:szCs w:val="30"/>
          <w:u w:val="single"/>
        </w:rPr>
        <w:t xml:space="preserve">                                  </w:t>
      </w:r>
    </w:p>
    <w:p>
      <w:pPr>
        <w:tabs>
          <w:tab w:val="left" w:pos="721"/>
        </w:tabs>
        <w:snapToGrid w:val="0"/>
        <w:spacing w:line="360" w:lineRule="exact"/>
        <w:rPr>
          <w:rFonts w:ascii="宋体" w:hAnsi="宋体" w:cs="宋体"/>
          <w:b/>
          <w:color w:val="auto"/>
          <w:sz w:val="30"/>
          <w:szCs w:val="30"/>
        </w:rPr>
      </w:pPr>
    </w:p>
    <w:p>
      <w:pPr>
        <w:tabs>
          <w:tab w:val="left" w:pos="721"/>
        </w:tabs>
        <w:snapToGrid w:val="0"/>
        <w:spacing w:line="360" w:lineRule="exact"/>
        <w:ind w:firstLine="1355" w:firstLineChars="450"/>
        <w:rPr>
          <w:rFonts w:ascii="宋体" w:hAnsi="宋体" w:cs="宋体"/>
          <w:b/>
          <w:color w:val="auto"/>
          <w:sz w:val="30"/>
          <w:szCs w:val="30"/>
        </w:rPr>
      </w:pPr>
    </w:p>
    <w:p>
      <w:pPr>
        <w:tabs>
          <w:tab w:val="left" w:pos="721"/>
        </w:tabs>
        <w:snapToGrid w:val="0"/>
        <w:spacing w:line="360" w:lineRule="exact"/>
        <w:ind w:firstLine="1355" w:firstLineChars="450"/>
        <w:rPr>
          <w:rFonts w:ascii="宋体" w:hAnsi="宋体" w:cs="宋体"/>
          <w:b/>
          <w:color w:val="auto"/>
          <w:sz w:val="30"/>
          <w:szCs w:val="30"/>
          <w:u w:val="single"/>
        </w:rPr>
      </w:pPr>
      <w:r>
        <w:rPr>
          <w:rFonts w:hint="eastAsia" w:ascii="宋体" w:hAnsi="宋体" w:cs="宋体"/>
          <w:b/>
          <w:color w:val="auto"/>
          <w:sz w:val="30"/>
          <w:szCs w:val="30"/>
        </w:rPr>
        <w:t>采购单位（甲方）</w:t>
      </w:r>
      <w:r>
        <w:rPr>
          <w:rFonts w:hint="eastAsia" w:ascii="宋体" w:hAnsi="宋体" w:cs="宋体"/>
          <w:b/>
          <w:color w:val="auto"/>
          <w:sz w:val="30"/>
          <w:szCs w:val="30"/>
          <w:u w:val="single"/>
        </w:rPr>
        <w:t xml:space="preserve">广西中医药大学第一附属医院    </w:t>
      </w:r>
    </w:p>
    <w:p>
      <w:pPr>
        <w:tabs>
          <w:tab w:val="left" w:pos="721"/>
        </w:tabs>
        <w:snapToGrid w:val="0"/>
        <w:spacing w:beforeLines="100" w:line="360" w:lineRule="exact"/>
        <w:ind w:firstLine="1355" w:firstLineChars="450"/>
        <w:rPr>
          <w:rFonts w:ascii="宋体" w:hAnsi="宋体" w:cs="宋体"/>
          <w:b/>
          <w:color w:val="auto"/>
          <w:sz w:val="30"/>
          <w:szCs w:val="30"/>
        </w:rPr>
      </w:pPr>
      <w:r>
        <w:rPr>
          <w:rFonts w:hint="eastAsia" w:ascii="宋体" w:hAnsi="宋体" w:cs="宋体"/>
          <w:b/>
          <w:color w:val="auto"/>
          <w:sz w:val="30"/>
          <w:szCs w:val="30"/>
        </w:rPr>
        <w:t>住  所：</w:t>
      </w:r>
      <w:r>
        <w:rPr>
          <w:rFonts w:hint="eastAsia" w:ascii="宋体" w:hAnsi="宋体" w:cs="宋体"/>
          <w:b/>
          <w:color w:val="auto"/>
          <w:sz w:val="30"/>
          <w:szCs w:val="30"/>
          <w:u w:val="single"/>
        </w:rPr>
        <w:t xml:space="preserve">                                    </w:t>
      </w:r>
    </w:p>
    <w:p>
      <w:pPr>
        <w:tabs>
          <w:tab w:val="left" w:pos="721"/>
        </w:tabs>
        <w:snapToGrid w:val="0"/>
        <w:spacing w:line="360" w:lineRule="exact"/>
        <w:ind w:firstLine="1355" w:firstLineChars="450"/>
        <w:rPr>
          <w:rFonts w:ascii="宋体" w:hAnsi="宋体" w:cs="宋体"/>
          <w:b/>
          <w:color w:val="auto"/>
          <w:sz w:val="30"/>
          <w:szCs w:val="30"/>
        </w:rPr>
      </w:pPr>
    </w:p>
    <w:p>
      <w:pPr>
        <w:tabs>
          <w:tab w:val="left" w:pos="721"/>
        </w:tabs>
        <w:snapToGrid w:val="0"/>
        <w:spacing w:line="360" w:lineRule="exact"/>
        <w:ind w:firstLine="1355" w:firstLineChars="450"/>
        <w:rPr>
          <w:rFonts w:ascii="宋体" w:hAnsi="宋体" w:cs="宋体"/>
          <w:b/>
          <w:color w:val="auto"/>
          <w:sz w:val="30"/>
          <w:szCs w:val="30"/>
        </w:rPr>
      </w:pPr>
    </w:p>
    <w:p>
      <w:pPr>
        <w:tabs>
          <w:tab w:val="left" w:pos="721"/>
        </w:tabs>
        <w:snapToGrid w:val="0"/>
        <w:spacing w:line="360" w:lineRule="exact"/>
        <w:ind w:firstLine="1355" w:firstLineChars="450"/>
        <w:rPr>
          <w:rFonts w:ascii="宋体" w:hAnsi="宋体" w:cs="宋体"/>
          <w:b/>
          <w:color w:val="auto"/>
          <w:sz w:val="30"/>
          <w:szCs w:val="30"/>
          <w:u w:val="single"/>
        </w:rPr>
      </w:pPr>
      <w:r>
        <w:rPr>
          <w:rFonts w:hint="eastAsia" w:ascii="宋体" w:hAnsi="宋体" w:cs="宋体"/>
          <w:b/>
          <w:color w:val="auto"/>
          <w:sz w:val="30"/>
          <w:szCs w:val="30"/>
        </w:rPr>
        <w:t>供 应 商（乙方）</w:t>
      </w:r>
      <w:r>
        <w:rPr>
          <w:rFonts w:hint="eastAsia" w:ascii="宋体" w:hAnsi="宋体" w:cs="宋体"/>
          <w:b/>
          <w:color w:val="auto"/>
          <w:sz w:val="30"/>
          <w:szCs w:val="30"/>
          <w:u w:val="single"/>
        </w:rPr>
        <w:t xml:space="preserve">                            </w:t>
      </w:r>
      <w:r>
        <w:rPr>
          <w:rFonts w:hint="eastAsia" w:ascii="宋体" w:hAnsi="宋体" w:cs="宋体"/>
          <w:b/>
          <w:color w:val="auto"/>
          <w:sz w:val="30"/>
          <w:szCs w:val="30"/>
        </w:rPr>
        <w:t xml:space="preserve"> </w:t>
      </w:r>
    </w:p>
    <w:p>
      <w:pPr>
        <w:tabs>
          <w:tab w:val="left" w:pos="721"/>
        </w:tabs>
        <w:snapToGrid w:val="0"/>
        <w:spacing w:beforeLines="100" w:line="360" w:lineRule="exact"/>
        <w:ind w:firstLine="1355" w:firstLineChars="450"/>
        <w:rPr>
          <w:rFonts w:ascii="宋体" w:hAnsi="宋体" w:cs="宋体"/>
          <w:b/>
          <w:color w:val="auto"/>
          <w:sz w:val="30"/>
          <w:szCs w:val="30"/>
          <w:u w:val="single"/>
        </w:rPr>
      </w:pPr>
      <w:r>
        <w:rPr>
          <w:rFonts w:hint="eastAsia" w:ascii="宋体" w:hAnsi="宋体" w:cs="宋体"/>
          <w:b/>
          <w:color w:val="auto"/>
          <w:sz w:val="30"/>
          <w:szCs w:val="30"/>
        </w:rPr>
        <w:t>住  所：</w:t>
      </w:r>
      <w:r>
        <w:rPr>
          <w:rFonts w:hint="eastAsia" w:ascii="宋体" w:hAnsi="宋体" w:cs="宋体"/>
          <w:b/>
          <w:color w:val="auto"/>
          <w:sz w:val="30"/>
          <w:szCs w:val="30"/>
          <w:u w:val="single"/>
        </w:rPr>
        <w:t xml:space="preserve">                                    </w:t>
      </w:r>
    </w:p>
    <w:p>
      <w:pPr>
        <w:tabs>
          <w:tab w:val="left" w:pos="721"/>
        </w:tabs>
        <w:snapToGrid w:val="0"/>
        <w:spacing w:line="360" w:lineRule="exact"/>
        <w:rPr>
          <w:rFonts w:ascii="宋体" w:hAnsi="宋体" w:cs="宋体"/>
          <w:b/>
          <w:color w:val="auto"/>
          <w:sz w:val="30"/>
          <w:szCs w:val="30"/>
        </w:rPr>
      </w:pPr>
    </w:p>
    <w:p>
      <w:pPr>
        <w:tabs>
          <w:tab w:val="left" w:pos="721"/>
        </w:tabs>
        <w:snapToGrid w:val="0"/>
        <w:spacing w:line="360" w:lineRule="exact"/>
        <w:ind w:firstLine="1355" w:firstLineChars="450"/>
        <w:rPr>
          <w:rFonts w:ascii="宋体" w:hAnsi="宋体" w:cs="宋体"/>
          <w:b/>
          <w:color w:val="auto"/>
          <w:sz w:val="30"/>
          <w:szCs w:val="30"/>
        </w:rPr>
      </w:pPr>
    </w:p>
    <w:p>
      <w:pPr>
        <w:tabs>
          <w:tab w:val="left" w:pos="721"/>
        </w:tabs>
        <w:snapToGrid w:val="0"/>
        <w:spacing w:line="360" w:lineRule="exact"/>
        <w:ind w:firstLine="1355" w:firstLineChars="450"/>
        <w:rPr>
          <w:rFonts w:ascii="宋体" w:hAnsi="宋体" w:cs="宋体"/>
          <w:b/>
          <w:color w:val="auto"/>
          <w:sz w:val="30"/>
          <w:szCs w:val="30"/>
          <w:u w:val="single"/>
        </w:rPr>
      </w:pPr>
      <w:r>
        <w:rPr>
          <w:rFonts w:hint="eastAsia" w:ascii="宋体" w:hAnsi="宋体" w:cs="宋体"/>
          <w:b/>
          <w:color w:val="auto"/>
          <w:sz w:val="30"/>
          <w:szCs w:val="30"/>
        </w:rPr>
        <w:t>签订合同地点：</w:t>
      </w:r>
      <w:r>
        <w:rPr>
          <w:rFonts w:hint="eastAsia" w:ascii="宋体" w:hAnsi="宋体" w:cs="宋体"/>
          <w:b/>
          <w:color w:val="auto"/>
          <w:sz w:val="30"/>
          <w:szCs w:val="30"/>
          <w:u w:val="single"/>
        </w:rPr>
        <w:t xml:space="preserve">                              </w:t>
      </w:r>
    </w:p>
    <w:p>
      <w:pPr>
        <w:tabs>
          <w:tab w:val="left" w:pos="721"/>
        </w:tabs>
        <w:snapToGrid w:val="0"/>
        <w:spacing w:line="360" w:lineRule="exact"/>
        <w:rPr>
          <w:rFonts w:ascii="宋体" w:hAnsi="宋体" w:cs="宋体"/>
          <w:b/>
          <w:color w:val="auto"/>
          <w:sz w:val="30"/>
          <w:szCs w:val="30"/>
        </w:rPr>
      </w:pPr>
    </w:p>
    <w:p>
      <w:pPr>
        <w:tabs>
          <w:tab w:val="left" w:pos="721"/>
        </w:tabs>
        <w:snapToGrid w:val="0"/>
        <w:spacing w:line="360" w:lineRule="exact"/>
        <w:ind w:firstLine="1355" w:firstLineChars="450"/>
        <w:rPr>
          <w:rFonts w:ascii="宋体" w:hAnsi="宋体" w:cs="宋体"/>
          <w:b/>
          <w:color w:val="auto"/>
          <w:sz w:val="30"/>
          <w:szCs w:val="30"/>
        </w:rPr>
      </w:pPr>
    </w:p>
    <w:p>
      <w:pPr>
        <w:tabs>
          <w:tab w:val="left" w:pos="721"/>
        </w:tabs>
        <w:snapToGrid w:val="0"/>
        <w:spacing w:line="360" w:lineRule="exact"/>
        <w:ind w:firstLine="1355" w:firstLineChars="450"/>
        <w:rPr>
          <w:rFonts w:ascii="宋体" w:hAnsi="宋体" w:cs="宋体"/>
          <w:b/>
          <w:color w:val="auto"/>
          <w:sz w:val="30"/>
          <w:szCs w:val="30"/>
          <w:u w:val="single"/>
        </w:rPr>
      </w:pPr>
      <w:r>
        <w:rPr>
          <w:rFonts w:hint="eastAsia" w:ascii="宋体" w:hAnsi="宋体" w:cs="宋体"/>
          <w:b/>
          <w:color w:val="auto"/>
          <w:sz w:val="30"/>
          <w:szCs w:val="30"/>
        </w:rPr>
        <w:t>签订合同时间：</w:t>
      </w:r>
      <w:r>
        <w:rPr>
          <w:rFonts w:hint="eastAsia" w:ascii="宋体" w:hAnsi="宋体" w:cs="宋体"/>
          <w:b/>
          <w:color w:val="auto"/>
          <w:sz w:val="30"/>
          <w:szCs w:val="30"/>
          <w:u w:val="single"/>
        </w:rPr>
        <w:t xml:space="preserve">                              </w:t>
      </w:r>
    </w:p>
    <w:p>
      <w:pPr>
        <w:pStyle w:val="24"/>
        <w:jc w:val="center"/>
        <w:rPr>
          <w:rFonts w:hAnsi="宋体" w:cs="宋体"/>
          <w:color w:val="auto"/>
        </w:rPr>
      </w:pPr>
      <w:r>
        <w:rPr>
          <w:rFonts w:hint="eastAsia" w:hAnsi="宋体" w:cs="宋体"/>
          <w:color w:val="auto"/>
        </w:rPr>
        <w:t xml:space="preserve"> </w:t>
      </w:r>
    </w:p>
    <w:p>
      <w:pPr>
        <w:pStyle w:val="24"/>
        <w:jc w:val="center"/>
        <w:rPr>
          <w:rFonts w:hAnsi="宋体" w:cs="宋体"/>
          <w:color w:val="auto"/>
        </w:rPr>
      </w:pPr>
    </w:p>
    <w:p>
      <w:pPr>
        <w:pStyle w:val="24"/>
        <w:jc w:val="center"/>
        <w:rPr>
          <w:rFonts w:hAnsi="宋体" w:cs="宋体"/>
          <w:color w:val="auto"/>
        </w:rPr>
      </w:pPr>
    </w:p>
    <w:p>
      <w:pPr>
        <w:pStyle w:val="24"/>
        <w:jc w:val="center"/>
        <w:rPr>
          <w:rFonts w:hAnsi="宋体" w:cs="宋体"/>
          <w:color w:val="auto"/>
        </w:rPr>
      </w:pPr>
    </w:p>
    <w:p>
      <w:pPr>
        <w:pStyle w:val="24"/>
        <w:jc w:val="left"/>
        <w:rPr>
          <w:rFonts w:hAnsi="宋体" w:cs="宋体"/>
          <w:color w:val="auto"/>
        </w:rPr>
      </w:pPr>
      <w:r>
        <w:rPr>
          <w:rFonts w:hint="eastAsia" w:hAnsi="宋体" w:cs="宋体"/>
          <w:color w:val="auto"/>
        </w:rPr>
        <w:t>合同使用说明：根据《中华人民共和国政府采购法》、《中华人民共和国民法典》等法律、法规规定，按照竞争性磋商文件规定条款和成交供应商竞争性磋商响应文件及其承诺，甲乙双方签订本合同。</w:t>
      </w:r>
    </w:p>
    <w:p>
      <w:pPr>
        <w:snapToGrid w:val="0"/>
        <w:spacing w:line="400" w:lineRule="exact"/>
        <w:jc w:val="center"/>
        <w:rPr>
          <w:rFonts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采购合同</w:t>
      </w:r>
    </w:p>
    <w:p>
      <w:pPr>
        <w:snapToGrid w:val="0"/>
        <w:spacing w:line="360" w:lineRule="auto"/>
        <w:rPr>
          <w:rFonts w:ascii="宋体" w:hAnsi="宋体" w:cs="宋体"/>
          <w:b/>
          <w:bCs/>
          <w:color w:val="auto"/>
        </w:rPr>
      </w:pPr>
    </w:p>
    <w:p>
      <w:pPr>
        <w:snapToGrid w:val="0"/>
        <w:spacing w:line="400" w:lineRule="exact"/>
        <w:ind w:right="480" w:firstLine="5250" w:firstLineChars="2500"/>
        <w:rPr>
          <w:rFonts w:ascii="宋体" w:hAnsi="宋体" w:cs="宋体"/>
          <w:bCs/>
          <w:color w:val="auto"/>
          <w:u w:val="single"/>
        </w:rPr>
      </w:pPr>
      <w:r>
        <w:rPr>
          <w:rFonts w:hint="eastAsia" w:ascii="宋体" w:hAnsi="宋体" w:cs="宋体"/>
          <w:bCs/>
          <w:color w:val="auto"/>
        </w:rPr>
        <w:t>合同编号：</w:t>
      </w:r>
    </w:p>
    <w:p>
      <w:pPr>
        <w:snapToGrid w:val="0"/>
        <w:spacing w:line="400" w:lineRule="exact"/>
        <w:rPr>
          <w:rFonts w:ascii="宋体" w:hAnsi="宋体" w:cs="宋体"/>
          <w:color w:val="auto"/>
        </w:rPr>
      </w:pPr>
    </w:p>
    <w:p>
      <w:pPr>
        <w:snapToGrid w:val="0"/>
        <w:spacing w:line="360" w:lineRule="auto"/>
        <w:rPr>
          <w:rFonts w:ascii="宋体" w:hAnsi="宋体" w:cs="宋体"/>
          <w:color w:val="auto"/>
        </w:rPr>
      </w:pPr>
      <w:r>
        <w:rPr>
          <w:rFonts w:hint="eastAsia" w:ascii="宋体" w:hAnsi="宋体" w:cs="宋体"/>
          <w:color w:val="auto"/>
        </w:rPr>
        <w:t>采购人（甲方）：</w:t>
      </w:r>
      <w:r>
        <w:rPr>
          <w:rFonts w:hint="eastAsia" w:ascii="宋体" w:hAnsi="宋体" w:cs="宋体"/>
          <w:color w:val="auto"/>
          <w:u w:val="single"/>
        </w:rPr>
        <w:t xml:space="preserve">                          </w:t>
      </w:r>
      <w:r>
        <w:rPr>
          <w:rFonts w:hint="eastAsia" w:ascii="宋体" w:hAnsi="宋体" w:cs="宋体"/>
          <w:color w:val="auto"/>
        </w:rPr>
        <w:t xml:space="preserve">  供应商（乙方）：</w:t>
      </w:r>
      <w:r>
        <w:rPr>
          <w:rFonts w:hint="eastAsia" w:ascii="宋体" w:hAnsi="宋体" w:cs="宋体"/>
          <w:color w:val="auto"/>
          <w:u w:val="single"/>
        </w:rPr>
        <w:t xml:space="preserve">                          </w:t>
      </w:r>
      <w:r>
        <w:rPr>
          <w:rFonts w:hint="eastAsia" w:ascii="宋体" w:hAnsi="宋体" w:cs="宋体"/>
          <w:color w:val="auto"/>
        </w:rPr>
        <w:t xml:space="preserve">  </w:t>
      </w:r>
    </w:p>
    <w:p>
      <w:pPr>
        <w:snapToGrid w:val="0"/>
        <w:spacing w:line="360" w:lineRule="auto"/>
        <w:rPr>
          <w:rFonts w:ascii="宋体" w:hAnsi="宋体" w:cs="宋体"/>
          <w:color w:val="auto"/>
          <w:u w:val="single"/>
        </w:rPr>
      </w:pPr>
      <w:r>
        <w:rPr>
          <w:rFonts w:hint="eastAsia" w:ascii="宋体" w:hAnsi="宋体" w:cs="宋体"/>
          <w:color w:val="auto"/>
        </w:rPr>
        <w:t>项目名称：</w:t>
      </w:r>
      <w:r>
        <w:rPr>
          <w:rFonts w:hint="eastAsia" w:ascii="宋体" w:hAnsi="宋体" w:cs="宋体"/>
          <w:color w:val="auto"/>
          <w:u w:val="single"/>
        </w:rPr>
        <w:t xml:space="preserve">                                </w:t>
      </w:r>
      <w:r>
        <w:rPr>
          <w:rFonts w:hint="eastAsia" w:ascii="宋体" w:hAnsi="宋体" w:cs="宋体"/>
          <w:color w:val="auto"/>
        </w:rPr>
        <w:t xml:space="preserve">  项目编号：</w:t>
      </w:r>
      <w:r>
        <w:rPr>
          <w:rFonts w:hint="eastAsia" w:ascii="宋体" w:hAnsi="宋体" w:cs="宋体"/>
          <w:color w:val="auto"/>
          <w:u w:val="single"/>
        </w:rPr>
        <w:t xml:space="preserve">                          </w:t>
      </w:r>
    </w:p>
    <w:p>
      <w:pPr>
        <w:snapToGrid w:val="0"/>
        <w:spacing w:line="360" w:lineRule="auto"/>
        <w:rPr>
          <w:rFonts w:ascii="宋体" w:hAnsi="宋体" w:cs="宋体"/>
          <w:color w:val="auto"/>
          <w:u w:val="single"/>
        </w:rPr>
      </w:pPr>
      <w:r>
        <w:rPr>
          <w:rFonts w:hint="eastAsia" w:ascii="宋体" w:hAnsi="宋体" w:cs="宋体"/>
          <w:color w:val="auto"/>
        </w:rPr>
        <w:t>签订地点：</w:t>
      </w:r>
      <w:r>
        <w:rPr>
          <w:rFonts w:hint="eastAsia" w:ascii="宋体" w:hAnsi="宋体" w:cs="宋体"/>
          <w:color w:val="auto"/>
          <w:u w:val="single"/>
        </w:rPr>
        <w:t xml:space="preserve">                                </w:t>
      </w:r>
      <w:r>
        <w:rPr>
          <w:rFonts w:hint="eastAsia" w:ascii="宋体" w:hAnsi="宋体" w:cs="宋体"/>
          <w:color w:val="auto"/>
        </w:rPr>
        <w:t xml:space="preserve">  签订时间：</w:t>
      </w:r>
      <w:r>
        <w:rPr>
          <w:rFonts w:hint="eastAsia" w:ascii="宋体" w:hAnsi="宋体" w:cs="宋体"/>
          <w:color w:val="auto"/>
          <w:u w:val="single"/>
        </w:rPr>
        <w:t xml:space="preserve">                          </w:t>
      </w:r>
    </w:p>
    <w:p>
      <w:pPr>
        <w:snapToGrid w:val="0"/>
        <w:spacing w:line="360" w:lineRule="auto"/>
        <w:ind w:firstLine="420" w:firstLineChars="200"/>
        <w:rPr>
          <w:rFonts w:ascii="宋体" w:hAnsi="宋体" w:cs="宋体"/>
          <w:bCs/>
          <w:color w:val="auto"/>
        </w:rPr>
      </w:pPr>
      <w:r>
        <w:rPr>
          <w:rFonts w:hint="eastAsia" w:ascii="宋体" w:hAnsi="宋体" w:cs="宋体"/>
          <w:bCs/>
          <w:color w:val="auto"/>
        </w:rPr>
        <w:t>根据《中华人民共和国民法典》等法律、法规规定，按照采购文件规定条款和乙方响应文件及其承诺，甲乙双方签订本合同。</w:t>
      </w:r>
    </w:p>
    <w:p>
      <w:pPr>
        <w:snapToGrid w:val="0"/>
        <w:spacing w:line="380" w:lineRule="exact"/>
        <w:ind w:firstLine="422" w:firstLineChars="200"/>
        <w:rPr>
          <w:rFonts w:ascii="宋体" w:hAnsi="宋体" w:cs="Arial"/>
          <w:b/>
          <w:color w:val="auto"/>
        </w:rPr>
      </w:pPr>
      <w:r>
        <w:rPr>
          <w:rFonts w:hint="eastAsia" w:ascii="宋体" w:hAnsi="宋体" w:cs="Arial"/>
          <w:b/>
          <w:color w:val="auto"/>
        </w:rPr>
        <w:t>第一条　合同标的</w:t>
      </w:r>
    </w:p>
    <w:p>
      <w:pPr>
        <w:snapToGrid w:val="0"/>
        <w:spacing w:line="360" w:lineRule="exact"/>
        <w:ind w:firstLine="420" w:firstLineChars="200"/>
        <w:rPr>
          <w:rFonts w:ascii="宋体" w:hAnsi="宋体" w:cs="Arial"/>
          <w:color w:val="auto"/>
        </w:rPr>
      </w:pPr>
      <w:r>
        <w:rPr>
          <w:rFonts w:hint="eastAsia" w:ascii="宋体" w:hAnsi="宋体" w:cs="Arial"/>
          <w:color w:val="auto"/>
        </w:rPr>
        <w:t>1.供货一览表</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312"/>
        <w:gridCol w:w="1092"/>
        <w:gridCol w:w="1204"/>
        <w:gridCol w:w="1204"/>
        <w:gridCol w:w="678"/>
        <w:gridCol w:w="1090"/>
        <w:gridCol w:w="109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序号</w:t>
            </w:r>
          </w:p>
        </w:tc>
        <w:tc>
          <w:tcPr>
            <w:tcW w:w="68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标的</w:t>
            </w:r>
          </w:p>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名称</w:t>
            </w:r>
          </w:p>
        </w:tc>
        <w:tc>
          <w:tcPr>
            <w:tcW w:w="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商标</w:t>
            </w:r>
          </w:p>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品牌</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型号</w:t>
            </w:r>
          </w:p>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参数</w:t>
            </w: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生产</w:t>
            </w:r>
          </w:p>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厂家</w:t>
            </w:r>
          </w:p>
        </w:tc>
        <w:tc>
          <w:tcPr>
            <w:tcW w:w="35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数量</w:t>
            </w:r>
          </w:p>
        </w:tc>
        <w:tc>
          <w:tcPr>
            <w:tcW w:w="5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单位</w:t>
            </w:r>
          </w:p>
        </w:tc>
        <w:tc>
          <w:tcPr>
            <w:tcW w:w="5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单价</w:t>
            </w:r>
          </w:p>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（元）</w:t>
            </w:r>
          </w:p>
        </w:tc>
        <w:tc>
          <w:tcPr>
            <w:tcW w:w="7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金额</w:t>
            </w:r>
          </w:p>
          <w:p>
            <w:pPr>
              <w:keepNext w:val="0"/>
              <w:keepLines w:val="0"/>
              <w:suppressLineNumbers w:val="0"/>
              <w:snapToGrid w:val="0"/>
              <w:spacing w:before="0" w:beforeAutospacing="0" w:after="0" w:afterAutospacing="0"/>
              <w:ind w:left="0" w:right="0"/>
              <w:jc w:val="center"/>
              <w:rPr>
                <w:rFonts w:hint="default" w:ascii="宋体" w:hAnsi="宋体" w:cs="Arial"/>
                <w:color w:val="auto"/>
              </w:rPr>
            </w:pPr>
            <w:r>
              <w:rPr>
                <w:rFonts w:hint="eastAsia" w:ascii="宋体" w:hAnsi="宋体" w:cs="Arial"/>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r>
              <w:rPr>
                <w:rFonts w:hint="eastAsia" w:ascii="宋体" w:hAnsi="宋体" w:cs="Arial"/>
                <w:color w:val="auto"/>
              </w:rPr>
              <w:t>1</w:t>
            </w:r>
          </w:p>
        </w:tc>
        <w:tc>
          <w:tcPr>
            <w:tcW w:w="68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35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7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r>
              <w:rPr>
                <w:rFonts w:hint="eastAsia" w:ascii="宋体" w:hAnsi="宋体" w:cs="Arial"/>
                <w:color w:val="auto"/>
              </w:rPr>
              <w:t>2</w:t>
            </w:r>
          </w:p>
        </w:tc>
        <w:tc>
          <w:tcPr>
            <w:tcW w:w="68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35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c>
          <w:tcPr>
            <w:tcW w:w="7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hAnsi="宋体" w:cs="Arial"/>
                <w:color w:val="auto"/>
                <w:u w:val="single"/>
              </w:rPr>
            </w:pPr>
            <w:r>
              <w:rPr>
                <w:rFonts w:hint="eastAsia" w:ascii="宋体" w:hAnsi="宋体" w:cs="Arial"/>
                <w:color w:val="auto"/>
              </w:rPr>
              <w:t>人民币合计金额（大写）               （小写）</w:t>
            </w:r>
          </w:p>
        </w:tc>
      </w:tr>
    </w:tbl>
    <w:p>
      <w:pPr>
        <w:snapToGrid w:val="0"/>
        <w:spacing w:line="400" w:lineRule="exact"/>
        <w:ind w:firstLine="420" w:firstLineChars="200"/>
        <w:rPr>
          <w:rFonts w:ascii="宋体"/>
          <w:color w:val="auto"/>
        </w:rPr>
      </w:pPr>
      <w:r>
        <w:rPr>
          <w:rFonts w:ascii="宋体" w:hAnsi="宋体" w:cs="宋体"/>
          <w:color w:val="auto"/>
        </w:rPr>
        <w:t>2</w:t>
      </w:r>
      <w:r>
        <w:rPr>
          <w:rFonts w:hint="eastAsia" w:ascii="宋体" w:hAnsi="宋体" w:cs="宋体"/>
          <w:color w:val="auto"/>
        </w:rPr>
        <w:t>．合同合计金额包括货物价款，备件、专用工具、安装、调试、检验、技术培训及技术资料和包装、运输等全部费用。除另有约定外，甲方不再支付上述费用外的其他任何费用。</w:t>
      </w:r>
    </w:p>
    <w:p>
      <w:pPr>
        <w:snapToGrid w:val="0"/>
        <w:spacing w:line="380" w:lineRule="exact"/>
        <w:ind w:firstLine="422" w:firstLineChars="200"/>
        <w:rPr>
          <w:rFonts w:ascii="宋体" w:hAnsi="宋体" w:cs="Arial"/>
          <w:b/>
          <w:color w:val="auto"/>
        </w:rPr>
      </w:pPr>
      <w:r>
        <w:rPr>
          <w:rFonts w:hint="eastAsia" w:ascii="宋体" w:hAnsi="宋体" w:cs="Arial"/>
          <w:b/>
          <w:color w:val="auto"/>
        </w:rPr>
        <w:t>第二条　质量保证</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．乙方所提供的货物型号、技术规格、技术参数等质量必须与磋商文件、响应文件和承诺相一致。</w:t>
      </w:r>
    </w:p>
    <w:p>
      <w:pPr>
        <w:snapToGrid w:val="0"/>
        <w:spacing w:line="400" w:lineRule="exact"/>
        <w:ind w:firstLine="420" w:firstLineChars="200"/>
        <w:rPr>
          <w:rFonts w:ascii="宋体"/>
          <w:color w:val="auto"/>
          <w:u w:val="single"/>
        </w:rPr>
      </w:pPr>
      <w:r>
        <w:rPr>
          <w:rFonts w:ascii="宋体" w:hAnsi="宋体" w:cs="宋体"/>
          <w:color w:val="auto"/>
        </w:rPr>
        <w:t>2</w:t>
      </w:r>
      <w:r>
        <w:rPr>
          <w:rFonts w:hint="eastAsia" w:ascii="宋体" w:hAnsi="宋体" w:cs="宋体"/>
          <w:color w:val="auto"/>
        </w:rPr>
        <w:t>．乙方所提供的货物必须是全新、未经使用的原装产品，且在正常安装、使用和保养条件下，其使用寿命期内各项指标均达到质量要求。</w:t>
      </w:r>
    </w:p>
    <w:p>
      <w:pPr>
        <w:snapToGrid w:val="0"/>
        <w:spacing w:line="380" w:lineRule="exact"/>
        <w:ind w:firstLine="422" w:firstLineChars="200"/>
        <w:rPr>
          <w:rFonts w:ascii="宋体" w:hAnsi="宋体" w:cs="Arial"/>
          <w:b/>
          <w:color w:val="auto"/>
        </w:rPr>
      </w:pPr>
      <w:r>
        <w:rPr>
          <w:rFonts w:hint="eastAsia" w:ascii="宋体" w:hAnsi="宋体" w:cs="Arial"/>
          <w:b/>
          <w:color w:val="auto"/>
        </w:rPr>
        <w:t>第三条　权利保证</w:t>
      </w:r>
    </w:p>
    <w:p>
      <w:pPr>
        <w:snapToGrid w:val="0"/>
        <w:spacing w:line="400" w:lineRule="exact"/>
        <w:ind w:firstLine="420" w:firstLineChars="200"/>
        <w:rPr>
          <w:rFonts w:ascii="宋体"/>
          <w:color w:val="auto"/>
        </w:rPr>
      </w:pPr>
      <w:r>
        <w:rPr>
          <w:rFonts w:hint="eastAsia" w:ascii="宋体" w:hAnsi="宋体" w:cs="宋体"/>
          <w:color w:val="auto"/>
        </w:rPr>
        <w:t>1.乙方应保证所提供货物在使用时不会侵犯任何第三方的专利权、商标权、工业设计权或其他权利。</w:t>
      </w:r>
    </w:p>
    <w:p>
      <w:pPr>
        <w:snapToGrid w:val="0"/>
        <w:spacing w:line="400" w:lineRule="exact"/>
        <w:ind w:firstLine="420" w:firstLineChars="200"/>
        <w:rPr>
          <w:rFonts w:ascii="宋体"/>
          <w:color w:val="auto"/>
        </w:rPr>
      </w:pPr>
      <w:r>
        <w:rPr>
          <w:rFonts w:hint="eastAsia" w:ascii="宋体" w:hAnsi="宋体" w:cs="宋体"/>
          <w:color w:val="auto"/>
        </w:rPr>
        <w:t>2.乙方应按磋商文件规定的时间或响应文件承诺的时间向甲方提供使用货物的有关技术资料。</w:t>
      </w:r>
    </w:p>
    <w:p>
      <w:pPr>
        <w:snapToGrid w:val="0"/>
        <w:spacing w:line="400" w:lineRule="exact"/>
        <w:ind w:firstLine="420" w:firstLineChars="200"/>
        <w:rPr>
          <w:rFonts w:ascii="宋体"/>
          <w:color w:val="auto"/>
        </w:rPr>
      </w:pPr>
      <w:r>
        <w:rPr>
          <w:rFonts w:hint="eastAsia" w:ascii="宋体" w:hAnsi="宋体" w:cs="宋体"/>
          <w:color w:val="auto"/>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color w:val="auto"/>
        </w:rPr>
      </w:pPr>
      <w:r>
        <w:rPr>
          <w:rFonts w:hint="eastAsia" w:ascii="宋体" w:hAnsi="宋体" w:cs="宋体"/>
          <w:color w:val="auto"/>
        </w:rPr>
        <w:t>4.乙方保证所交付的货物的所有权完全属于乙方且无任何抵押、质押、查封等产权瑕疵。</w:t>
      </w:r>
    </w:p>
    <w:p>
      <w:pPr>
        <w:snapToGrid w:val="0"/>
        <w:spacing w:line="380" w:lineRule="exact"/>
        <w:ind w:firstLine="422" w:firstLineChars="200"/>
        <w:rPr>
          <w:rFonts w:ascii="宋体" w:hAnsi="宋体" w:cs="Arial"/>
          <w:b/>
          <w:color w:val="auto"/>
        </w:rPr>
      </w:pPr>
      <w:r>
        <w:rPr>
          <w:rFonts w:hint="eastAsia" w:ascii="宋体" w:hAnsi="宋体" w:cs="Arial"/>
          <w:b/>
          <w:color w:val="auto"/>
        </w:rPr>
        <w:t>第四条　货物包装和运输</w:t>
      </w:r>
    </w:p>
    <w:p>
      <w:pPr>
        <w:spacing w:line="380" w:lineRule="exact"/>
        <w:ind w:firstLine="420" w:firstLineChars="200"/>
        <w:rPr>
          <w:rFonts w:ascii="宋体" w:hAnsi="宋体" w:cs="Arial"/>
          <w:color w:val="auto"/>
        </w:rPr>
      </w:pPr>
      <w:r>
        <w:rPr>
          <w:rFonts w:hint="eastAsia" w:ascii="宋体" w:hAnsi="宋体" w:cs="Arial"/>
          <w:color w:val="auto"/>
        </w:rPr>
        <w:t>1.乙方提供的货物均应按符合采购文件要求的包装材料、包装标准、包装方式进行包装，包装应满足运输距离、防潮、防震、防锈和防破损装卸等要求包装，以保证货物安全运达甲方指定地点。每一包装单元内应附详细的装箱单和质量合格证。</w:t>
      </w:r>
    </w:p>
    <w:p>
      <w:pPr>
        <w:spacing w:line="380" w:lineRule="exact"/>
        <w:ind w:firstLine="420" w:firstLineChars="200"/>
        <w:rPr>
          <w:rFonts w:ascii="宋体" w:hAnsi="宋体" w:cs="Arial"/>
          <w:color w:val="auto"/>
        </w:rPr>
      </w:pPr>
      <w:r>
        <w:rPr>
          <w:rFonts w:hint="eastAsia" w:ascii="宋体" w:hAnsi="宋体" w:cs="Arial"/>
          <w:color w:val="auto"/>
        </w:rPr>
        <w:t>2.货物的运输方式：</w:t>
      </w:r>
      <w:r>
        <w:rPr>
          <w:rFonts w:hint="eastAsia" w:ascii="宋体" w:hAnsi="宋体" w:cs="Arial"/>
          <w:color w:val="auto"/>
          <w:u w:val="single"/>
        </w:rPr>
        <w:t>乙方自定</w:t>
      </w:r>
      <w:r>
        <w:rPr>
          <w:rFonts w:hint="eastAsia" w:ascii="宋体" w:hAnsi="宋体" w:cs="Arial"/>
          <w:color w:val="auto"/>
        </w:rPr>
        <w:t>。</w:t>
      </w:r>
    </w:p>
    <w:p>
      <w:pPr>
        <w:spacing w:line="380" w:lineRule="exact"/>
        <w:ind w:firstLine="420" w:firstLineChars="200"/>
        <w:rPr>
          <w:rFonts w:ascii="宋体" w:hAnsi="宋体" w:cs="Arial"/>
          <w:color w:val="auto"/>
        </w:rPr>
      </w:pPr>
      <w:r>
        <w:rPr>
          <w:rFonts w:hint="eastAsia" w:ascii="宋体" w:hAnsi="宋体" w:cs="Arial"/>
          <w:color w:val="auto"/>
        </w:rPr>
        <w:t>3.乙方负责货物运输，货物运输合理损耗及计算方法：</w:t>
      </w:r>
      <w:r>
        <w:rPr>
          <w:rFonts w:hint="eastAsia" w:ascii="宋体" w:hAnsi="宋体" w:cs="Arial"/>
          <w:color w:val="auto"/>
          <w:u w:val="single"/>
        </w:rPr>
        <w:t>不接受损耗</w:t>
      </w:r>
      <w:r>
        <w:rPr>
          <w:rFonts w:hint="eastAsia" w:ascii="宋体" w:hAnsi="宋体" w:cs="Arial"/>
          <w:color w:val="auto"/>
        </w:rPr>
        <w:t>。</w:t>
      </w:r>
    </w:p>
    <w:p>
      <w:pPr>
        <w:snapToGrid w:val="0"/>
        <w:spacing w:before="120" w:after="120" w:line="380" w:lineRule="exact"/>
        <w:ind w:firstLine="420" w:firstLineChars="200"/>
        <w:jc w:val="left"/>
        <w:rPr>
          <w:rFonts w:ascii="宋体" w:hAnsi="宋体" w:cs="Arial"/>
          <w:color w:val="auto"/>
        </w:rPr>
      </w:pPr>
      <w:r>
        <w:rPr>
          <w:rFonts w:hint="eastAsia" w:ascii="宋体" w:hAnsi="宋体" w:cs="Arial"/>
          <w:color w:val="auto"/>
        </w:rPr>
        <w:t>4.乙方在货物发运手续办理完毕后二十四小时内或货到甲方四十八小时前通知甲方，以准备接货。</w:t>
      </w:r>
    </w:p>
    <w:p>
      <w:pPr>
        <w:spacing w:before="120" w:after="120" w:line="360" w:lineRule="exact"/>
        <w:ind w:firstLine="420"/>
        <w:jc w:val="left"/>
        <w:rPr>
          <w:rFonts w:ascii="宋体" w:hAnsi="宋体" w:cs="Arial"/>
          <w:bCs/>
          <w:color w:val="auto"/>
        </w:rPr>
      </w:pPr>
      <w:r>
        <w:rPr>
          <w:rFonts w:hint="eastAsia" w:ascii="宋体" w:hAnsi="宋体" w:cs="Arial"/>
          <w:bCs/>
          <w:color w:val="auto"/>
        </w:rPr>
        <w:t>5.货物安装调试完毕并经甲方验收合格前货物毁损、灭失的风险均由乙方承担。</w:t>
      </w:r>
    </w:p>
    <w:p>
      <w:pPr>
        <w:snapToGrid w:val="0"/>
        <w:spacing w:line="380" w:lineRule="exact"/>
        <w:ind w:firstLine="422" w:firstLineChars="200"/>
        <w:rPr>
          <w:rFonts w:ascii="宋体" w:hAnsi="宋体" w:cs="Arial"/>
          <w:b/>
          <w:color w:val="auto"/>
        </w:rPr>
      </w:pPr>
      <w:r>
        <w:rPr>
          <w:rFonts w:hint="eastAsia" w:ascii="宋体" w:hAnsi="宋体" w:cs="Arial"/>
          <w:b/>
          <w:color w:val="auto"/>
        </w:rPr>
        <w:t>第五条　产品的交付及安装</w:t>
      </w:r>
    </w:p>
    <w:p>
      <w:pPr>
        <w:snapToGrid w:val="0"/>
        <w:spacing w:line="380" w:lineRule="exact"/>
        <w:ind w:firstLine="420" w:firstLineChars="200"/>
        <w:rPr>
          <w:rFonts w:ascii="宋体" w:hAnsi="宋体" w:cs="Arial"/>
          <w:bCs/>
          <w:color w:val="auto"/>
        </w:rPr>
      </w:pPr>
      <w:r>
        <w:rPr>
          <w:rFonts w:hint="eastAsia" w:ascii="宋体" w:hAnsi="宋体" w:cs="Arial"/>
          <w:bCs/>
          <w:color w:val="auto"/>
        </w:rPr>
        <w:t>1.</w:t>
      </w:r>
      <w:r>
        <w:rPr>
          <w:rFonts w:hint="eastAsia"/>
          <w:color w:val="auto"/>
        </w:rPr>
        <w:t xml:space="preserve"> 在本合同签订后设备</w:t>
      </w:r>
      <w:r>
        <w:rPr>
          <w:rFonts w:hint="eastAsia"/>
          <w:color w:val="auto"/>
          <w:u w:val="single"/>
        </w:rPr>
        <w:t xml:space="preserve">      </w:t>
      </w:r>
      <w:r>
        <w:rPr>
          <w:rFonts w:hint="eastAsia"/>
          <w:color w:val="auto"/>
        </w:rPr>
        <w:t>日内整体完成供货安装调试</w:t>
      </w:r>
      <w:r>
        <w:rPr>
          <w:rFonts w:hint="eastAsia" w:ascii="宋体" w:hAnsi="宋体" w:cs="Arial"/>
          <w:bCs/>
          <w:color w:val="auto"/>
        </w:rPr>
        <w:t>。乙方应完成产品交付并安装调试至能够正常使用，交货同时向甲方提交产品的质量检测报告、产品合格证书、保修单、使用说明书等随附单证。除另有约定外，本合同不接受分批交付。</w:t>
      </w:r>
    </w:p>
    <w:p>
      <w:pPr>
        <w:snapToGrid w:val="0"/>
        <w:spacing w:line="380" w:lineRule="exact"/>
        <w:ind w:firstLine="420" w:firstLineChars="200"/>
        <w:rPr>
          <w:rFonts w:ascii="宋体" w:hAnsi="宋体" w:cs="Arial"/>
          <w:bCs/>
          <w:color w:val="auto"/>
        </w:rPr>
      </w:pPr>
      <w:r>
        <w:rPr>
          <w:rFonts w:hint="eastAsia" w:ascii="宋体" w:hAnsi="宋体" w:cs="Arial"/>
          <w:bCs/>
          <w:color w:val="auto"/>
        </w:rPr>
        <w:t>2.乙方应在货物托运前24小时及货物预计抵达指定交货地点的24小时前以书面方式通知甲方进行到货验收及场地准备工作，并取得甲方收到通知的回执。</w:t>
      </w:r>
    </w:p>
    <w:p>
      <w:pPr>
        <w:snapToGrid w:val="0"/>
        <w:spacing w:line="380" w:lineRule="exact"/>
        <w:ind w:firstLine="420" w:firstLineChars="200"/>
        <w:rPr>
          <w:rFonts w:ascii="宋体" w:hAnsi="宋体" w:cs="Arial"/>
          <w:bCs/>
          <w:color w:val="auto"/>
        </w:rPr>
      </w:pPr>
      <w:r>
        <w:rPr>
          <w:rFonts w:hint="eastAsia" w:ascii="宋体" w:hAnsi="宋体" w:cs="Arial"/>
          <w:bCs/>
          <w:color w:val="auto"/>
        </w:rPr>
        <w:t>书面通知应包括但不限于合同编号、产品名称及装箱清单、运输方式、运输服务商及联系方式、运单号、发运人、发运时间、预计到达时间。</w:t>
      </w:r>
    </w:p>
    <w:p>
      <w:pPr>
        <w:snapToGrid w:val="0"/>
        <w:spacing w:line="380" w:lineRule="exact"/>
        <w:ind w:firstLine="420" w:firstLineChars="200"/>
        <w:rPr>
          <w:rFonts w:ascii="宋体" w:hAnsi="宋体" w:cs="Arial"/>
          <w:bCs/>
          <w:color w:val="auto"/>
        </w:rPr>
      </w:pPr>
      <w:r>
        <w:rPr>
          <w:rFonts w:hint="eastAsia" w:ascii="宋体" w:hAnsi="宋体" w:cs="Arial"/>
          <w:bCs/>
          <w:color w:val="auto"/>
        </w:rPr>
        <w:t>未按约定提前通知的，甲方有权拒绝到货验收，乙方自行承担责任和风险。</w:t>
      </w:r>
    </w:p>
    <w:p>
      <w:pPr>
        <w:snapToGrid w:val="0"/>
        <w:spacing w:line="380" w:lineRule="exact"/>
        <w:ind w:firstLine="420" w:firstLineChars="200"/>
        <w:rPr>
          <w:rFonts w:ascii="宋体" w:hAnsi="宋体" w:cs="Arial"/>
          <w:bCs/>
          <w:color w:val="auto"/>
        </w:rPr>
      </w:pPr>
      <w:r>
        <w:rPr>
          <w:rFonts w:hint="eastAsia" w:ascii="宋体" w:hAnsi="宋体" w:cs="Arial"/>
          <w:bCs/>
          <w:color w:val="auto"/>
        </w:rPr>
        <w:t>3.交货地点：</w:t>
      </w:r>
      <w:r>
        <w:rPr>
          <w:rFonts w:hint="eastAsia" w:ascii="宋体" w:hAnsi="宋体" w:cs="Arial"/>
          <w:bCs/>
          <w:color w:val="auto"/>
          <w:u w:val="single"/>
        </w:rPr>
        <w:t>广西南宁市甲方指定地点</w:t>
      </w:r>
      <w:r>
        <w:rPr>
          <w:rFonts w:hint="eastAsia" w:ascii="宋体" w:hAnsi="宋体" w:cs="Arial"/>
          <w:bCs/>
          <w:color w:val="auto"/>
        </w:rPr>
        <w:t>。全部产品从乙方到甲方指定地点所发生包括但不限于运费、保险费、装卸费、仓储费及其他一切费用由乙方承担。货物装卸、转运需要装卸、运输工具的由乙方自行负责。</w:t>
      </w:r>
    </w:p>
    <w:p>
      <w:pPr>
        <w:snapToGrid w:val="0"/>
        <w:spacing w:line="380" w:lineRule="exact"/>
        <w:ind w:firstLine="420" w:firstLineChars="200"/>
        <w:rPr>
          <w:rFonts w:ascii="宋体" w:hAnsi="宋体" w:cs="Arial"/>
          <w:bCs/>
          <w:color w:val="auto"/>
        </w:rPr>
      </w:pPr>
      <w:r>
        <w:rPr>
          <w:rFonts w:hint="eastAsia" w:ascii="宋体" w:hAnsi="宋体" w:cs="Arial"/>
          <w:bCs/>
          <w:color w:val="auto"/>
        </w:rPr>
        <w:t>4.甲方可根据实际需要情况调整乙方交货时间和地点，但要求提前供货的应给与乙方必要、合理准备时间。</w:t>
      </w:r>
    </w:p>
    <w:p>
      <w:pPr>
        <w:snapToGrid w:val="0"/>
        <w:spacing w:line="360" w:lineRule="exact"/>
        <w:ind w:firstLine="420" w:firstLineChars="200"/>
        <w:rPr>
          <w:rFonts w:ascii="宋体" w:hAnsi="宋体"/>
          <w:color w:val="auto"/>
        </w:rPr>
      </w:pPr>
      <w:r>
        <w:rPr>
          <w:rFonts w:hint="eastAsia" w:ascii="宋体" w:hAnsi="宋体" w:cs="Arial"/>
          <w:bCs/>
          <w:color w:val="auto"/>
        </w:rPr>
        <w:t>5.产品安装期间乙方应严格做好安全防护措施，设置安全警示标识，及时消除安全隐患，做到安全施工、文明施工，承担相关费用。安装期间发生安全事故的，责任由乙方承担，由此造成甲方、乙方人员或者第三方损失的，乙方予以赔偿。</w:t>
      </w:r>
    </w:p>
    <w:p>
      <w:pPr>
        <w:snapToGrid w:val="0"/>
        <w:spacing w:line="380" w:lineRule="exact"/>
        <w:ind w:firstLine="422" w:firstLineChars="200"/>
        <w:rPr>
          <w:rFonts w:ascii="宋体" w:hAnsi="宋体" w:cs="Arial"/>
          <w:b/>
          <w:color w:val="auto"/>
        </w:rPr>
      </w:pPr>
      <w:r>
        <w:rPr>
          <w:rFonts w:hint="eastAsia" w:ascii="宋体" w:hAnsi="宋体" w:cs="Arial"/>
          <w:b/>
          <w:color w:val="auto"/>
        </w:rPr>
        <w:t>第六条　产品的验收</w:t>
      </w:r>
    </w:p>
    <w:p>
      <w:pPr>
        <w:snapToGrid w:val="0"/>
        <w:spacing w:line="380" w:lineRule="exact"/>
        <w:ind w:firstLine="420" w:firstLineChars="200"/>
        <w:rPr>
          <w:rFonts w:ascii="宋体" w:hAnsi="宋体" w:cs="Arial"/>
          <w:bCs/>
          <w:color w:val="auto"/>
        </w:rPr>
      </w:pPr>
      <w:r>
        <w:rPr>
          <w:rFonts w:hint="eastAsia" w:ascii="宋体" w:hAnsi="宋体" w:cs="Arial"/>
          <w:bCs/>
          <w:color w:val="auto"/>
        </w:rPr>
        <w:t>1.乙方应严格执行合同约定的供货周期，保质、保量的完成产品的供货。在货物到达指定地点后，甲、乙双方代表应对产品的数量、包装、规格、品牌、质量、随付单证等清点。未经到货验收的货物乙方不得安装调试，已经安装的甲方有权拒绝进行产品验收。</w:t>
      </w:r>
    </w:p>
    <w:p>
      <w:pPr>
        <w:snapToGrid w:val="0"/>
        <w:spacing w:line="380" w:lineRule="exact"/>
        <w:ind w:firstLine="420" w:firstLineChars="200"/>
        <w:rPr>
          <w:rFonts w:ascii="宋体" w:hAnsi="宋体" w:cs="Arial"/>
          <w:bCs/>
          <w:color w:val="auto"/>
        </w:rPr>
      </w:pPr>
      <w:r>
        <w:rPr>
          <w:rFonts w:hint="eastAsia" w:ascii="宋体" w:hAnsi="宋体" w:cs="Arial"/>
          <w:bCs/>
          <w:color w:val="auto"/>
        </w:rPr>
        <w:t>2.产品到货验收完毕后，乙方对产品进行安装调试，安装调试并试运行三日后申请进行产品验收。甲、乙双方应派代表到现场按照本合同标准进行检验，并据实签署《产品验收单》作为凭证。乙方对不合格的产品验收意见提出书面异议时间为3日，逾期视为无异议。</w:t>
      </w:r>
    </w:p>
    <w:p>
      <w:pPr>
        <w:snapToGrid w:val="0"/>
        <w:spacing w:line="380" w:lineRule="exact"/>
        <w:ind w:firstLine="420" w:firstLineChars="200"/>
        <w:rPr>
          <w:rFonts w:ascii="宋体" w:hAnsi="宋体" w:cs="Arial"/>
          <w:bCs/>
          <w:color w:val="auto"/>
        </w:rPr>
      </w:pPr>
      <w:r>
        <w:rPr>
          <w:rFonts w:hint="eastAsia" w:ascii="宋体" w:hAnsi="宋体" w:cs="Arial"/>
          <w:bCs/>
          <w:color w:val="auto"/>
        </w:rPr>
        <w:t>3.甲乙双方对产品质量有争议协商不成且必须通过检测才能判断时，甲方有权委托具有相应资质的检测单位按照相关标准进行检测，质量检测合格的检测费用由甲方承担，质量检测不合格的检测费用由乙方承担，乙方应当在5日内更换符合本合同质量要求的合格产品，由此产生的费用由乙方承担，并承担相应违约责任。</w:t>
      </w:r>
    </w:p>
    <w:p>
      <w:pPr>
        <w:snapToGrid w:val="0"/>
        <w:spacing w:line="380" w:lineRule="exact"/>
        <w:ind w:firstLine="420" w:firstLineChars="200"/>
        <w:rPr>
          <w:rFonts w:ascii="宋体" w:hAnsi="宋体" w:cs="Arial"/>
          <w:bCs/>
          <w:color w:val="auto"/>
        </w:rPr>
      </w:pPr>
      <w:r>
        <w:rPr>
          <w:rFonts w:hint="eastAsia" w:ascii="宋体" w:hAnsi="宋体" w:cs="Arial"/>
          <w:bCs/>
          <w:color w:val="auto"/>
        </w:rPr>
        <w:t>4.根据规定或技术性强需要相关部门检测结果作为验收依据或需要有相关部门组织、参加的，应委托相关部门先行检测或邀请相关部门组织、参加产品验收。检测、验收所需费用由乙方负责。压力容器的检验检定应在乙方送货前完成。</w:t>
      </w:r>
    </w:p>
    <w:p>
      <w:pPr>
        <w:snapToGrid w:val="0"/>
        <w:spacing w:before="120" w:after="120" w:line="380" w:lineRule="exact"/>
        <w:ind w:firstLine="420" w:firstLineChars="200"/>
        <w:jc w:val="left"/>
        <w:rPr>
          <w:rFonts w:ascii="宋体" w:hAnsi="宋体" w:cs="Arial"/>
          <w:color w:val="auto"/>
        </w:rPr>
      </w:pPr>
      <w:r>
        <w:rPr>
          <w:rFonts w:hint="eastAsia" w:ascii="宋体" w:hAnsi="宋体" w:cs="Arial"/>
          <w:color w:val="auto"/>
        </w:rPr>
        <w:t>5.其他未尽事宜参照《关于印发广西壮族自治区政府采购项目履约验收管理办法的通知》[桂财采〔2015〕22号]以及《财政部关于进一步加强政府采购需求和履约验收管理的指导意见》[财库〔2016〕205号]规定执行。</w:t>
      </w:r>
    </w:p>
    <w:p>
      <w:pPr>
        <w:snapToGrid w:val="0"/>
        <w:spacing w:line="380" w:lineRule="exact"/>
        <w:ind w:firstLine="422" w:firstLineChars="200"/>
        <w:rPr>
          <w:rFonts w:ascii="宋体" w:hAnsi="宋体" w:cs="Arial"/>
          <w:b/>
          <w:color w:val="auto"/>
        </w:rPr>
      </w:pPr>
      <w:r>
        <w:rPr>
          <w:rFonts w:hint="eastAsia" w:ascii="宋体" w:hAnsi="宋体" w:cs="Arial"/>
          <w:b/>
          <w:color w:val="auto"/>
        </w:rPr>
        <w:t>第七条  培训</w:t>
      </w:r>
    </w:p>
    <w:p>
      <w:pPr>
        <w:snapToGrid w:val="0"/>
        <w:spacing w:line="380" w:lineRule="exact"/>
        <w:ind w:firstLine="420" w:firstLineChars="200"/>
        <w:rPr>
          <w:rFonts w:ascii="宋体" w:hAnsi="宋体" w:cs="Arial"/>
          <w:color w:val="auto"/>
          <w:u w:val="single"/>
        </w:rPr>
      </w:pPr>
      <w:r>
        <w:rPr>
          <w:rFonts w:hint="eastAsia" w:ascii="宋体" w:hAnsi="宋体" w:cs="Arial"/>
          <w:color w:val="auto"/>
        </w:rPr>
        <w:t>乙方负责甲方有关人员的培训。培训时间、地点：</w:t>
      </w:r>
      <w:r>
        <w:rPr>
          <w:rFonts w:hint="eastAsia" w:ascii="宋体" w:hAnsi="宋体" w:cs="Arial"/>
          <w:color w:val="auto"/>
          <w:u w:val="single"/>
        </w:rPr>
        <w:t>由甲方决定，乙方无条件满足甲方要求。</w:t>
      </w:r>
    </w:p>
    <w:p>
      <w:pPr>
        <w:snapToGrid w:val="0"/>
        <w:spacing w:line="380" w:lineRule="exact"/>
        <w:ind w:firstLine="422" w:firstLineChars="200"/>
        <w:rPr>
          <w:rFonts w:ascii="宋体" w:hAnsi="宋体" w:cs="Arial"/>
          <w:b/>
          <w:color w:val="auto"/>
        </w:rPr>
      </w:pPr>
      <w:r>
        <w:rPr>
          <w:rFonts w:hint="eastAsia" w:ascii="宋体" w:hAnsi="宋体" w:cs="Arial"/>
          <w:b/>
          <w:color w:val="auto"/>
        </w:rPr>
        <w:t>第八条　付款</w:t>
      </w:r>
    </w:p>
    <w:p>
      <w:pPr>
        <w:snapToGrid w:val="0"/>
        <w:spacing w:line="360" w:lineRule="auto"/>
        <w:ind w:firstLine="420" w:firstLineChars="200"/>
        <w:rPr>
          <w:rFonts w:ascii="宋体" w:hAnsi="宋体" w:cs="宋体"/>
          <w:bCs/>
          <w:color w:val="auto"/>
          <w:u w:val="single"/>
        </w:rPr>
      </w:pPr>
      <w:r>
        <w:rPr>
          <w:rFonts w:hint="eastAsia" w:ascii="宋体" w:hAnsi="宋体" w:cs="宋体"/>
          <w:bCs/>
          <w:color w:val="auto"/>
        </w:rPr>
        <w:t>1.付款方式：</w:t>
      </w:r>
      <w:r>
        <w:rPr>
          <w:rFonts w:hint="eastAsia" w:ascii="宋体" w:hAnsi="宋体" w:cs="宋体"/>
          <w:bCs/>
          <w:color w:val="auto"/>
          <w:kern w:val="0"/>
        </w:rPr>
        <w:t>无预付款，全部货物交货、安装调试并验收合格，乙方提供验收报告及开具增值税发票后，甲方六个月内一次性支付完剩余全部货款；乙方应在签订合同前按成交金额的5%向采购人指定账户提交履约保证金，交货完毕并验收合格后，乙方提出退款申请，甲方20个工作日内无息返还。</w:t>
      </w:r>
    </w:p>
    <w:p>
      <w:pPr>
        <w:snapToGrid w:val="0"/>
        <w:spacing w:line="380" w:lineRule="exact"/>
        <w:ind w:firstLine="420" w:firstLineChars="200"/>
        <w:rPr>
          <w:rFonts w:ascii="宋体" w:hAnsi="宋体" w:cs="Arial"/>
          <w:color w:val="auto"/>
        </w:rPr>
      </w:pPr>
      <w:r>
        <w:rPr>
          <w:rFonts w:hint="eastAsia" w:ascii="宋体" w:hAnsi="宋体" w:cs="Arial"/>
          <w:color w:val="auto"/>
        </w:rPr>
        <w:t>2.乙方申请付款时须提供符合要求的发票给甲方，否则甲方的付款期限顺延。乙方应当确保发票真实无误且合法有效，如发现存在虚假发票或违规发票的，乙方须赔偿甲方发票票面金额一倍的违约金，由此产生的一切损失均由乙方承担。</w:t>
      </w:r>
    </w:p>
    <w:p>
      <w:pPr>
        <w:snapToGrid w:val="0"/>
        <w:spacing w:line="380" w:lineRule="exact"/>
        <w:ind w:firstLine="420" w:firstLineChars="200"/>
        <w:rPr>
          <w:rFonts w:ascii="宋体" w:hAnsi="宋体" w:cs="Arial"/>
          <w:color w:val="auto"/>
        </w:rPr>
      </w:pPr>
      <w:r>
        <w:rPr>
          <w:rFonts w:hint="eastAsia" w:ascii="宋体" w:hAnsi="宋体" w:cs="Arial"/>
          <w:color w:val="auto"/>
        </w:rPr>
        <w:t>3.在本合同履行过程中，如甲方设计变更导致增减采购产品数量的，价格按本合同约定价格执行，合同期内产品单价不因任何原因而调整。</w:t>
      </w:r>
    </w:p>
    <w:p>
      <w:pPr>
        <w:snapToGrid w:val="0"/>
        <w:spacing w:line="380" w:lineRule="exact"/>
        <w:ind w:firstLine="422" w:firstLineChars="200"/>
        <w:rPr>
          <w:rFonts w:ascii="宋体" w:hAnsi="宋体" w:cs="Arial"/>
          <w:b/>
          <w:color w:val="auto"/>
        </w:rPr>
      </w:pPr>
      <w:r>
        <w:rPr>
          <w:rFonts w:hint="eastAsia" w:ascii="宋体" w:hAnsi="宋体" w:cs="Arial"/>
          <w:b/>
          <w:color w:val="auto"/>
        </w:rPr>
        <w:t>第九条　履约保证金</w:t>
      </w:r>
    </w:p>
    <w:p>
      <w:pPr>
        <w:snapToGrid w:val="0"/>
        <w:spacing w:line="380" w:lineRule="exact"/>
        <w:ind w:firstLine="420" w:firstLineChars="200"/>
        <w:rPr>
          <w:rFonts w:ascii="宋体" w:hAnsi="宋体"/>
          <w:color w:val="auto"/>
        </w:rPr>
      </w:pPr>
      <w:r>
        <w:rPr>
          <w:rFonts w:hint="eastAsia" w:ascii="宋体" w:hAnsi="宋体"/>
          <w:color w:val="auto"/>
        </w:rPr>
        <w:t>1.乙方在签订合同前按合同金额的5%向甲方指定账户提交履约保证金，交货完毕并验收合格后，乙方提出退款申请，如有违约或赔偿的，涉及违约的违约金和损失赔偿从履约保证金中扣减后，甲方</w:t>
      </w:r>
      <w:r>
        <w:rPr>
          <w:rFonts w:hint="eastAsia"/>
          <w:color w:val="auto"/>
        </w:rPr>
        <w:t>20</w:t>
      </w:r>
      <w:r>
        <w:rPr>
          <w:rFonts w:hint="eastAsia" w:ascii="宋体" w:hAnsi="宋体"/>
          <w:color w:val="auto"/>
        </w:rPr>
        <w:t>个工作日内转账退还（无息）。</w:t>
      </w:r>
    </w:p>
    <w:p>
      <w:pPr>
        <w:snapToGrid w:val="0"/>
        <w:spacing w:line="380" w:lineRule="exact"/>
        <w:ind w:firstLine="420" w:firstLineChars="200"/>
        <w:rPr>
          <w:rFonts w:ascii="宋体" w:hAnsi="宋体"/>
          <w:color w:val="auto"/>
        </w:rPr>
      </w:pPr>
      <w:r>
        <w:rPr>
          <w:rFonts w:hint="eastAsia" w:ascii="宋体" w:hAnsi="宋体"/>
          <w:color w:val="auto"/>
        </w:rPr>
        <w:t>2.履约保证金指定账户：</w:t>
      </w:r>
    </w:p>
    <w:p>
      <w:pPr>
        <w:snapToGrid w:val="0"/>
        <w:spacing w:line="380" w:lineRule="exact"/>
        <w:ind w:firstLine="420" w:firstLineChars="200"/>
        <w:rPr>
          <w:rFonts w:ascii="宋体" w:hAnsi="宋体"/>
          <w:color w:val="auto"/>
        </w:rPr>
      </w:pPr>
      <w:r>
        <w:rPr>
          <w:rFonts w:hint="eastAsia" w:ascii="宋体" w:hAnsi="宋体"/>
          <w:color w:val="auto"/>
        </w:rPr>
        <w:t>开户名称：广西中医药大学第一附属医院</w:t>
      </w:r>
    </w:p>
    <w:p>
      <w:pPr>
        <w:snapToGrid w:val="0"/>
        <w:spacing w:line="380" w:lineRule="exact"/>
        <w:ind w:firstLine="420" w:firstLineChars="200"/>
        <w:rPr>
          <w:rFonts w:ascii="宋体" w:hAnsi="宋体"/>
          <w:color w:val="auto"/>
        </w:rPr>
      </w:pPr>
      <w:r>
        <w:rPr>
          <w:rFonts w:hint="eastAsia" w:ascii="宋体" w:hAnsi="宋体"/>
          <w:color w:val="auto"/>
        </w:rPr>
        <w:t>开户银行：建行南宁园湖南路支行</w:t>
      </w:r>
    </w:p>
    <w:p>
      <w:pPr>
        <w:snapToGrid w:val="0"/>
        <w:spacing w:line="380" w:lineRule="exact"/>
        <w:ind w:firstLine="420" w:firstLineChars="200"/>
        <w:rPr>
          <w:rFonts w:ascii="宋体" w:hAnsi="宋体"/>
          <w:color w:val="auto"/>
        </w:rPr>
      </w:pPr>
      <w:r>
        <w:rPr>
          <w:rFonts w:hint="eastAsia" w:ascii="宋体" w:hAnsi="宋体"/>
          <w:color w:val="auto"/>
        </w:rPr>
        <w:t>银行账号：45001604652050502742。</w:t>
      </w:r>
    </w:p>
    <w:p>
      <w:pPr>
        <w:snapToGrid w:val="0"/>
        <w:spacing w:line="380" w:lineRule="exact"/>
        <w:ind w:firstLine="422" w:firstLineChars="200"/>
        <w:rPr>
          <w:rFonts w:ascii="宋体" w:hAnsi="宋体" w:cs="Arial"/>
          <w:b/>
          <w:color w:val="auto"/>
        </w:rPr>
      </w:pPr>
      <w:r>
        <w:rPr>
          <w:rFonts w:hint="eastAsia" w:ascii="宋体" w:hAnsi="宋体" w:cs="Arial"/>
          <w:b/>
          <w:color w:val="auto"/>
        </w:rPr>
        <w:t xml:space="preserve">第十条　税费  </w:t>
      </w:r>
    </w:p>
    <w:p>
      <w:pPr>
        <w:snapToGrid w:val="0"/>
        <w:spacing w:line="380" w:lineRule="exact"/>
        <w:ind w:firstLine="420" w:firstLineChars="200"/>
        <w:rPr>
          <w:rFonts w:ascii="宋体" w:hAnsi="宋体"/>
          <w:color w:val="auto"/>
        </w:rPr>
      </w:pPr>
      <w:r>
        <w:rPr>
          <w:rFonts w:hint="eastAsia" w:ascii="宋体" w:hAnsi="宋体"/>
          <w:color w:val="auto"/>
        </w:rPr>
        <w:t>本合同执行中相关的一切税费均由乙方负担。</w:t>
      </w:r>
    </w:p>
    <w:p>
      <w:pPr>
        <w:snapToGrid w:val="0"/>
        <w:spacing w:line="380" w:lineRule="exact"/>
        <w:ind w:firstLine="422" w:firstLineChars="200"/>
        <w:rPr>
          <w:rFonts w:ascii="宋体" w:hAnsi="宋体" w:cs="Arial"/>
          <w:b/>
          <w:color w:val="auto"/>
        </w:rPr>
      </w:pPr>
      <w:r>
        <w:rPr>
          <w:rFonts w:hint="eastAsia" w:ascii="宋体" w:hAnsi="宋体" w:cs="Arial"/>
          <w:b/>
          <w:color w:val="auto"/>
        </w:rPr>
        <w:t>第十一条　质量保证及售后服务</w:t>
      </w:r>
    </w:p>
    <w:p>
      <w:pPr>
        <w:snapToGrid w:val="0"/>
        <w:spacing w:before="120" w:after="120" w:line="380" w:lineRule="exact"/>
        <w:ind w:firstLine="420" w:firstLineChars="200"/>
        <w:rPr>
          <w:rFonts w:ascii="宋体" w:hAnsi="宋体" w:cs="Arial"/>
          <w:color w:val="auto"/>
        </w:rPr>
      </w:pPr>
      <w:r>
        <w:rPr>
          <w:rFonts w:hint="eastAsia" w:ascii="宋体" w:hAnsi="宋体" w:cs="Arial"/>
          <w:color w:val="auto"/>
        </w:rPr>
        <w:t>1.本合同产品的质量保证期为自产品验收合格次日起至少</w:t>
      </w:r>
      <w:r>
        <w:rPr>
          <w:rFonts w:hint="eastAsia" w:ascii="宋体" w:hAnsi="宋体" w:cs="Arial"/>
          <w:color w:val="auto"/>
          <w:u w:val="single"/>
        </w:rPr>
        <w:t xml:space="preserve">   </w:t>
      </w:r>
      <w:r>
        <w:rPr>
          <w:rFonts w:hint="eastAsia" w:ascii="宋体" w:hAnsi="宋体" w:cs="Arial"/>
          <w:color w:val="auto"/>
        </w:rPr>
        <w:t>个月（制造商承诺保修期超过此期限的以较长时间为准）。在质量保证期内，货物出现质量问题，乙方应当在甲方通知起</w:t>
      </w:r>
      <w:r>
        <w:rPr>
          <w:rFonts w:hint="eastAsia" w:ascii="宋体" w:hAnsi="宋体" w:cs="Arial"/>
          <w:color w:val="auto"/>
          <w:u w:val="single"/>
        </w:rPr>
        <w:t xml:space="preserve">   小时</w:t>
      </w:r>
      <w:r>
        <w:rPr>
          <w:rFonts w:hint="eastAsia" w:ascii="宋体" w:hAnsi="宋体" w:cs="Arial"/>
          <w:color w:val="auto"/>
        </w:rPr>
        <w:t>内响应，如经远程技术指导不能解决故障的，</w:t>
      </w:r>
      <w:r>
        <w:rPr>
          <w:rFonts w:hint="eastAsia" w:ascii="宋体" w:hAnsi="宋体" w:cs="Arial"/>
          <w:b/>
          <w:color w:val="auto"/>
          <w:u w:val="single"/>
        </w:rPr>
        <w:t xml:space="preserve">   小时内</w:t>
      </w:r>
      <w:r>
        <w:rPr>
          <w:rFonts w:hint="eastAsia" w:ascii="宋体" w:hAnsi="宋体" w:cs="Arial"/>
          <w:color w:val="auto"/>
        </w:rPr>
        <w:t>免费上门进行维护、维修、更换，接到通知后</w:t>
      </w:r>
      <w:r>
        <w:rPr>
          <w:rFonts w:hint="eastAsia" w:ascii="宋体" w:hAnsi="宋体" w:cs="Arial"/>
          <w:b/>
          <w:color w:val="auto"/>
          <w:u w:val="single"/>
        </w:rPr>
        <w:t xml:space="preserve">   小时内</w:t>
      </w:r>
      <w:r>
        <w:rPr>
          <w:rFonts w:hint="eastAsia" w:ascii="宋体" w:hAnsi="宋体" w:cs="Arial"/>
          <w:color w:val="auto"/>
        </w:rPr>
        <w:t>完成维修工作，并提供维护报告。维护维修更换零配件的应提供使用原厂、全新零配件并经甲方确认。</w:t>
      </w:r>
    </w:p>
    <w:p>
      <w:pPr>
        <w:snapToGrid w:val="0"/>
        <w:spacing w:before="120" w:after="120" w:line="380" w:lineRule="exact"/>
        <w:ind w:firstLine="420" w:firstLineChars="200"/>
        <w:rPr>
          <w:rFonts w:ascii="宋体" w:hAnsi="宋体" w:cs="Arial"/>
          <w:color w:val="auto"/>
        </w:rPr>
      </w:pPr>
      <w:r>
        <w:rPr>
          <w:rFonts w:hint="eastAsia" w:ascii="宋体" w:hAnsi="宋体" w:cs="Arial"/>
          <w:color w:val="auto"/>
        </w:rPr>
        <w:t>2.质量保证期内，如发生重要或核心部件两次及以上故障，或相同故障经三次维修不能解决的，甲方有权要求乙方无条件退款退货并赔偿损失。</w:t>
      </w:r>
    </w:p>
    <w:p>
      <w:pPr>
        <w:snapToGrid w:val="0"/>
        <w:spacing w:before="120" w:after="120" w:line="380" w:lineRule="exact"/>
        <w:ind w:firstLine="420" w:firstLineChars="200"/>
        <w:rPr>
          <w:rFonts w:ascii="宋体" w:hAnsi="宋体" w:cs="Arial"/>
          <w:color w:val="auto"/>
        </w:rPr>
      </w:pPr>
      <w:r>
        <w:rPr>
          <w:rFonts w:hint="eastAsia" w:ascii="宋体" w:hAnsi="宋体" w:cs="Arial"/>
          <w:color w:val="auto"/>
        </w:rPr>
        <w:t>3.质量保证期内，超过约定期限未能修复设备的，乙方应在一个工作日内提供不低于合同设备功能标准的备用设备，保证甲方业务工作的连续性。</w:t>
      </w:r>
    </w:p>
    <w:p>
      <w:pPr>
        <w:snapToGrid w:val="0"/>
        <w:spacing w:before="120" w:after="120" w:line="380" w:lineRule="exact"/>
        <w:ind w:firstLine="420" w:firstLineChars="200"/>
        <w:rPr>
          <w:rFonts w:ascii="宋体" w:hAnsi="宋体" w:cs="Arial"/>
          <w:color w:val="auto"/>
        </w:rPr>
      </w:pPr>
      <w:r>
        <w:rPr>
          <w:rFonts w:hint="eastAsia" w:ascii="宋体" w:hAnsi="宋体" w:cs="Arial"/>
          <w:color w:val="auto"/>
        </w:rPr>
        <w:t>4.乙方逾期未按本条约定进行维修、更换或维修、更换后设备达不到设计、标称的功能、参数的，甲方有权自行或委托第三人进行维修、更换，由此产生的费用由乙方承担。经过甲方或第三人维修、更换后的产品，乙方继续按本合同约定承担质量保修责任。乙方未及时履行保修义务导致的损失均由乙方承担。</w:t>
      </w:r>
    </w:p>
    <w:p>
      <w:pPr>
        <w:snapToGrid w:val="0"/>
        <w:spacing w:before="120" w:after="120" w:line="380" w:lineRule="exact"/>
        <w:ind w:firstLine="420" w:firstLineChars="200"/>
        <w:rPr>
          <w:rFonts w:ascii="宋体" w:hAnsi="宋体" w:cs="Arial"/>
          <w:color w:val="auto"/>
        </w:rPr>
      </w:pPr>
      <w:r>
        <w:rPr>
          <w:rFonts w:hint="eastAsia" w:ascii="宋体" w:hAnsi="宋体" w:cs="Arial"/>
          <w:color w:val="auto"/>
        </w:rPr>
        <w:t>5.产品重要或核心零部件经过维修后，自维修合格之日起，质量保证期重新开始计算。</w:t>
      </w:r>
    </w:p>
    <w:p>
      <w:pPr>
        <w:snapToGrid w:val="0"/>
        <w:spacing w:before="120" w:after="120" w:line="380" w:lineRule="exact"/>
        <w:ind w:firstLine="420" w:firstLineChars="200"/>
        <w:rPr>
          <w:rFonts w:ascii="宋体" w:hAnsi="宋体" w:cs="Arial"/>
          <w:color w:val="auto"/>
        </w:rPr>
      </w:pPr>
      <w:r>
        <w:rPr>
          <w:rFonts w:hint="eastAsia" w:ascii="宋体" w:hAnsi="宋体" w:cs="Arial"/>
          <w:color w:val="auto"/>
        </w:rPr>
        <w:t>6.采购文件及乙方在质量保证或售后服务承诺中对质量保修及售后服务有其他更高的要求且对甲方维护权利更有利约定的以该约定为准。</w:t>
      </w:r>
    </w:p>
    <w:p>
      <w:pPr>
        <w:snapToGrid w:val="0"/>
        <w:spacing w:line="380" w:lineRule="exact"/>
        <w:ind w:firstLine="422" w:firstLineChars="200"/>
        <w:rPr>
          <w:rFonts w:ascii="宋体" w:hAnsi="宋体" w:cs="Arial"/>
          <w:b/>
          <w:color w:val="auto"/>
        </w:rPr>
      </w:pPr>
      <w:r>
        <w:rPr>
          <w:rFonts w:hint="eastAsia" w:ascii="宋体" w:hAnsi="宋体" w:cs="Arial"/>
          <w:b/>
          <w:color w:val="auto"/>
        </w:rPr>
        <w:t>第十二条　违约责任</w:t>
      </w:r>
    </w:p>
    <w:p>
      <w:pPr>
        <w:snapToGrid w:val="0"/>
        <w:spacing w:line="380" w:lineRule="exact"/>
        <w:ind w:firstLine="420" w:firstLineChars="200"/>
        <w:rPr>
          <w:rFonts w:ascii="宋体" w:hAnsi="宋体" w:cs="Arial"/>
          <w:bCs/>
          <w:color w:val="auto"/>
        </w:rPr>
      </w:pPr>
      <w:r>
        <w:rPr>
          <w:rFonts w:hint="eastAsia" w:ascii="宋体" w:hAnsi="宋体" w:cs="Arial"/>
          <w:bCs/>
          <w:color w:val="auto"/>
        </w:rPr>
        <w:t>1.若乙方未按本合同约定或甲方发货通知要求的期限交货、安装或完成本合同约定的其他工作的，每逾期一天，乙方应按本合同总价款的</w:t>
      </w:r>
      <w:r>
        <w:rPr>
          <w:rFonts w:hint="eastAsia" w:ascii="宋体" w:hAnsi="宋体" w:cs="Arial"/>
          <w:bCs/>
          <w:color w:val="auto"/>
          <w:u w:val="single"/>
        </w:rPr>
        <w:t>万分之五</w:t>
      </w:r>
      <w:r>
        <w:rPr>
          <w:rFonts w:hint="eastAsia" w:ascii="宋体" w:hAnsi="宋体" w:cs="Arial"/>
          <w:bCs/>
          <w:color w:val="auto"/>
        </w:rPr>
        <w:t>向甲方支付违约金；逾期</w:t>
      </w:r>
      <w:r>
        <w:rPr>
          <w:rFonts w:hint="eastAsia" w:ascii="宋体" w:hAnsi="宋体" w:cs="Arial"/>
          <w:bCs/>
          <w:color w:val="auto"/>
          <w:u w:val="single"/>
        </w:rPr>
        <w:t>15</w:t>
      </w:r>
      <w:r>
        <w:rPr>
          <w:rFonts w:hint="eastAsia" w:ascii="宋体" w:hAnsi="宋体" w:cs="Arial"/>
          <w:bCs/>
          <w:color w:val="auto"/>
        </w:rPr>
        <w:t>天，甲方有权选择单方解除本合同并要求支付合同总价款</w:t>
      </w:r>
      <w:r>
        <w:rPr>
          <w:rFonts w:hint="eastAsia" w:ascii="宋体" w:hAnsi="宋体" w:cs="Arial"/>
          <w:bCs/>
          <w:color w:val="auto"/>
          <w:u w:val="single"/>
        </w:rPr>
        <w:t>50%</w:t>
      </w:r>
      <w:r>
        <w:rPr>
          <w:rFonts w:hint="eastAsia" w:ascii="宋体" w:hAnsi="宋体" w:cs="Arial"/>
          <w:bCs/>
          <w:color w:val="auto"/>
        </w:rPr>
        <w:t>的违约金。</w:t>
      </w:r>
    </w:p>
    <w:p>
      <w:pPr>
        <w:snapToGrid w:val="0"/>
        <w:spacing w:line="380" w:lineRule="exact"/>
        <w:ind w:firstLine="420" w:firstLineChars="200"/>
        <w:rPr>
          <w:rFonts w:ascii="宋体" w:hAnsi="宋体" w:cs="Arial"/>
          <w:bCs/>
          <w:color w:val="auto"/>
        </w:rPr>
      </w:pPr>
      <w:r>
        <w:rPr>
          <w:rFonts w:hint="eastAsia" w:ascii="宋体" w:hAnsi="宋体" w:cs="Arial"/>
          <w:bCs/>
          <w:color w:val="auto"/>
        </w:rPr>
        <w:t>2.经过甲方验收，乙方交付的产品数量、包装、规格、品牌、质量、随附单证等与合同约定不一致的，视为交付不合格，甲方有权采取下列任何一种措施追究乙方违约责任：</w:t>
      </w:r>
    </w:p>
    <w:p>
      <w:pPr>
        <w:snapToGrid w:val="0"/>
        <w:spacing w:line="380" w:lineRule="exact"/>
        <w:ind w:firstLine="420" w:firstLineChars="200"/>
        <w:rPr>
          <w:rFonts w:ascii="宋体" w:hAnsi="宋体" w:cs="Arial"/>
          <w:bCs/>
          <w:color w:val="auto"/>
        </w:rPr>
      </w:pPr>
      <w:r>
        <w:rPr>
          <w:rFonts w:hint="eastAsia" w:ascii="宋体" w:hAnsi="宋体" w:cs="Arial"/>
          <w:bCs/>
          <w:color w:val="auto"/>
        </w:rPr>
        <w:t>（1）拒绝接受不合格产品，要求乙方在</w:t>
      </w:r>
      <w:r>
        <w:rPr>
          <w:rFonts w:hint="eastAsia" w:ascii="宋体" w:hAnsi="宋体" w:cs="Arial"/>
          <w:bCs/>
          <w:color w:val="auto"/>
          <w:u w:val="single"/>
        </w:rPr>
        <w:t>5</w:t>
      </w:r>
      <w:r>
        <w:rPr>
          <w:rFonts w:hint="eastAsia" w:ascii="宋体" w:hAnsi="宋体" w:cs="Arial"/>
          <w:bCs/>
          <w:color w:val="auto"/>
        </w:rPr>
        <w:t>日内无条件更换、补足或修理、重做，由此产生的费用由乙方承担，因此延误交货期的乙方承担相应的违约责任，逾期</w:t>
      </w:r>
      <w:r>
        <w:rPr>
          <w:rFonts w:hint="eastAsia" w:ascii="宋体" w:hAnsi="宋体" w:cs="Arial"/>
          <w:bCs/>
          <w:color w:val="auto"/>
          <w:u w:val="single"/>
        </w:rPr>
        <w:t>15</w:t>
      </w:r>
      <w:r>
        <w:rPr>
          <w:rFonts w:hint="eastAsia" w:ascii="宋体" w:hAnsi="宋体" w:cs="Arial"/>
          <w:bCs/>
          <w:color w:val="auto"/>
        </w:rPr>
        <w:t>日仍未更换、补足或更换、补足后仍不符合合同约定的，甲方有权选择单方解除本合同或部分解除本合同并要求乙方支付解除合同部分价款</w:t>
      </w:r>
      <w:r>
        <w:rPr>
          <w:rFonts w:hint="eastAsia" w:ascii="宋体" w:hAnsi="宋体" w:cs="Arial"/>
          <w:bCs/>
          <w:color w:val="auto"/>
          <w:u w:val="single"/>
        </w:rPr>
        <w:t>50%</w:t>
      </w:r>
      <w:r>
        <w:rPr>
          <w:rFonts w:hint="eastAsia" w:ascii="宋体" w:hAnsi="宋体" w:cs="Arial"/>
          <w:bCs/>
          <w:color w:val="auto"/>
        </w:rPr>
        <w:t>作为违约金；</w:t>
      </w:r>
    </w:p>
    <w:p>
      <w:pPr>
        <w:snapToGrid w:val="0"/>
        <w:spacing w:line="380" w:lineRule="exact"/>
        <w:ind w:firstLine="420" w:firstLineChars="200"/>
        <w:rPr>
          <w:rFonts w:ascii="宋体" w:hAnsi="宋体" w:cs="Arial"/>
          <w:bCs/>
          <w:color w:val="auto"/>
        </w:rPr>
      </w:pPr>
      <w:r>
        <w:rPr>
          <w:rFonts w:hint="eastAsia" w:ascii="宋体" w:hAnsi="宋体" w:cs="Arial"/>
          <w:bCs/>
          <w:color w:val="auto"/>
        </w:rPr>
        <w:t>（2）已经接收的产品要求乙方在</w:t>
      </w:r>
      <w:r>
        <w:rPr>
          <w:rFonts w:hint="eastAsia" w:ascii="宋体" w:hAnsi="宋体" w:cs="Arial"/>
          <w:bCs/>
          <w:color w:val="auto"/>
          <w:u w:val="single"/>
        </w:rPr>
        <w:t>5日</w:t>
      </w:r>
      <w:r>
        <w:rPr>
          <w:rFonts w:hint="eastAsia" w:ascii="宋体" w:hAnsi="宋体" w:cs="Arial"/>
          <w:bCs/>
          <w:color w:val="auto"/>
        </w:rPr>
        <w:t>内无条件退货并退还甲方已支付的全部价款并支付退货部分价款</w:t>
      </w:r>
      <w:r>
        <w:rPr>
          <w:rFonts w:hint="eastAsia" w:ascii="宋体" w:hAnsi="宋体" w:cs="Arial"/>
          <w:bCs/>
          <w:color w:val="auto"/>
          <w:u w:val="single"/>
        </w:rPr>
        <w:t>20%</w:t>
      </w:r>
      <w:r>
        <w:rPr>
          <w:rFonts w:hint="eastAsia" w:ascii="宋体" w:hAnsi="宋体" w:cs="Arial"/>
          <w:bCs/>
          <w:color w:val="auto"/>
        </w:rPr>
        <w:t>的违约金；</w:t>
      </w:r>
    </w:p>
    <w:p>
      <w:pPr>
        <w:snapToGrid w:val="0"/>
        <w:spacing w:line="380" w:lineRule="exact"/>
        <w:ind w:firstLine="420" w:firstLineChars="200"/>
        <w:rPr>
          <w:rFonts w:ascii="宋体" w:hAnsi="宋体" w:cs="Arial"/>
          <w:bCs/>
          <w:color w:val="auto"/>
        </w:rPr>
      </w:pPr>
      <w:r>
        <w:rPr>
          <w:rFonts w:hint="eastAsia" w:ascii="宋体" w:hAnsi="宋体" w:cs="Arial"/>
          <w:bCs/>
          <w:color w:val="auto"/>
        </w:rPr>
        <w:t>（3）选择不退换货的，甲方有权根据情况以质论价减少价款并要求乙方支付本合同总金额的</w:t>
      </w:r>
      <w:r>
        <w:rPr>
          <w:rFonts w:hint="eastAsia" w:ascii="宋体" w:hAnsi="宋体" w:cs="Arial"/>
          <w:bCs/>
          <w:color w:val="auto"/>
          <w:u w:val="single"/>
        </w:rPr>
        <w:t>10%</w:t>
      </w:r>
      <w:r>
        <w:rPr>
          <w:rFonts w:hint="eastAsia" w:ascii="宋体" w:hAnsi="宋体" w:cs="Arial"/>
          <w:bCs/>
          <w:color w:val="auto"/>
        </w:rPr>
        <w:t>作为违约金。</w:t>
      </w:r>
    </w:p>
    <w:p>
      <w:pPr>
        <w:snapToGrid w:val="0"/>
        <w:spacing w:line="380" w:lineRule="exact"/>
        <w:ind w:firstLine="420" w:firstLineChars="200"/>
        <w:rPr>
          <w:rFonts w:ascii="宋体" w:hAnsi="宋体" w:cs="Arial"/>
          <w:bCs/>
          <w:color w:val="auto"/>
        </w:rPr>
      </w:pPr>
      <w:r>
        <w:rPr>
          <w:rFonts w:hint="eastAsia" w:ascii="宋体" w:hAnsi="宋体" w:cs="Arial"/>
          <w:bCs/>
          <w:color w:val="auto"/>
        </w:rPr>
        <w:t>3.乙方对其交付产品的质量承担保证责任，因产品设计、生产、存储、运输、工艺、材料缺陷或安装、质保不当等原因发生质量故障的，无论产品的保修期是否经过，均由乙方承担责任，赔偿由此给甲方、第三人造成的全部损失。</w:t>
      </w:r>
    </w:p>
    <w:p>
      <w:pPr>
        <w:snapToGrid w:val="0"/>
        <w:spacing w:line="380" w:lineRule="exact"/>
        <w:ind w:firstLine="420" w:firstLineChars="200"/>
        <w:rPr>
          <w:rFonts w:ascii="宋体" w:hAnsi="宋体" w:cs="Arial"/>
          <w:bCs/>
          <w:color w:val="auto"/>
        </w:rPr>
      </w:pPr>
      <w:r>
        <w:rPr>
          <w:rFonts w:hint="eastAsia" w:ascii="宋体" w:hAnsi="宋体" w:cs="Arial"/>
          <w:bCs/>
          <w:color w:val="auto"/>
        </w:rPr>
        <w:t>4.乙方应当保证有权销售本合同的所有产品，不会因此侵犯到第三人的所有权、知识产权等一切权利也未对产品设置任何负担，属于第三人拥有知识产权的已经取得第三人合法授权，甲方有权不受限制的使用。若因违反本款约定引起的第三方权利纠纷的由乙方负责解决，包括甲方使用该产品所需的授权费以及解决争议发生的一切费用（包括但不限于律师费、诉讼费、鉴定费等）均由乙方承担。如果不能取得使用许可需要另行购买产品的，所需费用由乙方承担，并赔偿甲方因此受到的损失。</w:t>
      </w:r>
    </w:p>
    <w:p>
      <w:pPr>
        <w:snapToGrid w:val="0"/>
        <w:spacing w:line="380" w:lineRule="exact"/>
        <w:ind w:firstLine="420" w:firstLineChars="200"/>
        <w:rPr>
          <w:rFonts w:ascii="宋体" w:hAnsi="宋体" w:cs="Arial"/>
          <w:bCs/>
          <w:color w:val="auto"/>
        </w:rPr>
      </w:pPr>
      <w:r>
        <w:rPr>
          <w:rFonts w:hint="eastAsia" w:ascii="宋体" w:hAnsi="宋体" w:cs="Arial"/>
          <w:bCs/>
          <w:color w:val="auto"/>
        </w:rPr>
        <w:t>5.本合同签订及履行过程中，未经甲方书面同意，乙方不得将本合同的权利义务以任何方式转让给第三人，否则甲方有权选择单方解除本合同并要求乙方支付合同总金额</w:t>
      </w:r>
      <w:r>
        <w:rPr>
          <w:rFonts w:hint="eastAsia" w:ascii="宋体" w:hAnsi="宋体" w:cs="Arial"/>
          <w:bCs/>
          <w:color w:val="auto"/>
          <w:u w:val="single"/>
        </w:rPr>
        <w:t>30%</w:t>
      </w:r>
      <w:r>
        <w:rPr>
          <w:rFonts w:hint="eastAsia" w:ascii="宋体" w:hAnsi="宋体" w:cs="Arial"/>
          <w:bCs/>
          <w:color w:val="auto"/>
        </w:rPr>
        <w:t>的违约金。</w:t>
      </w:r>
    </w:p>
    <w:p>
      <w:pPr>
        <w:snapToGrid w:val="0"/>
        <w:spacing w:line="380" w:lineRule="exact"/>
        <w:ind w:firstLine="420" w:firstLineChars="200"/>
        <w:rPr>
          <w:rFonts w:ascii="宋体" w:hAnsi="宋体" w:cs="Arial"/>
          <w:bCs/>
          <w:color w:val="auto"/>
        </w:rPr>
      </w:pPr>
      <w:r>
        <w:rPr>
          <w:rFonts w:hint="eastAsia" w:ascii="宋体" w:hAnsi="宋体" w:cs="Arial"/>
          <w:bCs/>
          <w:color w:val="auto"/>
        </w:rPr>
        <w:t>6.本合同签订后，乙方要求提前解除合同的，应向甲方支付本合同总价款</w:t>
      </w:r>
      <w:r>
        <w:rPr>
          <w:rFonts w:hint="eastAsia" w:ascii="宋体" w:hAnsi="宋体" w:cs="Arial"/>
          <w:bCs/>
          <w:color w:val="auto"/>
          <w:u w:val="single"/>
        </w:rPr>
        <w:t>30%</w:t>
      </w:r>
      <w:r>
        <w:rPr>
          <w:rFonts w:hint="eastAsia" w:ascii="宋体" w:hAnsi="宋体" w:cs="Arial"/>
          <w:bCs/>
          <w:color w:val="auto"/>
        </w:rPr>
        <w:t>的违约金，退还甲方已支付的全部费用并赔偿由此给甲方造成的全部损失。</w:t>
      </w:r>
    </w:p>
    <w:p>
      <w:pPr>
        <w:snapToGrid w:val="0"/>
        <w:spacing w:line="380" w:lineRule="exact"/>
        <w:ind w:firstLine="420" w:firstLineChars="200"/>
        <w:rPr>
          <w:rFonts w:ascii="宋体" w:hAnsi="宋体" w:cs="Arial"/>
          <w:bCs/>
          <w:color w:val="auto"/>
        </w:rPr>
      </w:pPr>
      <w:r>
        <w:rPr>
          <w:rFonts w:hint="eastAsia" w:ascii="宋体" w:hAnsi="宋体" w:cs="Arial"/>
          <w:bCs/>
          <w:color w:val="auto"/>
        </w:rPr>
        <w:t>7.乙方应当支付给甲方的违约金、赔偿金，甲方有权从履约保证金及未支付的货款中扣除，违约金不足以赔偿给甲方造成损失的，甲方仍有权向乙方进行追偿。</w:t>
      </w:r>
    </w:p>
    <w:p>
      <w:pPr>
        <w:snapToGrid w:val="0"/>
        <w:spacing w:line="380" w:lineRule="exact"/>
        <w:ind w:firstLine="420" w:firstLineChars="200"/>
        <w:rPr>
          <w:rFonts w:ascii="宋体" w:hAnsi="宋体" w:cs="Arial"/>
          <w:bCs/>
          <w:color w:val="auto"/>
        </w:rPr>
      </w:pPr>
      <w:r>
        <w:rPr>
          <w:rFonts w:hint="eastAsia" w:ascii="宋体" w:hAnsi="宋体" w:cs="Arial"/>
          <w:bCs/>
          <w:color w:val="auto"/>
        </w:rPr>
        <w:t>8.按本合同约定甲方选择解除合同的，自甲方解除合同的书面通知送达乙方之日起合同解除，乙方应赔偿由此给甲方造成的全部损失。甲方不支付乙方任何费用，乙方对解除合同有异议的异议期为</w:t>
      </w:r>
      <w:r>
        <w:rPr>
          <w:rFonts w:hint="eastAsia" w:ascii="宋体" w:hAnsi="宋体" w:cs="Arial"/>
          <w:bCs/>
          <w:color w:val="auto"/>
          <w:u w:val="single"/>
        </w:rPr>
        <w:t>7日</w:t>
      </w:r>
      <w:r>
        <w:rPr>
          <w:rFonts w:hint="eastAsia" w:ascii="宋体" w:hAnsi="宋体" w:cs="Arial"/>
          <w:bCs/>
          <w:color w:val="auto"/>
        </w:rPr>
        <w:t>。乙方应当在合同解除后</w:t>
      </w:r>
      <w:r>
        <w:rPr>
          <w:rFonts w:hint="eastAsia" w:ascii="宋体" w:hAnsi="宋体" w:cs="Arial"/>
          <w:bCs/>
          <w:color w:val="auto"/>
          <w:u w:val="single"/>
        </w:rPr>
        <w:t>5日</w:t>
      </w:r>
      <w:r>
        <w:rPr>
          <w:rFonts w:hint="eastAsia" w:ascii="宋体" w:hAnsi="宋体" w:cs="Arial"/>
          <w:bCs/>
          <w:color w:val="auto"/>
        </w:rPr>
        <w:t>内退还甲方支付的所有费用（如有），自费运回所交付的货物，付清违约金、赔偿金。</w:t>
      </w:r>
    </w:p>
    <w:p>
      <w:pPr>
        <w:snapToGrid w:val="0"/>
        <w:spacing w:line="380" w:lineRule="exact"/>
        <w:ind w:firstLine="420" w:firstLineChars="200"/>
        <w:rPr>
          <w:rFonts w:ascii="宋体" w:hAnsi="宋体" w:cs="Arial"/>
          <w:bCs/>
          <w:color w:val="auto"/>
        </w:rPr>
      </w:pPr>
      <w:r>
        <w:rPr>
          <w:rFonts w:hint="eastAsia" w:ascii="宋体" w:hAnsi="宋体" w:cs="Arial"/>
          <w:bCs/>
          <w:color w:val="auto"/>
        </w:rPr>
        <w:t>9.乙方违反本合同约定或法律规定的，应当赔偿给甲方造成的全部损失，包括但不限于直接损失、预期利益损失、甲方向第三人支付的违约金、赔偿金及甲方为索赔支出的诉讼费、律师费、公证费、保全费、担保费、鉴定费、评估费等全部费用。</w:t>
      </w:r>
    </w:p>
    <w:p>
      <w:pPr>
        <w:snapToGrid w:val="0"/>
        <w:spacing w:before="120" w:after="120" w:line="380" w:lineRule="exact"/>
        <w:ind w:firstLine="413" w:firstLineChars="196"/>
        <w:rPr>
          <w:rFonts w:ascii="宋体" w:hAnsi="宋体" w:cs="Arial"/>
          <w:b/>
          <w:color w:val="auto"/>
        </w:rPr>
      </w:pPr>
      <w:r>
        <w:rPr>
          <w:rFonts w:hint="eastAsia" w:ascii="宋体" w:hAnsi="宋体" w:cs="Arial"/>
          <w:b/>
          <w:color w:val="auto"/>
        </w:rPr>
        <w:t>第十三条  不可抗力事件处理</w:t>
      </w:r>
    </w:p>
    <w:p>
      <w:pPr>
        <w:snapToGrid w:val="0"/>
        <w:spacing w:line="380" w:lineRule="exact"/>
        <w:ind w:firstLine="420" w:firstLineChars="200"/>
        <w:rPr>
          <w:rFonts w:ascii="宋体" w:hAnsi="宋体" w:cs="Arial"/>
          <w:color w:val="auto"/>
        </w:rPr>
      </w:pPr>
      <w:r>
        <w:rPr>
          <w:rFonts w:hint="eastAsia" w:ascii="宋体" w:hAnsi="宋体" w:cs="Arial"/>
          <w:color w:val="auto"/>
        </w:rPr>
        <w:t>1.在合同有效期内，任何一方因不可抗力事件导致不能履行合同，则合同履行期可延长，其延长期与不可抗力影响期相同。</w:t>
      </w:r>
    </w:p>
    <w:p>
      <w:pPr>
        <w:snapToGrid w:val="0"/>
        <w:spacing w:line="380" w:lineRule="exact"/>
        <w:ind w:firstLine="420" w:firstLineChars="200"/>
        <w:rPr>
          <w:rFonts w:ascii="宋体" w:hAnsi="宋体" w:cs="Arial"/>
          <w:color w:val="auto"/>
        </w:rPr>
      </w:pPr>
      <w:r>
        <w:rPr>
          <w:rFonts w:hint="eastAsia" w:ascii="宋体" w:hAnsi="宋体" w:cs="Arial"/>
          <w:color w:val="auto"/>
        </w:rPr>
        <w:t>2.不可抗力事件发生后，应立即通知对方，并寄送有关权威机构出具的证明。</w:t>
      </w:r>
    </w:p>
    <w:p>
      <w:pPr>
        <w:snapToGrid w:val="0"/>
        <w:spacing w:line="380" w:lineRule="exact"/>
        <w:ind w:firstLine="420" w:firstLineChars="200"/>
        <w:rPr>
          <w:rFonts w:ascii="宋体" w:hAnsi="宋体" w:cs="Arial"/>
          <w:color w:val="auto"/>
        </w:rPr>
      </w:pPr>
      <w:r>
        <w:rPr>
          <w:rFonts w:hint="eastAsia" w:ascii="宋体" w:hAnsi="宋体" w:cs="Arial"/>
          <w:color w:val="auto"/>
        </w:rPr>
        <w:t>3.不可抗力事件延续一百二十天以上，双方应通过友好协商，确定是否继续履行合同。</w:t>
      </w:r>
    </w:p>
    <w:p>
      <w:pPr>
        <w:snapToGrid w:val="0"/>
        <w:spacing w:line="380" w:lineRule="exact"/>
        <w:ind w:firstLine="422" w:firstLineChars="200"/>
        <w:rPr>
          <w:rFonts w:ascii="宋体" w:hAnsi="宋体" w:cs="Arial"/>
          <w:color w:val="auto"/>
        </w:rPr>
      </w:pPr>
      <w:r>
        <w:rPr>
          <w:rFonts w:hint="eastAsia" w:ascii="宋体" w:hAnsi="宋体" w:cs="Arial"/>
          <w:b/>
          <w:color w:val="auto"/>
        </w:rPr>
        <w:t>第十四条  合同争议解决</w:t>
      </w:r>
    </w:p>
    <w:p>
      <w:pPr>
        <w:snapToGrid w:val="0"/>
        <w:spacing w:line="380" w:lineRule="exact"/>
        <w:ind w:firstLine="420" w:firstLineChars="200"/>
        <w:rPr>
          <w:rFonts w:ascii="宋体" w:hAnsi="宋体" w:cs="Arial"/>
          <w:color w:val="auto"/>
        </w:rPr>
      </w:pPr>
      <w:r>
        <w:rPr>
          <w:rFonts w:hint="eastAsia" w:ascii="宋体" w:hAnsi="宋体" w:cs="Arial"/>
          <w:color w:val="auto"/>
        </w:rPr>
        <w:t>因履行本合同引起的或与本合同有关的争议，甲乙双方应首先通过友好协商解决，如果协商不能解决，可向甲方所在地人民法院提起诉讼。</w:t>
      </w:r>
    </w:p>
    <w:p>
      <w:pPr>
        <w:snapToGrid w:val="0"/>
        <w:spacing w:line="380" w:lineRule="exact"/>
        <w:ind w:firstLine="422" w:firstLineChars="200"/>
        <w:rPr>
          <w:rFonts w:ascii="宋体" w:hAnsi="宋体" w:cs="Arial"/>
          <w:b/>
          <w:color w:val="auto"/>
        </w:rPr>
      </w:pPr>
      <w:r>
        <w:rPr>
          <w:rFonts w:hint="eastAsia" w:ascii="宋体" w:hAnsi="宋体" w:cs="Arial"/>
          <w:b/>
          <w:color w:val="auto"/>
        </w:rPr>
        <w:t>第十五条  合同的变更、终止与转让</w:t>
      </w:r>
    </w:p>
    <w:p>
      <w:pPr>
        <w:snapToGrid w:val="0"/>
        <w:spacing w:line="380" w:lineRule="exact"/>
        <w:ind w:firstLine="420" w:firstLineChars="200"/>
        <w:rPr>
          <w:rFonts w:ascii="宋体" w:hAnsi="宋体" w:cs="Arial"/>
          <w:color w:val="auto"/>
        </w:rPr>
      </w:pPr>
      <w:r>
        <w:rPr>
          <w:rFonts w:hint="eastAsia" w:ascii="宋体" w:hAnsi="宋体" w:cs="Arial"/>
          <w:color w:val="auto"/>
        </w:rPr>
        <w:t>1.本合同一经签订，甲乙双方不得擅自变更、中止或终止。</w:t>
      </w:r>
    </w:p>
    <w:p>
      <w:pPr>
        <w:snapToGrid w:val="0"/>
        <w:spacing w:line="380" w:lineRule="exact"/>
        <w:ind w:firstLine="420" w:firstLineChars="200"/>
        <w:rPr>
          <w:rFonts w:ascii="宋体" w:hAnsi="宋体" w:cs="Arial"/>
          <w:color w:val="auto"/>
        </w:rPr>
      </w:pPr>
      <w:r>
        <w:rPr>
          <w:rFonts w:hint="eastAsia" w:ascii="宋体" w:hAnsi="宋体" w:cs="Arial"/>
          <w:color w:val="auto"/>
        </w:rPr>
        <w:t>2.未经甲方书面同意，乙方不得擅自转让其应履行的合同义务。</w:t>
      </w:r>
    </w:p>
    <w:p>
      <w:pPr>
        <w:snapToGrid w:val="0"/>
        <w:spacing w:line="380" w:lineRule="exact"/>
        <w:ind w:firstLine="422" w:firstLineChars="200"/>
        <w:rPr>
          <w:rFonts w:ascii="宋体" w:hAnsi="宋体" w:cs="Arial"/>
          <w:b/>
          <w:color w:val="auto"/>
        </w:rPr>
      </w:pPr>
      <w:r>
        <w:rPr>
          <w:rFonts w:hint="eastAsia" w:ascii="宋体" w:hAnsi="宋体" w:cs="Arial"/>
          <w:b/>
          <w:color w:val="auto"/>
        </w:rPr>
        <w:t>第十六条  通知与送达</w:t>
      </w:r>
    </w:p>
    <w:p>
      <w:pPr>
        <w:snapToGrid w:val="0"/>
        <w:spacing w:line="380" w:lineRule="exact"/>
        <w:ind w:firstLine="420" w:firstLineChars="200"/>
        <w:rPr>
          <w:rFonts w:ascii="宋体" w:hAnsi="宋体" w:cs="Arial"/>
          <w:bCs/>
          <w:color w:val="auto"/>
        </w:rPr>
      </w:pPr>
      <w:r>
        <w:rPr>
          <w:rFonts w:hint="eastAsia" w:ascii="宋体" w:hAnsi="宋体" w:cs="Arial"/>
          <w:bCs/>
          <w:color w:val="auto"/>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pPr>
        <w:snapToGrid w:val="0"/>
        <w:spacing w:line="380" w:lineRule="exact"/>
        <w:ind w:firstLine="420" w:firstLineChars="200"/>
        <w:rPr>
          <w:rFonts w:ascii="宋体" w:hAnsi="宋体" w:cs="Arial"/>
          <w:bCs/>
          <w:color w:val="auto"/>
        </w:rPr>
      </w:pPr>
      <w:r>
        <w:rPr>
          <w:rFonts w:hint="eastAsia" w:ascii="宋体" w:hAnsi="宋体" w:cs="Arial"/>
          <w:bCs/>
          <w:color w:val="auto"/>
        </w:rPr>
        <w:t>2.任何一方当事人向对/他方所发出的通知或请求送达时间：</w:t>
      </w:r>
    </w:p>
    <w:p>
      <w:pPr>
        <w:snapToGrid w:val="0"/>
        <w:spacing w:line="380" w:lineRule="exact"/>
        <w:ind w:firstLine="420" w:firstLineChars="200"/>
        <w:rPr>
          <w:rFonts w:ascii="宋体" w:hAnsi="宋体" w:cs="Arial"/>
          <w:bCs/>
          <w:color w:val="auto"/>
        </w:rPr>
      </w:pPr>
      <w:r>
        <w:rPr>
          <w:rFonts w:hint="eastAsia" w:ascii="宋体" w:hAnsi="宋体" w:cs="Arial"/>
          <w:bCs/>
          <w:color w:val="auto"/>
        </w:rPr>
        <w:t>（1）如果是传真，则在发送当日视为送达；</w:t>
      </w:r>
    </w:p>
    <w:p>
      <w:pPr>
        <w:snapToGrid w:val="0"/>
        <w:spacing w:line="380" w:lineRule="exact"/>
        <w:ind w:firstLine="420" w:firstLineChars="200"/>
        <w:rPr>
          <w:rFonts w:ascii="宋体" w:hAnsi="宋体" w:cs="Arial"/>
          <w:bCs/>
          <w:color w:val="auto"/>
        </w:rPr>
      </w:pPr>
      <w:r>
        <w:rPr>
          <w:rFonts w:hint="eastAsia" w:ascii="宋体" w:hAnsi="宋体" w:cs="Arial"/>
          <w:bCs/>
          <w:color w:val="auto"/>
        </w:rPr>
        <w:t>（2）如果是短信/微信/电子邮件，自电子文件内容在发送方正确填写地址且未被系统退回的情况下，进入对方数据电文接收系统当日视为送达。</w:t>
      </w:r>
    </w:p>
    <w:p>
      <w:pPr>
        <w:snapToGrid w:val="0"/>
        <w:spacing w:line="380" w:lineRule="exact"/>
        <w:ind w:firstLine="420" w:firstLineChars="200"/>
        <w:rPr>
          <w:rFonts w:ascii="宋体" w:hAnsi="宋体" w:cs="Arial"/>
          <w:bCs/>
          <w:color w:val="auto"/>
        </w:rPr>
      </w:pPr>
      <w:r>
        <w:rPr>
          <w:rFonts w:hint="eastAsia" w:ascii="宋体" w:hAnsi="宋体" w:cs="Arial"/>
          <w:bCs/>
          <w:color w:val="auto"/>
        </w:rPr>
        <w:t>（3）如果是信函，在挂号信交邮后第三日视为送达；</w:t>
      </w:r>
    </w:p>
    <w:p>
      <w:pPr>
        <w:snapToGrid w:val="0"/>
        <w:spacing w:line="380" w:lineRule="exact"/>
        <w:ind w:firstLine="420" w:firstLineChars="200"/>
        <w:rPr>
          <w:rFonts w:ascii="宋体" w:hAnsi="宋体" w:cs="Arial"/>
          <w:bCs/>
          <w:color w:val="auto"/>
        </w:rPr>
      </w:pPr>
      <w:r>
        <w:rPr>
          <w:rFonts w:hint="eastAsia" w:ascii="宋体" w:hAnsi="宋体" w:cs="Arial"/>
          <w:bCs/>
          <w:color w:val="auto"/>
        </w:rPr>
        <w:t>（4）如果是派人专程送达，则在收件人签收之日视为收到；</w:t>
      </w:r>
    </w:p>
    <w:p>
      <w:pPr>
        <w:snapToGrid w:val="0"/>
        <w:spacing w:line="380" w:lineRule="exact"/>
        <w:ind w:firstLine="420" w:firstLineChars="200"/>
        <w:rPr>
          <w:rFonts w:ascii="宋体" w:hAnsi="宋体" w:cs="Arial"/>
          <w:bCs/>
          <w:color w:val="auto"/>
        </w:rPr>
      </w:pPr>
      <w:r>
        <w:rPr>
          <w:rFonts w:hint="eastAsia" w:ascii="宋体" w:hAnsi="宋体" w:cs="Arial"/>
          <w:bCs/>
          <w:color w:val="auto"/>
        </w:rPr>
        <w:t>（5）如果同时使用几种通知方式的，以其中较快到达接收方者为准。</w:t>
      </w:r>
    </w:p>
    <w:p>
      <w:pPr>
        <w:snapToGrid w:val="0"/>
        <w:spacing w:line="380" w:lineRule="exact"/>
        <w:ind w:firstLine="420" w:firstLineChars="200"/>
        <w:rPr>
          <w:rFonts w:ascii="宋体" w:hAnsi="宋体" w:cs="Arial"/>
          <w:bCs/>
          <w:color w:val="auto"/>
        </w:rPr>
      </w:pPr>
      <w:r>
        <w:rPr>
          <w:rFonts w:hint="eastAsia" w:ascii="宋体" w:hAnsi="宋体" w:cs="Arial"/>
          <w:bCs/>
          <w:color w:val="auto"/>
        </w:rPr>
        <w:t>（6）若送达日为非工作日，则视为在下一工作日送达。</w:t>
      </w:r>
    </w:p>
    <w:p>
      <w:pPr>
        <w:snapToGrid w:val="0"/>
        <w:spacing w:line="380" w:lineRule="exact"/>
        <w:ind w:firstLine="420" w:firstLineChars="200"/>
        <w:rPr>
          <w:rFonts w:ascii="宋体" w:hAnsi="宋体" w:cs="Arial"/>
          <w:bCs/>
          <w:color w:val="auto"/>
        </w:rPr>
      </w:pPr>
      <w:r>
        <w:rPr>
          <w:rFonts w:hint="eastAsia" w:ascii="宋体" w:hAnsi="宋体" w:cs="Arial"/>
          <w:bCs/>
          <w:color w:val="auto"/>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snapToGrid w:val="0"/>
        <w:spacing w:line="380" w:lineRule="exact"/>
        <w:ind w:firstLine="420" w:firstLineChars="200"/>
        <w:rPr>
          <w:rFonts w:ascii="宋体" w:hAnsi="宋体" w:cs="Arial"/>
          <w:b/>
          <w:color w:val="auto"/>
        </w:rPr>
      </w:pPr>
      <w:r>
        <w:rPr>
          <w:rFonts w:hint="eastAsia" w:ascii="宋体" w:hAnsi="宋体" w:cs="Arial"/>
          <w:bCs/>
          <w:color w:val="auto"/>
        </w:rPr>
        <w:t>4.合同送达条款与争议解决条款均为独立条款，不受合同整体或其他条款的效力的影响。</w:t>
      </w:r>
    </w:p>
    <w:p>
      <w:pPr>
        <w:snapToGrid w:val="0"/>
        <w:spacing w:line="380" w:lineRule="exact"/>
        <w:ind w:firstLine="422" w:firstLineChars="200"/>
        <w:rPr>
          <w:rFonts w:ascii="宋体" w:hAnsi="宋体" w:cs="Arial"/>
          <w:b/>
          <w:color w:val="auto"/>
        </w:rPr>
      </w:pPr>
      <w:r>
        <w:rPr>
          <w:rFonts w:hint="eastAsia" w:ascii="宋体" w:hAnsi="宋体" w:cs="Arial"/>
          <w:b/>
          <w:color w:val="auto"/>
        </w:rPr>
        <w:t>第十七条  合同组成及相互关系</w:t>
      </w:r>
    </w:p>
    <w:p>
      <w:pPr>
        <w:snapToGrid w:val="0"/>
        <w:spacing w:line="380" w:lineRule="exact"/>
        <w:ind w:firstLine="420" w:firstLineChars="200"/>
        <w:rPr>
          <w:rFonts w:ascii="宋体" w:hAnsi="宋体" w:cs="Arial"/>
          <w:bCs/>
          <w:color w:val="auto"/>
        </w:rPr>
      </w:pPr>
      <w:r>
        <w:rPr>
          <w:rFonts w:hint="eastAsia" w:ascii="宋体" w:hAnsi="宋体" w:cs="Arial"/>
          <w:bCs/>
          <w:color w:val="auto"/>
        </w:rPr>
        <w:t xml:space="preserve">1.本合同的采购文件（含招标答疑）、符合招标要求的响应文件、成交通知书、本合同履行过程中双方签章确认的协议或其他文件均为本合同的组成部分，若合同组成文件之间发生矛盾的，以下排列顺序为合同组成文件之间的优先解释顺序： </w:t>
      </w:r>
    </w:p>
    <w:p>
      <w:pPr>
        <w:snapToGrid w:val="0"/>
        <w:spacing w:line="380" w:lineRule="exact"/>
        <w:ind w:firstLine="420" w:firstLineChars="200"/>
        <w:rPr>
          <w:rFonts w:ascii="宋体" w:hAnsi="宋体" w:cs="Arial"/>
          <w:bCs/>
          <w:color w:val="auto"/>
        </w:rPr>
      </w:pPr>
      <w:r>
        <w:rPr>
          <w:rFonts w:hint="eastAsia" w:ascii="宋体" w:hAnsi="宋体" w:cs="Arial"/>
          <w:bCs/>
          <w:color w:val="auto"/>
        </w:rPr>
        <w:t>（1）本合同及其附件；</w:t>
      </w:r>
    </w:p>
    <w:p>
      <w:pPr>
        <w:snapToGrid w:val="0"/>
        <w:spacing w:line="380" w:lineRule="exact"/>
        <w:ind w:firstLine="420" w:firstLineChars="200"/>
        <w:rPr>
          <w:rFonts w:ascii="宋体" w:hAnsi="宋体" w:cs="Arial"/>
          <w:bCs/>
          <w:color w:val="auto"/>
        </w:rPr>
      </w:pPr>
      <w:r>
        <w:rPr>
          <w:rFonts w:hint="eastAsia" w:ascii="宋体" w:hAnsi="宋体" w:cs="Arial"/>
          <w:bCs/>
          <w:color w:val="auto"/>
        </w:rPr>
        <w:t>（2）成交通知书；</w:t>
      </w:r>
    </w:p>
    <w:p>
      <w:pPr>
        <w:snapToGrid w:val="0"/>
        <w:spacing w:line="380" w:lineRule="exact"/>
        <w:ind w:firstLine="420" w:firstLineChars="200"/>
        <w:rPr>
          <w:rFonts w:ascii="宋体" w:hAnsi="宋体" w:cs="Arial"/>
          <w:bCs/>
          <w:color w:val="auto"/>
        </w:rPr>
      </w:pPr>
      <w:r>
        <w:rPr>
          <w:rFonts w:hint="eastAsia" w:ascii="宋体" w:hAnsi="宋体" w:cs="Arial"/>
          <w:bCs/>
          <w:color w:val="auto"/>
        </w:rPr>
        <w:t>（3）符合招标要求的响应文件；</w:t>
      </w:r>
    </w:p>
    <w:p>
      <w:pPr>
        <w:snapToGrid w:val="0"/>
        <w:spacing w:line="380" w:lineRule="exact"/>
        <w:ind w:firstLine="420" w:firstLineChars="200"/>
        <w:rPr>
          <w:rFonts w:ascii="宋体" w:hAnsi="宋体" w:cs="Arial"/>
          <w:bCs/>
          <w:color w:val="auto"/>
        </w:rPr>
      </w:pPr>
      <w:r>
        <w:rPr>
          <w:rFonts w:hint="eastAsia" w:ascii="宋体" w:hAnsi="宋体" w:cs="Arial"/>
          <w:bCs/>
          <w:color w:val="auto"/>
        </w:rPr>
        <w:t>（4）采购文件(招标答疑)；</w:t>
      </w:r>
    </w:p>
    <w:p>
      <w:pPr>
        <w:snapToGrid w:val="0"/>
        <w:spacing w:line="380" w:lineRule="exact"/>
        <w:ind w:firstLine="420" w:firstLineChars="200"/>
        <w:rPr>
          <w:rFonts w:ascii="宋体" w:hAnsi="宋体" w:cs="Arial"/>
          <w:bCs/>
          <w:color w:val="auto"/>
        </w:rPr>
      </w:pPr>
      <w:r>
        <w:rPr>
          <w:rFonts w:hint="eastAsia" w:ascii="宋体" w:hAnsi="宋体" w:cs="Arial"/>
          <w:bCs/>
          <w:color w:val="auto"/>
        </w:rPr>
        <w:t>（5）标准、规范及有关技术文件；</w:t>
      </w:r>
    </w:p>
    <w:p>
      <w:pPr>
        <w:snapToGrid w:val="0"/>
        <w:spacing w:line="380" w:lineRule="exact"/>
        <w:ind w:firstLine="420" w:firstLineChars="200"/>
        <w:rPr>
          <w:rFonts w:ascii="宋体" w:hAnsi="宋体" w:cs="Arial"/>
          <w:bCs/>
          <w:color w:val="auto"/>
        </w:rPr>
      </w:pPr>
      <w:r>
        <w:rPr>
          <w:rFonts w:hint="eastAsia" w:ascii="宋体" w:hAnsi="宋体" w:cs="Arial"/>
          <w:bCs/>
          <w:color w:val="auto"/>
        </w:rPr>
        <w:t>（6）其他合同文件。</w:t>
      </w:r>
    </w:p>
    <w:p>
      <w:pPr>
        <w:snapToGrid w:val="0"/>
        <w:spacing w:line="380" w:lineRule="exact"/>
        <w:ind w:firstLine="420" w:firstLineChars="200"/>
        <w:rPr>
          <w:rFonts w:ascii="宋体" w:hAnsi="宋体" w:cs="Arial"/>
          <w:bCs/>
          <w:color w:val="auto"/>
        </w:rPr>
      </w:pPr>
      <w:r>
        <w:rPr>
          <w:rFonts w:hint="eastAsia" w:ascii="宋体" w:hAnsi="宋体" w:cs="Arial"/>
          <w:bCs/>
          <w:color w:val="auto"/>
        </w:rPr>
        <w:t>2.本合同履行过程中双方签章确认的协议或其他文件均为本合同的组成部分。</w:t>
      </w:r>
    </w:p>
    <w:p>
      <w:pPr>
        <w:snapToGrid w:val="0"/>
        <w:spacing w:line="380" w:lineRule="exact"/>
        <w:ind w:firstLine="420" w:firstLineChars="200"/>
        <w:rPr>
          <w:rFonts w:ascii="宋体" w:hAnsi="宋体" w:cs="Arial"/>
          <w:bCs/>
          <w:color w:val="auto"/>
        </w:rPr>
      </w:pPr>
      <w:r>
        <w:rPr>
          <w:rFonts w:hint="eastAsia" w:ascii="宋体" w:hAnsi="宋体" w:cs="Arial"/>
          <w:bCs/>
          <w:color w:val="auto"/>
        </w:rPr>
        <w:t>3.前述文件应认为是互为补充和解释的，如有互相矛盾之处，以前述文件所列顺序作为其优先解释的顺序，但如果某一文件对甲方权利维护更有利或对乙方有更高、更严格要求的以该文件内容为准。</w:t>
      </w:r>
    </w:p>
    <w:p>
      <w:pPr>
        <w:snapToGrid w:val="0"/>
        <w:spacing w:line="380" w:lineRule="exact"/>
        <w:ind w:firstLine="420" w:firstLineChars="200"/>
        <w:rPr>
          <w:rFonts w:ascii="宋体" w:hAnsi="宋体" w:cs="Arial"/>
          <w:color w:val="auto"/>
        </w:rPr>
      </w:pPr>
      <w:r>
        <w:rPr>
          <w:rFonts w:hint="eastAsia" w:ascii="宋体" w:hAnsi="宋体" w:cs="Arial"/>
          <w:bCs/>
          <w:color w:val="auto"/>
        </w:rPr>
        <w:t>4.前述各项文件包括双方就该合同组成文件所作出的补充和修改，属于同一项文件的，应以最新签署的为准。</w:t>
      </w:r>
      <w:r>
        <w:rPr>
          <w:rFonts w:hint="eastAsia" w:ascii="宋体" w:hAnsi="宋体" w:cs="Arial"/>
          <w:color w:val="auto"/>
        </w:rPr>
        <w:t>前述文件应认为是互为补充和解释的，如有互相矛盾之处，以前述文件所列顺序作为其优先解释的顺序，但如果某一文件对甲方权利维护更有利或对乙方有更高、更严格要求的以该文件内容为准。</w:t>
      </w:r>
    </w:p>
    <w:p>
      <w:pPr>
        <w:snapToGrid w:val="0"/>
        <w:spacing w:line="380" w:lineRule="exact"/>
        <w:ind w:firstLine="420" w:firstLineChars="200"/>
        <w:rPr>
          <w:rFonts w:ascii="宋体" w:hAnsi="宋体" w:cs="Arial"/>
          <w:color w:val="auto"/>
        </w:rPr>
      </w:pPr>
      <w:r>
        <w:rPr>
          <w:rFonts w:hint="eastAsia" w:ascii="宋体" w:hAnsi="宋体" w:cs="Arial"/>
          <w:color w:val="auto"/>
        </w:rPr>
        <w:t>5.前述各项文件包括双方就该合同组成文件所作出的补充和修改，属于同一项文件的，应以最新签署的为准。</w:t>
      </w:r>
    </w:p>
    <w:p>
      <w:pPr>
        <w:snapToGrid w:val="0"/>
        <w:spacing w:before="120" w:after="120" w:line="380" w:lineRule="exact"/>
        <w:ind w:firstLine="422" w:firstLineChars="200"/>
        <w:rPr>
          <w:rFonts w:ascii="宋体" w:hAnsi="宋体" w:cs="Arial"/>
          <w:b/>
          <w:color w:val="auto"/>
        </w:rPr>
      </w:pPr>
      <w:r>
        <w:rPr>
          <w:rFonts w:hint="eastAsia" w:ascii="宋体" w:hAnsi="宋体" w:cs="Arial"/>
          <w:b/>
          <w:color w:val="auto"/>
        </w:rPr>
        <w:t>第十八条　合同生效及其它</w:t>
      </w:r>
    </w:p>
    <w:p>
      <w:pPr>
        <w:snapToGrid w:val="0"/>
        <w:spacing w:line="380" w:lineRule="exact"/>
        <w:ind w:firstLine="420" w:firstLineChars="200"/>
        <w:rPr>
          <w:rFonts w:ascii="宋体" w:hAnsi="宋体" w:cs="Arial"/>
          <w:color w:val="auto"/>
        </w:rPr>
      </w:pPr>
      <w:r>
        <w:rPr>
          <w:rFonts w:hint="eastAsia" w:ascii="宋体" w:hAnsi="宋体" w:cs="Arial"/>
          <w:color w:val="auto"/>
        </w:rPr>
        <w:t>1.合同经双方法定代表人或授权代表签字并加盖单位公章后生效。本合同一式五份，具有同等法律效力。</w:t>
      </w:r>
      <w:r>
        <w:rPr>
          <w:rFonts w:hint="eastAsia" w:ascii="宋体" w:hAnsi="宋体" w:cs="Arial"/>
          <w:color w:val="auto"/>
          <w:spacing w:val="4"/>
        </w:rPr>
        <w:t>采购代理机构</w:t>
      </w:r>
      <w:r>
        <w:rPr>
          <w:rFonts w:hint="eastAsia" w:ascii="宋体" w:hAnsi="宋体" w:cs="Arial"/>
          <w:color w:val="auto"/>
        </w:rPr>
        <w:t>一份，甲方三份，乙方一份。</w:t>
      </w:r>
    </w:p>
    <w:p>
      <w:pPr>
        <w:snapToGrid w:val="0"/>
        <w:spacing w:line="380" w:lineRule="exact"/>
        <w:ind w:firstLine="420" w:firstLineChars="200"/>
        <w:rPr>
          <w:rFonts w:ascii="宋体" w:hAnsi="宋体" w:cs="Arial"/>
          <w:color w:val="auto"/>
        </w:rPr>
      </w:pPr>
      <w:r>
        <w:rPr>
          <w:rFonts w:hint="eastAsia" w:ascii="宋体" w:hAnsi="宋体" w:cs="Arial"/>
          <w:color w:val="auto"/>
        </w:rPr>
        <w:t>2.合同执行中涉及采购资金和采购内容修改或补充的，须签书面补充协议方可作为主合同不可分割的一部分。</w:t>
      </w:r>
    </w:p>
    <w:p>
      <w:pPr>
        <w:snapToGrid w:val="0"/>
        <w:spacing w:line="400" w:lineRule="exact"/>
        <w:ind w:firstLine="420" w:firstLineChars="200"/>
        <w:rPr>
          <w:rFonts w:ascii="宋体" w:hAnsi="宋体"/>
          <w:color w:val="auto"/>
        </w:rPr>
      </w:pPr>
      <w:r>
        <w:rPr>
          <w:rFonts w:hint="eastAsia" w:ascii="宋体" w:hAnsi="宋体" w:cs="Arial"/>
          <w:color w:val="auto"/>
        </w:rPr>
        <w:t>3.本合同未尽事宜，遵照《中华人民共和国民法典》有关条文执行。</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 xml:space="preserve">甲方（章）广西中医药大学第一附属医院 </w:t>
            </w:r>
          </w:p>
          <w:p>
            <w:pPr>
              <w:keepNext w:val="0"/>
              <w:keepLines w:val="0"/>
              <w:suppressLineNumbers w:val="0"/>
              <w:snapToGrid w:val="0"/>
              <w:spacing w:before="0" w:beforeAutospacing="0" w:after="0" w:afterAutospacing="0" w:line="360" w:lineRule="auto"/>
              <w:ind w:left="0" w:right="0" w:firstLine="945" w:firstLineChars="450"/>
              <w:jc w:val="right"/>
              <w:rPr>
                <w:rFonts w:hint="default" w:ascii="宋体" w:hAnsi="宋体" w:cs="宋体"/>
                <w:color w:val="auto"/>
              </w:rPr>
            </w:pPr>
            <w:r>
              <w:rPr>
                <w:rFonts w:hint="eastAsia" w:ascii="宋体" w:hAnsi="宋体" w:cs="宋体"/>
                <w:color w:val="auto"/>
              </w:rPr>
              <w:t>年   月   日</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 xml:space="preserve">乙方（章）              </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p>
          <w:p>
            <w:pPr>
              <w:keepNext w:val="0"/>
              <w:keepLines w:val="0"/>
              <w:suppressLineNumbers w:val="0"/>
              <w:snapToGrid w:val="0"/>
              <w:spacing w:before="0" w:beforeAutospacing="0" w:after="0" w:afterAutospacing="0" w:line="360" w:lineRule="auto"/>
              <w:ind w:left="0" w:right="0"/>
              <w:jc w:val="right"/>
              <w:rPr>
                <w:rFonts w:hint="default" w:ascii="宋体" w:hAnsi="宋体" w:cs="宋体"/>
                <w:color w:val="auto"/>
              </w:rPr>
            </w:pPr>
            <w:r>
              <w:rPr>
                <w:rFonts w:hint="eastAsia" w:ascii="宋体" w:hAnsi="宋体" w:cs="宋体"/>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单位地址：广西南宁市东葛路</w:t>
            </w:r>
            <w:r>
              <w:rPr>
                <w:rFonts w:hint="default" w:ascii="宋体" w:hAnsi="宋体" w:cs="宋体"/>
                <w:color w:val="auto"/>
              </w:rPr>
              <w:t>89-9</w:t>
            </w:r>
            <w:r>
              <w:rPr>
                <w:rFonts w:hint="eastAsia" w:ascii="宋体" w:hAnsi="宋体" w:cs="宋体"/>
                <w:color w:val="auto"/>
              </w:rPr>
              <w:t>号</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法定代表人：</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委托代理人：</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电话：</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电子邮箱：</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开户银行：建行南宁园湖南路支行</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账号：45001604652050502742</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邮政编码：530023</w:t>
            </w:r>
          </w:p>
        </w:tc>
        <w:tc>
          <w:tcPr>
            <w:tcW w:w="4517"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rPr>
              <w:t>邮政编码：</w:t>
            </w:r>
          </w:p>
        </w:tc>
      </w:tr>
    </w:tbl>
    <w:p>
      <w:pPr>
        <w:snapToGrid w:val="0"/>
        <w:spacing w:line="360" w:lineRule="auto"/>
        <w:ind w:left="420" w:hanging="420" w:hangingChars="200"/>
        <w:rPr>
          <w:rFonts w:ascii="宋体" w:hAnsi="宋体" w:cs="宋体"/>
          <w:color w:val="auto"/>
        </w:rPr>
      </w:pPr>
    </w:p>
    <w:p>
      <w:pPr>
        <w:snapToGrid w:val="0"/>
        <w:spacing w:line="360" w:lineRule="auto"/>
        <w:jc w:val="center"/>
        <w:rPr>
          <w:rFonts w:ascii="宋体" w:hAnsi="宋体" w:cs="宋体"/>
          <w:b/>
          <w:color w:val="auto"/>
        </w:rPr>
      </w:pPr>
    </w:p>
    <w:p>
      <w:pPr>
        <w:snapToGrid w:val="0"/>
        <w:spacing w:line="360" w:lineRule="auto"/>
        <w:rPr>
          <w:rFonts w:ascii="宋体" w:hAnsi="宋体" w:cs="宋体"/>
          <w:b/>
          <w:bCs/>
          <w:color w:val="auto"/>
          <w:sz w:val="30"/>
          <w:szCs w:val="30"/>
        </w:rPr>
      </w:pPr>
      <w:r>
        <w:rPr>
          <w:rFonts w:ascii="宋体" w:hAnsi="宋体" w:cs="宋体"/>
          <w:b/>
          <w:bCs/>
          <w:color w:val="auto"/>
          <w:sz w:val="30"/>
          <w:szCs w:val="30"/>
        </w:rPr>
        <w:t xml:space="preserve"> </w:t>
      </w:r>
    </w:p>
    <w:p>
      <w:pPr>
        <w:pStyle w:val="24"/>
        <w:pageBreakBefore/>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24"/>
        <w:spacing w:line="360" w:lineRule="exact"/>
        <w:jc w:val="center"/>
        <w:rPr>
          <w:rFonts w:hAnsi="宋体" w:cs="宋体"/>
          <w:b/>
          <w:bCs/>
          <w:color w:val="auto"/>
          <w:kern w:val="0"/>
        </w:rPr>
      </w:pPr>
      <w:r>
        <w:rPr>
          <w:rFonts w:hint="eastAsia" w:hAnsi="宋体" w:cs="宋体"/>
          <w:b/>
          <w:bCs/>
          <w:color w:val="auto"/>
          <w:kern w:val="0"/>
        </w:rPr>
        <w:t xml:space="preserve"> </w:t>
      </w:r>
    </w:p>
    <w:p>
      <w:pPr>
        <w:pStyle w:val="5"/>
        <w:jc w:val="center"/>
        <w:rPr>
          <w:rFonts w:ascii="宋体" w:hAnsi="宋体" w:cs="宋体"/>
          <w:color w:val="auto"/>
        </w:rPr>
      </w:pPr>
      <w:bookmarkStart w:id="20" w:name="_Toc18481389"/>
      <w:bookmarkEnd w:id="20"/>
      <w:bookmarkStart w:id="21" w:name="_Toc598"/>
      <w:bookmarkStart w:id="22" w:name="_Toc24636"/>
      <w:r>
        <w:rPr>
          <w:rFonts w:hint="eastAsia" w:ascii="宋体" w:hAnsi="宋体" w:cs="宋体"/>
          <w:color w:val="auto"/>
        </w:rPr>
        <w:t>第六章  评标方法及评分标准</w:t>
      </w:r>
      <w:bookmarkEnd w:id="21"/>
      <w:bookmarkEnd w:id="22"/>
    </w:p>
    <w:p>
      <w:pPr>
        <w:pStyle w:val="34"/>
        <w:snapToGrid w:val="0"/>
        <w:spacing w:line="400" w:lineRule="exact"/>
        <w:ind w:firstLine="527"/>
        <w:rPr>
          <w:rFonts w:ascii="宋体" w:hAnsi="宋体"/>
          <w:b/>
          <w:bCs/>
          <w:color w:val="auto"/>
        </w:rPr>
      </w:pPr>
      <w:r>
        <w:rPr>
          <w:rFonts w:hint="eastAsia" w:ascii="宋体" w:hAnsi="宋体"/>
          <w:b/>
          <w:bCs/>
          <w:color w:val="auto"/>
        </w:rPr>
        <w:t xml:space="preserve"> </w:t>
      </w:r>
    </w:p>
    <w:p>
      <w:pPr>
        <w:pStyle w:val="34"/>
        <w:snapToGrid w:val="0"/>
        <w:spacing w:line="400" w:lineRule="exact"/>
        <w:ind w:firstLine="527"/>
        <w:rPr>
          <w:rFonts w:ascii="宋体" w:hAnsi="宋体"/>
          <w:b/>
          <w:bCs/>
          <w:color w:val="auto"/>
        </w:rPr>
      </w:pPr>
      <w:r>
        <w:rPr>
          <w:rFonts w:hint="eastAsia" w:ascii="宋体" w:hAnsi="宋体"/>
          <w:b/>
          <w:bCs/>
          <w:color w:val="auto"/>
        </w:rPr>
        <w:t xml:space="preserve"> </w:t>
      </w: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p>
    <w:p>
      <w:pPr>
        <w:pStyle w:val="24"/>
        <w:adjustRightInd w:val="0"/>
        <w:snapToGrid w:val="0"/>
        <w:spacing w:line="400" w:lineRule="exact"/>
        <w:ind w:firstLine="422" w:firstLineChars="200"/>
        <w:jc w:val="center"/>
        <w:rPr>
          <w:rFonts w:hAnsi="宋体" w:cs="宋体"/>
          <w:b/>
          <w:bCs/>
          <w:color w:val="auto"/>
          <w:szCs w:val="21"/>
        </w:rPr>
      </w:pPr>
      <w:r>
        <w:rPr>
          <w:rFonts w:hint="eastAsia" w:hAnsi="宋体" w:cs="宋体"/>
          <w:b/>
          <w:bCs/>
          <w:color w:val="auto"/>
          <w:szCs w:val="21"/>
        </w:rPr>
        <w:br w:type="page"/>
      </w:r>
    </w:p>
    <w:p>
      <w:pPr>
        <w:pStyle w:val="24"/>
        <w:adjustRightInd w:val="0"/>
        <w:snapToGrid w:val="0"/>
        <w:spacing w:line="400" w:lineRule="exact"/>
        <w:jc w:val="center"/>
        <w:rPr>
          <w:rFonts w:hAnsi="宋体" w:cs="宋体"/>
          <w:b/>
          <w:bCs/>
          <w:color w:val="auto"/>
          <w:szCs w:val="21"/>
        </w:rPr>
      </w:pPr>
      <w:r>
        <w:rPr>
          <w:rFonts w:hint="eastAsia" w:hAnsi="宋体" w:cs="宋体"/>
          <w:b/>
          <w:bCs/>
          <w:color w:val="auto"/>
          <w:szCs w:val="21"/>
        </w:rPr>
        <w:t>评标方法与评分标准</w:t>
      </w:r>
    </w:p>
    <w:p>
      <w:pPr>
        <w:pStyle w:val="24"/>
        <w:adjustRightInd w:val="0"/>
        <w:snapToGrid w:val="0"/>
        <w:spacing w:line="400" w:lineRule="exact"/>
        <w:jc w:val="left"/>
        <w:rPr>
          <w:rFonts w:hAnsi="宋体" w:cs="宋体"/>
          <w:color w:val="auto"/>
          <w:szCs w:val="21"/>
        </w:rPr>
      </w:pPr>
      <w:r>
        <w:rPr>
          <w:rFonts w:hint="eastAsia" w:hAnsi="宋体" w:cs="宋体"/>
          <w:b/>
          <w:bCs/>
          <w:color w:val="auto"/>
          <w:szCs w:val="21"/>
        </w:rPr>
        <w:t>一、评标原则</w:t>
      </w:r>
    </w:p>
    <w:p>
      <w:pPr>
        <w:pStyle w:val="24"/>
        <w:adjustRightInd w:val="0"/>
        <w:snapToGrid w:val="0"/>
        <w:spacing w:line="400" w:lineRule="exact"/>
        <w:ind w:firstLine="420" w:firstLineChars="200"/>
        <w:rPr>
          <w:rFonts w:hAnsi="宋体" w:cs="宋体"/>
          <w:color w:val="auto"/>
          <w:kern w:val="0"/>
          <w:szCs w:val="21"/>
        </w:rPr>
      </w:pPr>
      <w:r>
        <w:rPr>
          <w:rFonts w:hint="eastAsia" w:hAnsi="宋体" w:cs="宋体"/>
          <w:color w:val="auto"/>
          <w:szCs w:val="21"/>
        </w:rPr>
        <w:t>(一) 磋商小组</w:t>
      </w:r>
      <w:r>
        <w:rPr>
          <w:rFonts w:hint="eastAsia" w:hAnsi="宋体" w:cs="宋体"/>
          <w:color w:val="auto"/>
          <w:kern w:val="0"/>
          <w:szCs w:val="21"/>
        </w:rPr>
        <w:t>成员组成：本竞争性磋商采购项目的磋商小组由采购人代表和评审专家共三人以上的单数组成，其中评审专家的人数不得少于磋商小组成员总数的三分之二。</w:t>
      </w:r>
    </w:p>
    <w:p>
      <w:pPr>
        <w:pStyle w:val="24"/>
        <w:adjustRightInd w:val="0"/>
        <w:snapToGrid w:val="0"/>
        <w:spacing w:line="400" w:lineRule="exact"/>
        <w:ind w:firstLine="420" w:firstLineChars="200"/>
        <w:rPr>
          <w:rFonts w:hAnsi="宋体" w:cs="宋体"/>
          <w:color w:val="auto"/>
          <w:kern w:val="0"/>
          <w:szCs w:val="21"/>
        </w:rPr>
      </w:pPr>
      <w:r>
        <w:rPr>
          <w:rFonts w:hint="eastAsia" w:hAnsi="宋体" w:cs="宋体"/>
          <w:color w:val="auto"/>
          <w:kern w:val="0"/>
          <w:szCs w:val="21"/>
        </w:rPr>
        <w:t>(二) 评审依据：磋商小组以竞争性磋商文件和竞争性磋商响应文件为依据，对磋商人的内容按百分制打分。</w:t>
      </w:r>
    </w:p>
    <w:p>
      <w:pPr>
        <w:pStyle w:val="24"/>
        <w:adjustRightInd w:val="0"/>
        <w:snapToGrid w:val="0"/>
        <w:spacing w:line="400" w:lineRule="exact"/>
        <w:ind w:firstLine="359" w:firstLineChars="171"/>
        <w:rPr>
          <w:rFonts w:hAnsi="宋体" w:cs="宋体"/>
          <w:color w:val="auto"/>
          <w:kern w:val="0"/>
          <w:szCs w:val="21"/>
        </w:rPr>
      </w:pPr>
      <w:r>
        <w:rPr>
          <w:rFonts w:hint="eastAsia" w:hAnsi="宋体" w:cs="宋体"/>
          <w:color w:val="auto"/>
          <w:kern w:val="0"/>
          <w:szCs w:val="21"/>
        </w:rPr>
        <w:t>（三）评审方法：采用百分制综合评分法。</w:t>
      </w:r>
    </w:p>
    <w:p>
      <w:pPr>
        <w:pStyle w:val="24"/>
        <w:adjustRightInd w:val="0"/>
        <w:snapToGrid w:val="0"/>
        <w:spacing w:line="400" w:lineRule="exact"/>
        <w:rPr>
          <w:rFonts w:hAnsi="宋体" w:cs="宋体"/>
          <w:b/>
          <w:bCs/>
          <w:color w:val="auto"/>
          <w:szCs w:val="21"/>
        </w:rPr>
      </w:pPr>
      <w:r>
        <w:rPr>
          <w:rFonts w:hint="eastAsia" w:hAnsi="宋体" w:cs="宋体"/>
          <w:b/>
          <w:bCs/>
          <w:color w:val="auto"/>
          <w:szCs w:val="21"/>
        </w:rPr>
        <w:t>二、评标方法</w:t>
      </w:r>
    </w:p>
    <w:p>
      <w:pPr>
        <w:pStyle w:val="24"/>
        <w:adjustRightInd w:val="0"/>
        <w:snapToGrid w:val="0"/>
        <w:spacing w:line="400" w:lineRule="exact"/>
        <w:ind w:firstLine="422" w:firstLineChars="200"/>
        <w:rPr>
          <w:rFonts w:hAnsi="宋体" w:cs="宋体"/>
          <w:b/>
          <w:bCs/>
          <w:color w:val="auto"/>
          <w:szCs w:val="21"/>
        </w:rPr>
      </w:pPr>
      <w:r>
        <w:rPr>
          <w:rFonts w:hint="eastAsia" w:hAnsi="宋体" w:cs="宋体"/>
          <w:b/>
          <w:bCs/>
          <w:color w:val="auto"/>
          <w:szCs w:val="21"/>
        </w:rPr>
        <w:t>（一）对进入详评的，采用百分制综合评分法。</w:t>
      </w:r>
    </w:p>
    <w:p>
      <w:pPr>
        <w:pStyle w:val="24"/>
        <w:adjustRightInd w:val="0"/>
        <w:snapToGrid w:val="0"/>
        <w:spacing w:line="400" w:lineRule="exact"/>
        <w:ind w:firstLine="422" w:firstLineChars="200"/>
        <w:rPr>
          <w:rFonts w:hAnsi="宋体" w:cs="宋体"/>
          <w:b/>
          <w:bCs/>
          <w:color w:val="auto"/>
          <w:szCs w:val="21"/>
        </w:rPr>
      </w:pPr>
      <w:r>
        <w:rPr>
          <w:rFonts w:hint="eastAsia" w:hAnsi="宋体" w:cs="宋体"/>
          <w:b/>
          <w:bCs/>
          <w:color w:val="auto"/>
          <w:szCs w:val="21"/>
        </w:rPr>
        <w:t>（二）计分办法（按四舍五入取至百分位）：</w:t>
      </w:r>
    </w:p>
    <w:p>
      <w:pPr>
        <w:pStyle w:val="24"/>
        <w:adjustRightInd w:val="0"/>
        <w:snapToGrid w:val="0"/>
        <w:spacing w:line="360" w:lineRule="auto"/>
        <w:ind w:firstLine="422" w:firstLineChars="200"/>
        <w:rPr>
          <w:rFonts w:hAnsi="宋体" w:cs="宋体"/>
          <w:b/>
          <w:bCs/>
          <w:color w:val="auto"/>
          <w:szCs w:val="21"/>
        </w:rPr>
      </w:pPr>
      <w:r>
        <w:rPr>
          <w:rFonts w:hint="eastAsia" w:hAnsi="宋体" w:cs="宋体"/>
          <w:b/>
          <w:bCs/>
          <w:color w:val="auto"/>
          <w:szCs w:val="21"/>
        </w:rPr>
        <w:t>1、报价分………………………………………………………………………………30分</w:t>
      </w:r>
    </w:p>
    <w:p>
      <w:pPr>
        <w:spacing w:line="360" w:lineRule="auto"/>
        <w:ind w:firstLine="315" w:firstLineChars="150"/>
        <w:rPr>
          <w:rFonts w:ascii="Arial" w:hAnsi="Arial" w:cs="Arial"/>
          <w:bCs/>
          <w:color w:val="auto"/>
        </w:rPr>
      </w:pPr>
      <w:r>
        <w:rPr>
          <w:rFonts w:hint="eastAsia" w:ascii="Arial" w:hAnsi="Arial" w:cs="Arial"/>
          <w:bCs/>
          <w:color w:val="auto"/>
        </w:rPr>
        <w:t>（</w:t>
      </w:r>
      <w:r>
        <w:rPr>
          <w:rFonts w:ascii="Arial" w:hAnsi="Arial" w:cs="Arial"/>
          <w:bCs/>
          <w:color w:val="auto"/>
        </w:rPr>
        <w:t>1</w:t>
      </w:r>
      <w:r>
        <w:rPr>
          <w:rFonts w:hint="eastAsia" w:ascii="Arial" w:hAnsi="Arial" w:cs="Arial"/>
          <w:bCs/>
          <w:color w:val="auto"/>
        </w:rPr>
        <w:t>）以进入详评的且最后报价最低的供应商的价格为磋商基准价，其价格分为30分。</w:t>
      </w:r>
    </w:p>
    <w:p>
      <w:pPr>
        <w:spacing w:line="360" w:lineRule="auto"/>
        <w:ind w:firstLine="315" w:firstLineChars="150"/>
        <w:rPr>
          <w:rFonts w:ascii="宋体" w:hAnsi="宋体" w:cs="宋体"/>
          <w:color w:val="auto"/>
        </w:rPr>
      </w:pPr>
      <w:r>
        <w:rPr>
          <w:rFonts w:hint="eastAsia" w:ascii="Arial" w:hAnsi="Arial" w:cs="Arial"/>
          <w:bCs/>
          <w:color w:val="auto"/>
        </w:rPr>
        <w:t>（</w:t>
      </w:r>
      <w:r>
        <w:rPr>
          <w:rFonts w:ascii="Arial" w:hAnsi="Arial" w:cs="Arial"/>
          <w:bCs/>
          <w:color w:val="auto"/>
        </w:rPr>
        <w:t>2</w:t>
      </w:r>
      <w:r>
        <w:rPr>
          <w:rFonts w:hint="eastAsia" w:ascii="Arial" w:hAnsi="Arial" w:cs="Arial"/>
          <w:bCs/>
          <w:color w:val="auto"/>
        </w:rPr>
        <w:t>）某供应商磋商报价得分</w:t>
      </w:r>
      <w:r>
        <w:rPr>
          <w:rFonts w:ascii="Arial" w:hAnsi="Arial" w:cs="Arial"/>
          <w:bCs/>
          <w:color w:val="auto"/>
        </w:rPr>
        <w:t>=</w:t>
      </w:r>
      <w:r>
        <w:rPr>
          <w:rFonts w:hint="eastAsia" w:ascii="Arial" w:hAnsi="Arial" w:cs="Arial"/>
          <w:bCs/>
          <w:color w:val="auto"/>
        </w:rPr>
        <w:t>（磋商基准价</w:t>
      </w:r>
      <w:r>
        <w:rPr>
          <w:rFonts w:ascii="Arial" w:hAnsi="Arial" w:cs="Arial"/>
          <w:bCs/>
          <w:color w:val="auto"/>
        </w:rPr>
        <w:t>/</w:t>
      </w:r>
      <w:r>
        <w:rPr>
          <w:rFonts w:hint="eastAsia" w:ascii="Arial" w:hAnsi="Arial" w:cs="Arial"/>
          <w:bCs/>
          <w:color w:val="auto"/>
        </w:rPr>
        <w:t>最后磋商报价）</w:t>
      </w:r>
      <w:r>
        <w:rPr>
          <w:rFonts w:ascii="Arial" w:hAnsi="Arial" w:cs="Arial"/>
          <w:bCs/>
          <w:color w:val="auto"/>
        </w:rPr>
        <w:t>×</w:t>
      </w:r>
      <w:r>
        <w:rPr>
          <w:rFonts w:hint="eastAsia" w:ascii="Arial" w:hAnsi="Arial" w:cs="Arial"/>
          <w:bCs/>
          <w:color w:val="auto"/>
        </w:rPr>
        <w:t>30分。</w:t>
      </w:r>
    </w:p>
    <w:p>
      <w:pPr>
        <w:spacing w:line="360" w:lineRule="auto"/>
        <w:ind w:firstLine="422" w:firstLineChars="200"/>
        <w:jc w:val="left"/>
        <w:rPr>
          <w:rFonts w:ascii="宋体" w:hAnsi="宋体" w:cs="宋体"/>
          <w:b/>
          <w:color w:val="auto"/>
        </w:rPr>
      </w:pPr>
      <w:r>
        <w:rPr>
          <w:rFonts w:hint="eastAsia" w:ascii="宋体" w:hAnsi="宋体" w:cs="宋体"/>
          <w:b/>
          <w:color w:val="auto"/>
        </w:rPr>
        <w:t>2、技术分………………………………………………………………………………48分</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（1）基本分（满分15分）</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基本分15分，一般参数及功能（不带▲号的参数）负偏离一项扣5分，漏项的每一项扣5分，最多扣完本项分值。</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（2）设备性能分（满分</w:t>
      </w:r>
      <w:r>
        <w:rPr>
          <w:rFonts w:hint="eastAsia" w:ascii="宋体" w:hAnsi="宋体" w:cs="宋体"/>
          <w:bCs/>
          <w:color w:val="auto"/>
          <w:kern w:val="0"/>
          <w:lang w:val="en-US" w:eastAsia="zh-CN"/>
        </w:rPr>
        <w:t>18</w:t>
      </w:r>
      <w:r>
        <w:rPr>
          <w:rFonts w:hint="eastAsia" w:ascii="宋体" w:hAnsi="宋体" w:cs="宋体"/>
          <w:bCs/>
          <w:color w:val="auto"/>
          <w:kern w:val="0"/>
        </w:rPr>
        <w:t>分）</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①标▲号参数每有一项优于采购文件要求且评审时被磋商小组接受的，得</w:t>
      </w:r>
      <w:r>
        <w:rPr>
          <w:rFonts w:hint="eastAsia" w:ascii="宋体" w:hAnsi="宋体" w:cs="宋体"/>
          <w:bCs/>
          <w:color w:val="auto"/>
          <w:kern w:val="0"/>
          <w:lang w:val="en-US" w:eastAsia="zh-CN"/>
        </w:rPr>
        <w:t>4</w:t>
      </w:r>
      <w:r>
        <w:rPr>
          <w:rFonts w:hint="eastAsia" w:ascii="宋体" w:hAnsi="宋体" w:cs="宋体"/>
          <w:bCs/>
          <w:color w:val="auto"/>
          <w:kern w:val="0"/>
        </w:rPr>
        <w:t>分，满分</w:t>
      </w:r>
      <w:r>
        <w:rPr>
          <w:rFonts w:hint="eastAsia" w:ascii="宋体" w:hAnsi="宋体" w:cs="宋体"/>
          <w:bCs/>
          <w:color w:val="auto"/>
          <w:kern w:val="0"/>
          <w:lang w:val="en-US" w:eastAsia="zh-CN"/>
        </w:rPr>
        <w:t>12</w:t>
      </w:r>
      <w:r>
        <w:rPr>
          <w:rFonts w:hint="eastAsia" w:ascii="宋体" w:hAnsi="宋体" w:cs="宋体"/>
          <w:bCs/>
          <w:color w:val="auto"/>
          <w:kern w:val="0"/>
        </w:rPr>
        <w:t>分。</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②非▲号参数每有一项优于采购文件要求且评审时被磋商小组接受接受的，得</w:t>
      </w:r>
      <w:r>
        <w:rPr>
          <w:rFonts w:hint="eastAsia" w:ascii="宋体" w:hAnsi="宋体" w:cs="宋体"/>
          <w:bCs/>
          <w:color w:val="auto"/>
          <w:kern w:val="0"/>
          <w:lang w:val="en-US" w:eastAsia="zh-CN"/>
        </w:rPr>
        <w:t>2</w:t>
      </w:r>
      <w:r>
        <w:rPr>
          <w:rFonts w:hint="eastAsia" w:ascii="宋体" w:hAnsi="宋体" w:cs="宋体"/>
          <w:bCs/>
          <w:color w:val="auto"/>
          <w:kern w:val="0"/>
        </w:rPr>
        <w:t>分，满分</w:t>
      </w:r>
      <w:r>
        <w:rPr>
          <w:rFonts w:hint="eastAsia" w:ascii="宋体" w:hAnsi="宋体" w:cs="宋体"/>
          <w:bCs/>
          <w:color w:val="auto"/>
          <w:kern w:val="0"/>
          <w:lang w:val="en-US" w:eastAsia="zh-CN"/>
        </w:rPr>
        <w:t>6</w:t>
      </w:r>
      <w:r>
        <w:rPr>
          <w:rFonts w:hint="eastAsia" w:ascii="宋体" w:hAnsi="宋体" w:cs="宋体"/>
          <w:bCs/>
          <w:color w:val="auto"/>
          <w:kern w:val="0"/>
        </w:rPr>
        <w:t>分。</w:t>
      </w:r>
    </w:p>
    <w:p>
      <w:pPr>
        <w:spacing w:line="360" w:lineRule="auto"/>
        <w:ind w:firstLine="422" w:firstLineChars="200"/>
        <w:rPr>
          <w:rFonts w:hint="eastAsia" w:ascii="宋体" w:hAnsi="宋体" w:cs="宋体"/>
          <w:b/>
          <w:color w:val="auto"/>
          <w:kern w:val="0"/>
        </w:rPr>
      </w:pPr>
      <w:r>
        <w:rPr>
          <w:rFonts w:hint="eastAsia" w:ascii="宋体" w:hAnsi="宋体" w:cs="宋体"/>
          <w:b/>
          <w:color w:val="auto"/>
          <w:kern w:val="0"/>
        </w:rPr>
        <w:t>（注：标注▲号技术性能及功能有优于采购文件要求的，竞标人必须在响应文件中提供第三方检测报告复件或产品生产厂家出具的技术白皮书或使用说明书等证明材料作为佐证，否则磋商小组不予评定为优于采购文件要求。如技术偏离表中的响应与佐证材料不一致的，以佐证材料为准。）</w:t>
      </w:r>
    </w:p>
    <w:p>
      <w:pPr>
        <w:spacing w:line="360" w:lineRule="auto"/>
        <w:ind w:firstLine="420" w:firstLineChars="20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项目实施方案（</w:t>
      </w:r>
      <w:r>
        <w:rPr>
          <w:rFonts w:hint="eastAsia"/>
          <w:color w:val="auto"/>
          <w:lang w:val="en-US" w:eastAsia="zh-CN"/>
        </w:rPr>
        <w:t>15</w:t>
      </w:r>
      <w:r>
        <w:rPr>
          <w:rFonts w:hint="eastAsia"/>
          <w:color w:val="auto"/>
        </w:rPr>
        <w:t>分）</w:t>
      </w:r>
    </w:p>
    <w:p>
      <w:pPr>
        <w:spacing w:line="360" w:lineRule="auto"/>
        <w:ind w:firstLine="420" w:firstLineChars="200"/>
        <w:rPr>
          <w:rFonts w:hint="eastAsia"/>
          <w:color w:val="auto"/>
        </w:rPr>
      </w:pPr>
      <w:r>
        <w:rPr>
          <w:rFonts w:hint="eastAsia"/>
          <w:color w:val="auto"/>
        </w:rPr>
        <w:t>一档（</w:t>
      </w:r>
      <w:r>
        <w:rPr>
          <w:rFonts w:hint="eastAsia"/>
          <w:color w:val="auto"/>
          <w:lang w:val="en-US" w:eastAsia="zh-CN"/>
        </w:rPr>
        <w:t>2</w:t>
      </w:r>
      <w:r>
        <w:rPr>
          <w:rFonts w:hint="eastAsia"/>
          <w:color w:val="auto"/>
        </w:rPr>
        <w:t>分）：项目实施方案简单，</w:t>
      </w:r>
      <w:r>
        <w:rPr>
          <w:rFonts w:hint="eastAsia"/>
          <w:color w:val="auto"/>
          <w:lang w:val="en-US" w:eastAsia="zh-CN"/>
        </w:rPr>
        <w:t>仅提供简单交货、安装方案，</w:t>
      </w:r>
      <w:r>
        <w:rPr>
          <w:rFonts w:hint="eastAsia"/>
          <w:color w:val="auto"/>
        </w:rPr>
        <w:t>项目实施的技术力量和人力资源安排基本满足要求。</w:t>
      </w:r>
    </w:p>
    <w:p>
      <w:pPr>
        <w:spacing w:line="360" w:lineRule="auto"/>
        <w:ind w:firstLine="420" w:firstLineChars="200"/>
        <w:rPr>
          <w:rFonts w:hint="eastAsia"/>
          <w:color w:val="auto"/>
        </w:rPr>
      </w:pPr>
      <w:r>
        <w:rPr>
          <w:rFonts w:hint="eastAsia"/>
          <w:color w:val="auto"/>
        </w:rPr>
        <w:t>二档（</w:t>
      </w:r>
      <w:r>
        <w:rPr>
          <w:rFonts w:hint="eastAsia"/>
          <w:color w:val="auto"/>
          <w:lang w:val="en-US" w:eastAsia="zh-CN"/>
        </w:rPr>
        <w:t>5</w:t>
      </w:r>
      <w:r>
        <w:rPr>
          <w:rFonts w:hint="eastAsia"/>
          <w:color w:val="auto"/>
        </w:rPr>
        <w:t>分）：项目实施方案简单，</w:t>
      </w:r>
      <w:r>
        <w:rPr>
          <w:rFonts w:hint="eastAsia"/>
          <w:color w:val="auto"/>
          <w:lang w:val="en-US" w:eastAsia="zh-CN"/>
        </w:rPr>
        <w:t>交货、安装方案基本完整</w:t>
      </w:r>
      <w:r>
        <w:rPr>
          <w:rFonts w:hint="eastAsia"/>
          <w:color w:val="auto"/>
          <w:lang w:eastAsia="zh-CN"/>
        </w:rPr>
        <w:t>，</w:t>
      </w:r>
      <w:r>
        <w:rPr>
          <w:rFonts w:hint="eastAsia"/>
          <w:color w:val="auto"/>
        </w:rPr>
        <w:t>项目实施的技术力量和人力资源安排基本满足要求，技术服务、技术培训的服务内容和措施一般的。</w:t>
      </w:r>
    </w:p>
    <w:p>
      <w:pPr>
        <w:spacing w:line="360" w:lineRule="auto"/>
        <w:ind w:firstLine="420" w:firstLineChars="200"/>
        <w:rPr>
          <w:rFonts w:hint="eastAsia"/>
          <w:color w:val="auto"/>
        </w:rPr>
      </w:pPr>
      <w:r>
        <w:rPr>
          <w:rFonts w:hint="eastAsia"/>
          <w:color w:val="auto"/>
        </w:rPr>
        <w:t>三档（</w:t>
      </w:r>
      <w:r>
        <w:rPr>
          <w:rFonts w:hint="eastAsia"/>
          <w:color w:val="auto"/>
          <w:lang w:val="en-US" w:eastAsia="zh-CN"/>
        </w:rPr>
        <w:t>10</w:t>
      </w:r>
      <w:r>
        <w:rPr>
          <w:rFonts w:hint="eastAsia"/>
          <w:color w:val="auto"/>
        </w:rPr>
        <w:t>分）：项目实施方案较详细，</w:t>
      </w:r>
      <w:r>
        <w:rPr>
          <w:rFonts w:hint="eastAsia"/>
          <w:color w:val="auto"/>
          <w:lang w:val="en-US" w:eastAsia="zh-CN"/>
        </w:rPr>
        <w:t>交货、安装方案完整可行，</w:t>
      </w:r>
      <w:r>
        <w:rPr>
          <w:rFonts w:hint="eastAsia"/>
          <w:color w:val="auto"/>
        </w:rPr>
        <w:t>项目实施的技术力量和人力资源安排满足项目实施要求，技术服务、技术培训的服务内容和措施完善，表述较清晰、完整，措施具体有效的。</w:t>
      </w:r>
    </w:p>
    <w:p>
      <w:pPr>
        <w:spacing w:line="360" w:lineRule="auto"/>
        <w:ind w:firstLine="420" w:firstLineChars="200"/>
        <w:rPr>
          <w:rFonts w:hint="eastAsia"/>
          <w:color w:val="auto"/>
        </w:rPr>
      </w:pPr>
      <w:r>
        <w:rPr>
          <w:rFonts w:hint="eastAsia"/>
          <w:color w:val="auto"/>
        </w:rPr>
        <w:t>四档（</w:t>
      </w:r>
      <w:r>
        <w:rPr>
          <w:rFonts w:hint="eastAsia"/>
          <w:color w:val="auto"/>
          <w:lang w:val="en-US" w:eastAsia="zh-CN"/>
        </w:rPr>
        <w:t>15</w:t>
      </w:r>
      <w:r>
        <w:rPr>
          <w:rFonts w:hint="eastAsia"/>
          <w:color w:val="auto"/>
        </w:rPr>
        <w:t xml:space="preserve"> 分）：项目实施方案详实，</w:t>
      </w:r>
      <w:r>
        <w:rPr>
          <w:rFonts w:hint="eastAsia"/>
          <w:color w:val="auto"/>
          <w:lang w:val="en-US" w:eastAsia="zh-CN"/>
        </w:rPr>
        <w:t>交货、安装方案</w:t>
      </w:r>
      <w:r>
        <w:rPr>
          <w:rFonts w:hint="eastAsia"/>
          <w:color w:val="auto"/>
        </w:rPr>
        <w:t>切合本项目实际，方案能清楚的表明对本项目的熟悉程度，技术路线清晰可信</w:t>
      </w:r>
      <w:r>
        <w:rPr>
          <w:rFonts w:hint="eastAsia"/>
          <w:color w:val="auto"/>
          <w:lang w:eastAsia="zh-CN"/>
        </w:rPr>
        <w:t>，</w:t>
      </w:r>
      <w:r>
        <w:rPr>
          <w:rFonts w:hint="eastAsia"/>
          <w:color w:val="auto"/>
        </w:rPr>
        <w:t>项目实施的技术力量和人力资源安排充足，技术服务、技术培训的服务内容和措施完善</w:t>
      </w:r>
      <w:r>
        <w:rPr>
          <w:rFonts w:hint="eastAsia"/>
          <w:color w:val="auto"/>
          <w:lang w:eastAsia="zh-CN"/>
        </w:rPr>
        <w:t>、</w:t>
      </w:r>
      <w:r>
        <w:rPr>
          <w:rFonts w:hint="eastAsia"/>
          <w:color w:val="auto"/>
          <w:lang w:val="en-US" w:eastAsia="zh-CN"/>
        </w:rPr>
        <w:t>切实可行</w:t>
      </w:r>
      <w:r>
        <w:rPr>
          <w:rFonts w:hint="eastAsia"/>
          <w:color w:val="auto"/>
        </w:rPr>
        <w:t>，表述清晰、完整、措施先进的。</w:t>
      </w:r>
    </w:p>
    <w:p>
      <w:pPr>
        <w:spacing w:line="360" w:lineRule="auto"/>
        <w:ind w:firstLine="420" w:firstLineChars="200"/>
        <w:rPr>
          <w:color w:val="auto"/>
        </w:rPr>
      </w:pPr>
      <w:r>
        <w:rPr>
          <w:rFonts w:hint="eastAsia"/>
          <w:color w:val="auto"/>
        </w:rPr>
        <w:t>注：供应商未提供此项评分点内容的则不得分。</w:t>
      </w:r>
    </w:p>
    <w:p>
      <w:pPr>
        <w:spacing w:line="360" w:lineRule="auto"/>
        <w:ind w:firstLine="422" w:firstLineChars="200"/>
        <w:jc w:val="left"/>
        <w:rPr>
          <w:rFonts w:ascii="宋体" w:hAnsi="宋体" w:cs="宋体"/>
          <w:b/>
          <w:color w:val="auto"/>
        </w:rPr>
      </w:pPr>
      <w:r>
        <w:rPr>
          <w:rFonts w:hint="eastAsia" w:ascii="宋体" w:hAnsi="宋体" w:cs="宋体"/>
          <w:b/>
          <w:color w:val="auto"/>
        </w:rPr>
        <w:t xml:space="preserve">3、商务以及综合实力分………………………………………………………… ………………22分 </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（1）售后服务方案分（满分15分）</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一档（5分）：提供的售后服务方案描述简单、基本合理，竞标人承诺的响应时间、故障到场时间、故障排除时间基本达到服务需求的；</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二档（10分）：提供的售后服务方案描述较好，表述清晰，措施有效可行，竞标人承诺的响应时间、故障排除时间满足服务需求，免费技术培训方案较完善，提供故障处理流程的；</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三档（15分）：售后服务方案有完整的售后维护，提供对项目维护的技术支持体系、售后服务响应时间、例行回访制度、专人驻场服务等内容承诺，竞标人承诺的响应时间、故障排除时间满足服务需求。</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（2）信誉业绩分（满分7分）</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①竞标人或竞标产品生产厂家通过ISO9001、ISO13485管理体系认证的，每提供一份得1分，满分2分（须在响应文件中提供认证证书复印件，并加盖供应商公章）。</w:t>
      </w:r>
    </w:p>
    <w:p>
      <w:pPr>
        <w:spacing w:line="360" w:lineRule="auto"/>
        <w:ind w:firstLine="420" w:firstLineChars="200"/>
        <w:rPr>
          <w:rFonts w:ascii="宋体" w:hAnsi="宋体" w:cs="宋体"/>
          <w:bCs/>
          <w:color w:val="auto"/>
          <w:kern w:val="0"/>
        </w:rPr>
      </w:pPr>
      <w:r>
        <w:rPr>
          <w:rFonts w:hint="eastAsia" w:ascii="宋体" w:hAnsi="宋体" w:cs="宋体"/>
          <w:bCs/>
          <w:color w:val="auto"/>
          <w:kern w:val="0"/>
        </w:rPr>
        <w:t>②竞标人或竞标产品生产厂家2020年以来的有同类产品的销售业绩的（指包含多参数生物反馈仪的销售业绩），每有一项得1分，满分5分（须在响应文件中提供中标通知书或合同复印件，并加盖供应商公章）。</w:t>
      </w:r>
    </w:p>
    <w:p>
      <w:pPr>
        <w:spacing w:line="360" w:lineRule="auto"/>
        <w:ind w:firstLine="422" w:firstLineChars="200"/>
        <w:rPr>
          <w:rFonts w:ascii="宋体" w:hAnsi="宋体" w:cs="宋体"/>
          <w:b/>
          <w:bCs/>
          <w:color w:val="auto"/>
          <w:kern w:val="0"/>
        </w:rPr>
      </w:pPr>
      <w:r>
        <w:rPr>
          <w:rFonts w:hint="eastAsia" w:ascii="宋体" w:hAnsi="宋体" w:cs="宋体"/>
          <w:b/>
          <w:color w:val="auto"/>
          <w:kern w:val="0"/>
        </w:rPr>
        <w:t xml:space="preserve">（三）总得分 = 1 + 2 + 3 </w:t>
      </w:r>
    </w:p>
    <w:p>
      <w:pPr>
        <w:pStyle w:val="24"/>
        <w:adjustRightInd w:val="0"/>
        <w:snapToGrid w:val="0"/>
        <w:spacing w:line="360" w:lineRule="auto"/>
        <w:rPr>
          <w:rFonts w:hAnsi="宋体" w:cs="宋体"/>
          <w:b/>
          <w:bCs/>
          <w:color w:val="auto"/>
          <w:szCs w:val="21"/>
        </w:rPr>
      </w:pPr>
    </w:p>
    <w:p>
      <w:pPr>
        <w:pStyle w:val="24"/>
        <w:adjustRightInd w:val="0"/>
        <w:snapToGrid w:val="0"/>
        <w:spacing w:line="380" w:lineRule="exact"/>
        <w:rPr>
          <w:rFonts w:hAnsi="宋体" w:cs="宋体"/>
          <w:b/>
          <w:bCs/>
          <w:color w:val="auto"/>
          <w:szCs w:val="21"/>
        </w:rPr>
      </w:pPr>
      <w:r>
        <w:rPr>
          <w:rFonts w:hint="eastAsia" w:hAnsi="宋体" w:cs="宋体"/>
          <w:b/>
          <w:bCs/>
          <w:color w:val="auto"/>
          <w:szCs w:val="21"/>
        </w:rPr>
        <w:t>三、成交候选人推荐原则</w:t>
      </w:r>
    </w:p>
    <w:p>
      <w:pPr>
        <w:pStyle w:val="24"/>
        <w:adjustRightInd w:val="0"/>
        <w:snapToGrid w:val="0"/>
        <w:spacing w:line="400" w:lineRule="exact"/>
        <w:ind w:firstLine="420" w:firstLineChars="200"/>
        <w:rPr>
          <w:rFonts w:hAnsi="宋体" w:cs="宋体"/>
          <w:color w:val="auto"/>
          <w:szCs w:val="21"/>
        </w:rPr>
      </w:pPr>
      <w:r>
        <w:rPr>
          <w:rFonts w:hint="eastAsia" w:hAnsi="宋体" w:cs="宋体"/>
          <w:color w:val="auto"/>
          <w:szCs w:val="21"/>
        </w:rPr>
        <w:t>（一）竞争性磋商响应文件在质量和服务均能满足竞争性磋商文件实质性响应要求时，磋商小组将根据得分由高到低排列次序（得分相同时，以最后报价由低到高顺序排列；得分相同且最后报价相同的，按技术分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24"/>
        <w:adjustRightInd w:val="0"/>
        <w:snapToGrid w:val="0"/>
        <w:spacing w:line="400" w:lineRule="exact"/>
        <w:ind w:firstLine="424" w:firstLineChars="202"/>
        <w:rPr>
          <w:rFonts w:hAnsi="宋体" w:cs="宋体"/>
          <w:color w:val="auto"/>
        </w:rPr>
      </w:pPr>
      <w:r>
        <w:rPr>
          <w:rFonts w:hint="eastAsia" w:hAnsi="宋体" w:cs="宋体"/>
          <w:color w:val="auto"/>
          <w:szCs w:val="21"/>
        </w:rPr>
        <w:t>（二）磋商小组认为磋商供应商的报价明显低于其他满足磋商文件实质性响应要求供应商的报价，有可能影响产品质量或者不能诚信履约的，应当要求其在磋商现场合理的时间内提供书面说明，必要时提交相关证明材料；磋商供应商不能证明其报价合理性的，磋商小组将不推荐该磋商供应商为成交候选供应商。</w:t>
      </w:r>
    </w:p>
    <w:sectPr>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仿宋"/>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t xml:space="preserve">      </w:t>
    </w:r>
    <w:r>
      <w:rPr>
        <w:rFonts w:hint="eastAsia"/>
      </w:rPr>
      <w:t>多参数生物反馈仪采购项目</w:t>
    </w:r>
    <w:r>
      <w:rPr>
        <w:rFonts w:hint="eastAsia" w:cs="宋体"/>
      </w:rPr>
      <w:t>（HXCTGX-CHZB-2023-022）</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cs="宋体"/>
      </w:rPr>
      <w:t>多参数生物反馈仪采购项目（HXCTGX-CHZB-2023-022）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jM5MzVhYTQxYTQwZTY4ZmMwNTE2ZmM1MDk1NzQifQ=="/>
  </w:docVars>
  <w:rsids>
    <w:rsidRoot w:val="00172A27"/>
    <w:rsid w:val="00002E71"/>
    <w:rsid w:val="00005AA5"/>
    <w:rsid w:val="00007BFC"/>
    <w:rsid w:val="00017FAD"/>
    <w:rsid w:val="00021965"/>
    <w:rsid w:val="000342C6"/>
    <w:rsid w:val="00035A07"/>
    <w:rsid w:val="00040014"/>
    <w:rsid w:val="0004257D"/>
    <w:rsid w:val="000443CD"/>
    <w:rsid w:val="0004752A"/>
    <w:rsid w:val="000504BF"/>
    <w:rsid w:val="00052913"/>
    <w:rsid w:val="000600EB"/>
    <w:rsid w:val="00067FD5"/>
    <w:rsid w:val="0007196D"/>
    <w:rsid w:val="00073399"/>
    <w:rsid w:val="000737A1"/>
    <w:rsid w:val="00076279"/>
    <w:rsid w:val="00076888"/>
    <w:rsid w:val="00085445"/>
    <w:rsid w:val="00091754"/>
    <w:rsid w:val="00095139"/>
    <w:rsid w:val="000973DB"/>
    <w:rsid w:val="000A05F5"/>
    <w:rsid w:val="000B45BB"/>
    <w:rsid w:val="000B7B32"/>
    <w:rsid w:val="000D297B"/>
    <w:rsid w:val="000D6F6A"/>
    <w:rsid w:val="000D70B6"/>
    <w:rsid w:val="000E25E3"/>
    <w:rsid w:val="000E458B"/>
    <w:rsid w:val="000E4EB9"/>
    <w:rsid w:val="000F6A68"/>
    <w:rsid w:val="000F6CC3"/>
    <w:rsid w:val="00100FF9"/>
    <w:rsid w:val="00104185"/>
    <w:rsid w:val="00105CDE"/>
    <w:rsid w:val="001065E3"/>
    <w:rsid w:val="00112BB1"/>
    <w:rsid w:val="0011370E"/>
    <w:rsid w:val="00120D77"/>
    <w:rsid w:val="001255FC"/>
    <w:rsid w:val="00126896"/>
    <w:rsid w:val="00127186"/>
    <w:rsid w:val="00136C7C"/>
    <w:rsid w:val="00143156"/>
    <w:rsid w:val="001441F2"/>
    <w:rsid w:val="00145FA2"/>
    <w:rsid w:val="0014681C"/>
    <w:rsid w:val="00150DAA"/>
    <w:rsid w:val="0015263B"/>
    <w:rsid w:val="001566D5"/>
    <w:rsid w:val="00161BE7"/>
    <w:rsid w:val="00163A78"/>
    <w:rsid w:val="00166C7F"/>
    <w:rsid w:val="00172A27"/>
    <w:rsid w:val="00172A4B"/>
    <w:rsid w:val="0017496E"/>
    <w:rsid w:val="00176BCA"/>
    <w:rsid w:val="001772AA"/>
    <w:rsid w:val="001931FF"/>
    <w:rsid w:val="00193EE3"/>
    <w:rsid w:val="0019445C"/>
    <w:rsid w:val="001A05B5"/>
    <w:rsid w:val="001C3F8D"/>
    <w:rsid w:val="001C5E21"/>
    <w:rsid w:val="001C7DC3"/>
    <w:rsid w:val="001D0385"/>
    <w:rsid w:val="001D23DF"/>
    <w:rsid w:val="001E2371"/>
    <w:rsid w:val="001E3149"/>
    <w:rsid w:val="001E3B85"/>
    <w:rsid w:val="001E7D78"/>
    <w:rsid w:val="001F740A"/>
    <w:rsid w:val="001F7D43"/>
    <w:rsid w:val="0020177D"/>
    <w:rsid w:val="002031B0"/>
    <w:rsid w:val="00211875"/>
    <w:rsid w:val="0023431F"/>
    <w:rsid w:val="00234F42"/>
    <w:rsid w:val="002363C1"/>
    <w:rsid w:val="00237502"/>
    <w:rsid w:val="002429F4"/>
    <w:rsid w:val="00242EC4"/>
    <w:rsid w:val="00252A4D"/>
    <w:rsid w:val="00254D99"/>
    <w:rsid w:val="00255249"/>
    <w:rsid w:val="002634EC"/>
    <w:rsid w:val="00266AB5"/>
    <w:rsid w:val="00267F69"/>
    <w:rsid w:val="00272F18"/>
    <w:rsid w:val="00282E51"/>
    <w:rsid w:val="0028631B"/>
    <w:rsid w:val="00286AF4"/>
    <w:rsid w:val="00291A45"/>
    <w:rsid w:val="00295500"/>
    <w:rsid w:val="002A7794"/>
    <w:rsid w:val="002B18D9"/>
    <w:rsid w:val="002B5779"/>
    <w:rsid w:val="002B7247"/>
    <w:rsid w:val="002C2580"/>
    <w:rsid w:val="002C2C02"/>
    <w:rsid w:val="002C38EC"/>
    <w:rsid w:val="002C6A8A"/>
    <w:rsid w:val="002D0025"/>
    <w:rsid w:val="002D6A5C"/>
    <w:rsid w:val="002E0D71"/>
    <w:rsid w:val="002E3662"/>
    <w:rsid w:val="002E3FA9"/>
    <w:rsid w:val="002E546F"/>
    <w:rsid w:val="002F49B5"/>
    <w:rsid w:val="002F53DB"/>
    <w:rsid w:val="002F740A"/>
    <w:rsid w:val="00307252"/>
    <w:rsid w:val="00312720"/>
    <w:rsid w:val="00317C69"/>
    <w:rsid w:val="00325E58"/>
    <w:rsid w:val="00327AE5"/>
    <w:rsid w:val="003409A4"/>
    <w:rsid w:val="00347CDE"/>
    <w:rsid w:val="003543D2"/>
    <w:rsid w:val="00360F70"/>
    <w:rsid w:val="003634A4"/>
    <w:rsid w:val="00364BC9"/>
    <w:rsid w:val="0036578D"/>
    <w:rsid w:val="0036774D"/>
    <w:rsid w:val="00371F8B"/>
    <w:rsid w:val="00375DED"/>
    <w:rsid w:val="00383B4C"/>
    <w:rsid w:val="00386789"/>
    <w:rsid w:val="00392BBC"/>
    <w:rsid w:val="00394761"/>
    <w:rsid w:val="003A619F"/>
    <w:rsid w:val="003B7BD9"/>
    <w:rsid w:val="003C2DD7"/>
    <w:rsid w:val="003C304C"/>
    <w:rsid w:val="003C3D6F"/>
    <w:rsid w:val="003D1C72"/>
    <w:rsid w:val="003D1E3A"/>
    <w:rsid w:val="003D683C"/>
    <w:rsid w:val="00413311"/>
    <w:rsid w:val="004214F5"/>
    <w:rsid w:val="004303D6"/>
    <w:rsid w:val="00430C90"/>
    <w:rsid w:val="00455345"/>
    <w:rsid w:val="004602C0"/>
    <w:rsid w:val="0046324D"/>
    <w:rsid w:val="00464BAB"/>
    <w:rsid w:val="004736A7"/>
    <w:rsid w:val="00477C37"/>
    <w:rsid w:val="00482BC6"/>
    <w:rsid w:val="0048402E"/>
    <w:rsid w:val="0048753E"/>
    <w:rsid w:val="004A4E84"/>
    <w:rsid w:val="004B00F7"/>
    <w:rsid w:val="004B5DC2"/>
    <w:rsid w:val="004C16F6"/>
    <w:rsid w:val="004C5025"/>
    <w:rsid w:val="004C7826"/>
    <w:rsid w:val="004D3C50"/>
    <w:rsid w:val="004E138E"/>
    <w:rsid w:val="004E28B4"/>
    <w:rsid w:val="004F0849"/>
    <w:rsid w:val="004F2910"/>
    <w:rsid w:val="004F34D1"/>
    <w:rsid w:val="004F78C9"/>
    <w:rsid w:val="005060EE"/>
    <w:rsid w:val="005167F9"/>
    <w:rsid w:val="0052344F"/>
    <w:rsid w:val="00526165"/>
    <w:rsid w:val="0052646A"/>
    <w:rsid w:val="0054049D"/>
    <w:rsid w:val="00542A72"/>
    <w:rsid w:val="00543D94"/>
    <w:rsid w:val="00545ADF"/>
    <w:rsid w:val="00550718"/>
    <w:rsid w:val="005536A3"/>
    <w:rsid w:val="00553E34"/>
    <w:rsid w:val="005643BE"/>
    <w:rsid w:val="00565001"/>
    <w:rsid w:val="00565E1C"/>
    <w:rsid w:val="00566B1D"/>
    <w:rsid w:val="00567979"/>
    <w:rsid w:val="00574106"/>
    <w:rsid w:val="00584E1F"/>
    <w:rsid w:val="005A0524"/>
    <w:rsid w:val="005A38C9"/>
    <w:rsid w:val="005B2B1E"/>
    <w:rsid w:val="005C00C7"/>
    <w:rsid w:val="005C2DD3"/>
    <w:rsid w:val="005C4904"/>
    <w:rsid w:val="005C6DF0"/>
    <w:rsid w:val="005D1E46"/>
    <w:rsid w:val="005D66B8"/>
    <w:rsid w:val="005E35F8"/>
    <w:rsid w:val="005F6019"/>
    <w:rsid w:val="00605E12"/>
    <w:rsid w:val="00613395"/>
    <w:rsid w:val="00621F9B"/>
    <w:rsid w:val="00623A78"/>
    <w:rsid w:val="00623E61"/>
    <w:rsid w:val="0063003F"/>
    <w:rsid w:val="00644E84"/>
    <w:rsid w:val="00646DEC"/>
    <w:rsid w:val="006510A5"/>
    <w:rsid w:val="00652076"/>
    <w:rsid w:val="006574B4"/>
    <w:rsid w:val="00660B76"/>
    <w:rsid w:val="00662755"/>
    <w:rsid w:val="006648C2"/>
    <w:rsid w:val="00676EE0"/>
    <w:rsid w:val="006963B8"/>
    <w:rsid w:val="006B6507"/>
    <w:rsid w:val="006C01D7"/>
    <w:rsid w:val="006C3D78"/>
    <w:rsid w:val="006C7C29"/>
    <w:rsid w:val="006D0E89"/>
    <w:rsid w:val="006D20DF"/>
    <w:rsid w:val="006D4062"/>
    <w:rsid w:val="006D4489"/>
    <w:rsid w:val="006E0FBC"/>
    <w:rsid w:val="006E7329"/>
    <w:rsid w:val="006F1B04"/>
    <w:rsid w:val="006F3D6E"/>
    <w:rsid w:val="0070620C"/>
    <w:rsid w:val="00710BD0"/>
    <w:rsid w:val="007114DE"/>
    <w:rsid w:val="00715690"/>
    <w:rsid w:val="00726FB1"/>
    <w:rsid w:val="0073487E"/>
    <w:rsid w:val="00742F52"/>
    <w:rsid w:val="00751881"/>
    <w:rsid w:val="00756C0E"/>
    <w:rsid w:val="00774B1C"/>
    <w:rsid w:val="00782861"/>
    <w:rsid w:val="00784302"/>
    <w:rsid w:val="00786B01"/>
    <w:rsid w:val="00790563"/>
    <w:rsid w:val="00797707"/>
    <w:rsid w:val="00797B1C"/>
    <w:rsid w:val="007A2F65"/>
    <w:rsid w:val="007A6480"/>
    <w:rsid w:val="007A6EE1"/>
    <w:rsid w:val="007A7109"/>
    <w:rsid w:val="007B0A6A"/>
    <w:rsid w:val="007B469C"/>
    <w:rsid w:val="007C1898"/>
    <w:rsid w:val="007D3245"/>
    <w:rsid w:val="007D3C2E"/>
    <w:rsid w:val="007D4FDA"/>
    <w:rsid w:val="007D5CF1"/>
    <w:rsid w:val="007E5114"/>
    <w:rsid w:val="007F4549"/>
    <w:rsid w:val="00803F21"/>
    <w:rsid w:val="00804DE3"/>
    <w:rsid w:val="008058F1"/>
    <w:rsid w:val="008103C5"/>
    <w:rsid w:val="00813512"/>
    <w:rsid w:val="008145A8"/>
    <w:rsid w:val="00814601"/>
    <w:rsid w:val="008165B9"/>
    <w:rsid w:val="008206DF"/>
    <w:rsid w:val="0084596D"/>
    <w:rsid w:val="00846123"/>
    <w:rsid w:val="0085452A"/>
    <w:rsid w:val="008563A7"/>
    <w:rsid w:val="0086002E"/>
    <w:rsid w:val="00861DDB"/>
    <w:rsid w:val="008658BF"/>
    <w:rsid w:val="00867849"/>
    <w:rsid w:val="00870C2D"/>
    <w:rsid w:val="00886548"/>
    <w:rsid w:val="00891D4A"/>
    <w:rsid w:val="00894EF2"/>
    <w:rsid w:val="008A2EC1"/>
    <w:rsid w:val="008A62C0"/>
    <w:rsid w:val="008C1F29"/>
    <w:rsid w:val="008C6CE5"/>
    <w:rsid w:val="008E3F4F"/>
    <w:rsid w:val="008E6228"/>
    <w:rsid w:val="008E65B6"/>
    <w:rsid w:val="008E72C7"/>
    <w:rsid w:val="008F1F0E"/>
    <w:rsid w:val="008F7C8D"/>
    <w:rsid w:val="009046CB"/>
    <w:rsid w:val="009106F8"/>
    <w:rsid w:val="009222B9"/>
    <w:rsid w:val="0092368B"/>
    <w:rsid w:val="00927389"/>
    <w:rsid w:val="00927AF5"/>
    <w:rsid w:val="0093374A"/>
    <w:rsid w:val="00945483"/>
    <w:rsid w:val="00950B31"/>
    <w:rsid w:val="00955F49"/>
    <w:rsid w:val="00957F76"/>
    <w:rsid w:val="0096164F"/>
    <w:rsid w:val="00962323"/>
    <w:rsid w:val="00962C0C"/>
    <w:rsid w:val="009660C6"/>
    <w:rsid w:val="00967CEB"/>
    <w:rsid w:val="0098100A"/>
    <w:rsid w:val="009843BF"/>
    <w:rsid w:val="00990FDB"/>
    <w:rsid w:val="009A356B"/>
    <w:rsid w:val="009A7F02"/>
    <w:rsid w:val="009B3FC2"/>
    <w:rsid w:val="009B4AE5"/>
    <w:rsid w:val="009E279D"/>
    <w:rsid w:val="009E57E0"/>
    <w:rsid w:val="009E630E"/>
    <w:rsid w:val="009E7E5E"/>
    <w:rsid w:val="00A028F7"/>
    <w:rsid w:val="00A0506A"/>
    <w:rsid w:val="00A06A3C"/>
    <w:rsid w:val="00A17B87"/>
    <w:rsid w:val="00A24A75"/>
    <w:rsid w:val="00A26B98"/>
    <w:rsid w:val="00A40DE6"/>
    <w:rsid w:val="00A418E4"/>
    <w:rsid w:val="00A43E27"/>
    <w:rsid w:val="00A54655"/>
    <w:rsid w:val="00A57A83"/>
    <w:rsid w:val="00A600CD"/>
    <w:rsid w:val="00A6177E"/>
    <w:rsid w:val="00A6333F"/>
    <w:rsid w:val="00A64D61"/>
    <w:rsid w:val="00A72787"/>
    <w:rsid w:val="00A72A01"/>
    <w:rsid w:val="00A73499"/>
    <w:rsid w:val="00A73D80"/>
    <w:rsid w:val="00A8475F"/>
    <w:rsid w:val="00A867D7"/>
    <w:rsid w:val="00AA3D3E"/>
    <w:rsid w:val="00AB0419"/>
    <w:rsid w:val="00AC2BF6"/>
    <w:rsid w:val="00AD0ABD"/>
    <w:rsid w:val="00AE2421"/>
    <w:rsid w:val="00AF06DF"/>
    <w:rsid w:val="00AF1819"/>
    <w:rsid w:val="00AF397E"/>
    <w:rsid w:val="00AF6884"/>
    <w:rsid w:val="00AF6F4F"/>
    <w:rsid w:val="00AF7603"/>
    <w:rsid w:val="00B010C5"/>
    <w:rsid w:val="00B0196B"/>
    <w:rsid w:val="00B160B5"/>
    <w:rsid w:val="00B17DAC"/>
    <w:rsid w:val="00B22445"/>
    <w:rsid w:val="00B22E9F"/>
    <w:rsid w:val="00B250EC"/>
    <w:rsid w:val="00B27D44"/>
    <w:rsid w:val="00B4118A"/>
    <w:rsid w:val="00B435AD"/>
    <w:rsid w:val="00B43CF8"/>
    <w:rsid w:val="00B47B28"/>
    <w:rsid w:val="00B515D8"/>
    <w:rsid w:val="00B536AF"/>
    <w:rsid w:val="00B56A5E"/>
    <w:rsid w:val="00B56C71"/>
    <w:rsid w:val="00B60016"/>
    <w:rsid w:val="00B65FA3"/>
    <w:rsid w:val="00B70C92"/>
    <w:rsid w:val="00B76C3A"/>
    <w:rsid w:val="00B825C2"/>
    <w:rsid w:val="00B85A2A"/>
    <w:rsid w:val="00B90B10"/>
    <w:rsid w:val="00B93BD8"/>
    <w:rsid w:val="00B93D94"/>
    <w:rsid w:val="00BA1C7B"/>
    <w:rsid w:val="00BA25E6"/>
    <w:rsid w:val="00BA53A3"/>
    <w:rsid w:val="00BA57F8"/>
    <w:rsid w:val="00BB23DF"/>
    <w:rsid w:val="00BB2B74"/>
    <w:rsid w:val="00BB2CA4"/>
    <w:rsid w:val="00BB4387"/>
    <w:rsid w:val="00BC4F35"/>
    <w:rsid w:val="00BC56E9"/>
    <w:rsid w:val="00BC6746"/>
    <w:rsid w:val="00BD1524"/>
    <w:rsid w:val="00BD49DB"/>
    <w:rsid w:val="00BD52FA"/>
    <w:rsid w:val="00BD68BF"/>
    <w:rsid w:val="00BD728A"/>
    <w:rsid w:val="00BD7755"/>
    <w:rsid w:val="00BE08BF"/>
    <w:rsid w:val="00BF1ED5"/>
    <w:rsid w:val="00BF33D6"/>
    <w:rsid w:val="00BF3B08"/>
    <w:rsid w:val="00BF60BE"/>
    <w:rsid w:val="00C017F8"/>
    <w:rsid w:val="00C15667"/>
    <w:rsid w:val="00C20F76"/>
    <w:rsid w:val="00C21161"/>
    <w:rsid w:val="00C241B0"/>
    <w:rsid w:val="00C24D3D"/>
    <w:rsid w:val="00C30140"/>
    <w:rsid w:val="00C358C2"/>
    <w:rsid w:val="00C404D5"/>
    <w:rsid w:val="00C41DAC"/>
    <w:rsid w:val="00C44380"/>
    <w:rsid w:val="00C47E29"/>
    <w:rsid w:val="00C55DA6"/>
    <w:rsid w:val="00C577B7"/>
    <w:rsid w:val="00C61E51"/>
    <w:rsid w:val="00C630F7"/>
    <w:rsid w:val="00C8660A"/>
    <w:rsid w:val="00CB115A"/>
    <w:rsid w:val="00CB1AB4"/>
    <w:rsid w:val="00CD2318"/>
    <w:rsid w:val="00CE2064"/>
    <w:rsid w:val="00CE20BE"/>
    <w:rsid w:val="00D00832"/>
    <w:rsid w:val="00D00AA1"/>
    <w:rsid w:val="00D0586A"/>
    <w:rsid w:val="00D1161F"/>
    <w:rsid w:val="00D134C3"/>
    <w:rsid w:val="00D200D1"/>
    <w:rsid w:val="00D25FD8"/>
    <w:rsid w:val="00D37538"/>
    <w:rsid w:val="00D41BA6"/>
    <w:rsid w:val="00D42225"/>
    <w:rsid w:val="00D42862"/>
    <w:rsid w:val="00D433A7"/>
    <w:rsid w:val="00D53014"/>
    <w:rsid w:val="00D66C9E"/>
    <w:rsid w:val="00D7701C"/>
    <w:rsid w:val="00D82220"/>
    <w:rsid w:val="00D90E0C"/>
    <w:rsid w:val="00DA43E8"/>
    <w:rsid w:val="00DA5384"/>
    <w:rsid w:val="00DA6A75"/>
    <w:rsid w:val="00DA7AD9"/>
    <w:rsid w:val="00DB2166"/>
    <w:rsid w:val="00DB237D"/>
    <w:rsid w:val="00DB6595"/>
    <w:rsid w:val="00DB73C7"/>
    <w:rsid w:val="00DB783A"/>
    <w:rsid w:val="00DC6DD5"/>
    <w:rsid w:val="00DD2500"/>
    <w:rsid w:val="00DD29FF"/>
    <w:rsid w:val="00DE10A9"/>
    <w:rsid w:val="00DE1352"/>
    <w:rsid w:val="00DE2972"/>
    <w:rsid w:val="00DE5272"/>
    <w:rsid w:val="00DE736C"/>
    <w:rsid w:val="00DF7A1D"/>
    <w:rsid w:val="00E03958"/>
    <w:rsid w:val="00E05F23"/>
    <w:rsid w:val="00E102BE"/>
    <w:rsid w:val="00E10527"/>
    <w:rsid w:val="00E11A15"/>
    <w:rsid w:val="00E12772"/>
    <w:rsid w:val="00E157A4"/>
    <w:rsid w:val="00E158D6"/>
    <w:rsid w:val="00E15A90"/>
    <w:rsid w:val="00E15C6D"/>
    <w:rsid w:val="00E171DD"/>
    <w:rsid w:val="00E23ED0"/>
    <w:rsid w:val="00E27225"/>
    <w:rsid w:val="00E370F7"/>
    <w:rsid w:val="00E44EBB"/>
    <w:rsid w:val="00E47F2A"/>
    <w:rsid w:val="00E62265"/>
    <w:rsid w:val="00E709D2"/>
    <w:rsid w:val="00E7589F"/>
    <w:rsid w:val="00E87F3A"/>
    <w:rsid w:val="00E95E18"/>
    <w:rsid w:val="00E961DA"/>
    <w:rsid w:val="00EA0BA8"/>
    <w:rsid w:val="00EA365F"/>
    <w:rsid w:val="00EB0CD1"/>
    <w:rsid w:val="00EB2ED6"/>
    <w:rsid w:val="00EB52F9"/>
    <w:rsid w:val="00EB63E8"/>
    <w:rsid w:val="00EC08D0"/>
    <w:rsid w:val="00EC20DF"/>
    <w:rsid w:val="00EC57BB"/>
    <w:rsid w:val="00EC69DF"/>
    <w:rsid w:val="00ED15F8"/>
    <w:rsid w:val="00ED2C80"/>
    <w:rsid w:val="00EE0419"/>
    <w:rsid w:val="00EE2255"/>
    <w:rsid w:val="00EE4BF0"/>
    <w:rsid w:val="00EE7B99"/>
    <w:rsid w:val="00EF5DF1"/>
    <w:rsid w:val="00EF6FB3"/>
    <w:rsid w:val="00EF7ACB"/>
    <w:rsid w:val="00F01C9F"/>
    <w:rsid w:val="00F035AB"/>
    <w:rsid w:val="00F12922"/>
    <w:rsid w:val="00F13FE7"/>
    <w:rsid w:val="00F250A2"/>
    <w:rsid w:val="00F25796"/>
    <w:rsid w:val="00F26DE4"/>
    <w:rsid w:val="00F31797"/>
    <w:rsid w:val="00F319B3"/>
    <w:rsid w:val="00F33422"/>
    <w:rsid w:val="00F427E7"/>
    <w:rsid w:val="00F47E6C"/>
    <w:rsid w:val="00F5017A"/>
    <w:rsid w:val="00F5100B"/>
    <w:rsid w:val="00F5616E"/>
    <w:rsid w:val="00F611BC"/>
    <w:rsid w:val="00F636B0"/>
    <w:rsid w:val="00F721E3"/>
    <w:rsid w:val="00F82DB6"/>
    <w:rsid w:val="00F94AB8"/>
    <w:rsid w:val="00F965A0"/>
    <w:rsid w:val="00FA021D"/>
    <w:rsid w:val="00FA046A"/>
    <w:rsid w:val="00FC4C11"/>
    <w:rsid w:val="00FC63C3"/>
    <w:rsid w:val="00FD4BF0"/>
    <w:rsid w:val="00FE3796"/>
    <w:rsid w:val="00FF489C"/>
    <w:rsid w:val="01126BCE"/>
    <w:rsid w:val="018865F4"/>
    <w:rsid w:val="018F5BEE"/>
    <w:rsid w:val="031F557E"/>
    <w:rsid w:val="03C03A8E"/>
    <w:rsid w:val="053B7608"/>
    <w:rsid w:val="05720B51"/>
    <w:rsid w:val="063D2E99"/>
    <w:rsid w:val="065C7F3E"/>
    <w:rsid w:val="0726579E"/>
    <w:rsid w:val="07291B82"/>
    <w:rsid w:val="07731276"/>
    <w:rsid w:val="0A81581B"/>
    <w:rsid w:val="0AB2521E"/>
    <w:rsid w:val="0AFD4E6D"/>
    <w:rsid w:val="0D0F4E1B"/>
    <w:rsid w:val="0D425D9B"/>
    <w:rsid w:val="0DCA7F02"/>
    <w:rsid w:val="0F2A3B1F"/>
    <w:rsid w:val="0FB672D0"/>
    <w:rsid w:val="0FD35D82"/>
    <w:rsid w:val="105834B3"/>
    <w:rsid w:val="11BF451F"/>
    <w:rsid w:val="130C6208"/>
    <w:rsid w:val="135A0FCD"/>
    <w:rsid w:val="14531705"/>
    <w:rsid w:val="15164E17"/>
    <w:rsid w:val="155F3F33"/>
    <w:rsid w:val="16161084"/>
    <w:rsid w:val="163B3AAB"/>
    <w:rsid w:val="18754787"/>
    <w:rsid w:val="189C64EA"/>
    <w:rsid w:val="18D7D725"/>
    <w:rsid w:val="1991044E"/>
    <w:rsid w:val="1AE238A6"/>
    <w:rsid w:val="1C047514"/>
    <w:rsid w:val="1D172679"/>
    <w:rsid w:val="1D467844"/>
    <w:rsid w:val="1E3E1185"/>
    <w:rsid w:val="1ECE699F"/>
    <w:rsid w:val="1ED95978"/>
    <w:rsid w:val="1EDA7710"/>
    <w:rsid w:val="1EDE0E29"/>
    <w:rsid w:val="1F7B35A3"/>
    <w:rsid w:val="1FB6316D"/>
    <w:rsid w:val="1FD654B5"/>
    <w:rsid w:val="20C95166"/>
    <w:rsid w:val="21A41C3A"/>
    <w:rsid w:val="21FE4E69"/>
    <w:rsid w:val="2257757D"/>
    <w:rsid w:val="22C02B12"/>
    <w:rsid w:val="23331C6F"/>
    <w:rsid w:val="23630C9F"/>
    <w:rsid w:val="247B3126"/>
    <w:rsid w:val="24FB619E"/>
    <w:rsid w:val="25745AB4"/>
    <w:rsid w:val="259B3A6E"/>
    <w:rsid w:val="25F21645"/>
    <w:rsid w:val="25FE3E72"/>
    <w:rsid w:val="26082BFE"/>
    <w:rsid w:val="266A16A4"/>
    <w:rsid w:val="26F7472C"/>
    <w:rsid w:val="27353E08"/>
    <w:rsid w:val="27FE2AE4"/>
    <w:rsid w:val="282E342A"/>
    <w:rsid w:val="297864FB"/>
    <w:rsid w:val="2A846AAC"/>
    <w:rsid w:val="2B226314"/>
    <w:rsid w:val="2BA92F86"/>
    <w:rsid w:val="2C7768C8"/>
    <w:rsid w:val="2D392114"/>
    <w:rsid w:val="306C7DC6"/>
    <w:rsid w:val="31BC1320"/>
    <w:rsid w:val="33154745"/>
    <w:rsid w:val="349D7753"/>
    <w:rsid w:val="35314923"/>
    <w:rsid w:val="35B04BF9"/>
    <w:rsid w:val="371E9BF9"/>
    <w:rsid w:val="377039F1"/>
    <w:rsid w:val="383B7A6D"/>
    <w:rsid w:val="38A345E3"/>
    <w:rsid w:val="3AE037B1"/>
    <w:rsid w:val="3AFD3086"/>
    <w:rsid w:val="3BD63A56"/>
    <w:rsid w:val="3BF66BED"/>
    <w:rsid w:val="3C7D7288"/>
    <w:rsid w:val="3CDF6D42"/>
    <w:rsid w:val="3D9C76F7"/>
    <w:rsid w:val="3FABE771"/>
    <w:rsid w:val="3FEFB616"/>
    <w:rsid w:val="3FFF1F01"/>
    <w:rsid w:val="40907B01"/>
    <w:rsid w:val="41376FE7"/>
    <w:rsid w:val="419A6DB9"/>
    <w:rsid w:val="41CF58A8"/>
    <w:rsid w:val="41E2438C"/>
    <w:rsid w:val="423A5F76"/>
    <w:rsid w:val="42864FA4"/>
    <w:rsid w:val="44CF4611"/>
    <w:rsid w:val="4669507C"/>
    <w:rsid w:val="47DA3831"/>
    <w:rsid w:val="481A666F"/>
    <w:rsid w:val="4AA42725"/>
    <w:rsid w:val="4AAD4F45"/>
    <w:rsid w:val="4AD202D0"/>
    <w:rsid w:val="4BBF19D8"/>
    <w:rsid w:val="4CB66D20"/>
    <w:rsid w:val="4CB84667"/>
    <w:rsid w:val="4CCF2202"/>
    <w:rsid w:val="4D950505"/>
    <w:rsid w:val="4DB210B7"/>
    <w:rsid w:val="4DE4323A"/>
    <w:rsid w:val="4ED70257"/>
    <w:rsid w:val="4F494BAD"/>
    <w:rsid w:val="4FB9491D"/>
    <w:rsid w:val="51414C50"/>
    <w:rsid w:val="52A254C8"/>
    <w:rsid w:val="55D50038"/>
    <w:rsid w:val="56B16EEB"/>
    <w:rsid w:val="575E22AF"/>
    <w:rsid w:val="57BB434F"/>
    <w:rsid w:val="57F55691"/>
    <w:rsid w:val="583316EE"/>
    <w:rsid w:val="589D0BB5"/>
    <w:rsid w:val="59162E41"/>
    <w:rsid w:val="595256B9"/>
    <w:rsid w:val="599F0BF8"/>
    <w:rsid w:val="5B6F645D"/>
    <w:rsid w:val="5BD42C23"/>
    <w:rsid w:val="5EBFB52B"/>
    <w:rsid w:val="5F3FFAAC"/>
    <w:rsid w:val="5F495A3D"/>
    <w:rsid w:val="5F9B1E0D"/>
    <w:rsid w:val="5FBEE1BA"/>
    <w:rsid w:val="5FDEE564"/>
    <w:rsid w:val="5FFF483D"/>
    <w:rsid w:val="60316E73"/>
    <w:rsid w:val="60F11579"/>
    <w:rsid w:val="63041BA5"/>
    <w:rsid w:val="63650E0B"/>
    <w:rsid w:val="637007B8"/>
    <w:rsid w:val="646738E7"/>
    <w:rsid w:val="6521764F"/>
    <w:rsid w:val="66091638"/>
    <w:rsid w:val="66352B94"/>
    <w:rsid w:val="66F1A06F"/>
    <w:rsid w:val="680C4C52"/>
    <w:rsid w:val="681774EF"/>
    <w:rsid w:val="68686ADC"/>
    <w:rsid w:val="68BE1740"/>
    <w:rsid w:val="691C5356"/>
    <w:rsid w:val="692863F2"/>
    <w:rsid w:val="69624332"/>
    <w:rsid w:val="69A26DED"/>
    <w:rsid w:val="69D20077"/>
    <w:rsid w:val="69FA9100"/>
    <w:rsid w:val="6AC80B71"/>
    <w:rsid w:val="6B470263"/>
    <w:rsid w:val="6BCF85EC"/>
    <w:rsid w:val="6BE62A16"/>
    <w:rsid w:val="6BF05D1C"/>
    <w:rsid w:val="6BF8DFB8"/>
    <w:rsid w:val="6C3F32D5"/>
    <w:rsid w:val="6C5B3BAC"/>
    <w:rsid w:val="6C5C3872"/>
    <w:rsid w:val="6CD01102"/>
    <w:rsid w:val="6CFDBF04"/>
    <w:rsid w:val="6D19001F"/>
    <w:rsid w:val="6D483EAF"/>
    <w:rsid w:val="6DA02C0A"/>
    <w:rsid w:val="6E450D54"/>
    <w:rsid w:val="6FAF4FFE"/>
    <w:rsid w:val="6FC62606"/>
    <w:rsid w:val="6FD78919"/>
    <w:rsid w:val="6FD7ABE6"/>
    <w:rsid w:val="6FFB3C40"/>
    <w:rsid w:val="7355FB60"/>
    <w:rsid w:val="73E60164"/>
    <w:rsid w:val="73F2580D"/>
    <w:rsid w:val="752672E3"/>
    <w:rsid w:val="75AC58A8"/>
    <w:rsid w:val="76155DFB"/>
    <w:rsid w:val="761E6826"/>
    <w:rsid w:val="77A78E76"/>
    <w:rsid w:val="77F7AA21"/>
    <w:rsid w:val="785B7161"/>
    <w:rsid w:val="785D6A0E"/>
    <w:rsid w:val="789B4955"/>
    <w:rsid w:val="79763BCD"/>
    <w:rsid w:val="7AA26A0D"/>
    <w:rsid w:val="7AFF6EC0"/>
    <w:rsid w:val="7BDFED8B"/>
    <w:rsid w:val="7BEF9F3C"/>
    <w:rsid w:val="7BF72E97"/>
    <w:rsid w:val="7C1D07C6"/>
    <w:rsid w:val="7D4D5E56"/>
    <w:rsid w:val="7D692E09"/>
    <w:rsid w:val="7D99B22C"/>
    <w:rsid w:val="7E2E2619"/>
    <w:rsid w:val="7E3ECE8C"/>
    <w:rsid w:val="7E840C9A"/>
    <w:rsid w:val="7EE71CFF"/>
    <w:rsid w:val="7EFFD7F2"/>
    <w:rsid w:val="7F9B1052"/>
    <w:rsid w:val="7FF30DF7"/>
    <w:rsid w:val="8E7D9682"/>
    <w:rsid w:val="AEED63DA"/>
    <w:rsid w:val="AEEF3075"/>
    <w:rsid w:val="AFAE83F8"/>
    <w:rsid w:val="B35F1923"/>
    <w:rsid w:val="B37B5F6A"/>
    <w:rsid w:val="B9BB1502"/>
    <w:rsid w:val="B9DD1386"/>
    <w:rsid w:val="BABFE499"/>
    <w:rsid w:val="BAF35058"/>
    <w:rsid w:val="BBFD206B"/>
    <w:rsid w:val="BD7EF508"/>
    <w:rsid w:val="BDEF8E12"/>
    <w:rsid w:val="BDF26E03"/>
    <w:rsid w:val="BF9BEA5F"/>
    <w:rsid w:val="BFB6719A"/>
    <w:rsid w:val="BFCF9E53"/>
    <w:rsid w:val="BFF785A6"/>
    <w:rsid w:val="CBA584D4"/>
    <w:rsid w:val="CE6B6739"/>
    <w:rsid w:val="D27E57C2"/>
    <w:rsid w:val="DB0B8580"/>
    <w:rsid w:val="DD5D0811"/>
    <w:rsid w:val="DDDFAC4A"/>
    <w:rsid w:val="DDEF5613"/>
    <w:rsid w:val="DDFF2825"/>
    <w:rsid w:val="DE3AA0B1"/>
    <w:rsid w:val="DFFB90D4"/>
    <w:rsid w:val="E3F21134"/>
    <w:rsid w:val="E5BDD083"/>
    <w:rsid w:val="E8CFF9B0"/>
    <w:rsid w:val="EFF76F24"/>
    <w:rsid w:val="F13C13ED"/>
    <w:rsid w:val="F4EFBB10"/>
    <w:rsid w:val="F6DB1E19"/>
    <w:rsid w:val="F7CF76C9"/>
    <w:rsid w:val="F7FD54EA"/>
    <w:rsid w:val="F7FF19D6"/>
    <w:rsid w:val="F9BB4CF1"/>
    <w:rsid w:val="F9BF9B7A"/>
    <w:rsid w:val="FB2FEF47"/>
    <w:rsid w:val="FB7B4844"/>
    <w:rsid w:val="FBFA5CD9"/>
    <w:rsid w:val="FDCB8DFC"/>
    <w:rsid w:val="FDEFC6B2"/>
    <w:rsid w:val="FDFC0204"/>
    <w:rsid w:val="FDFDA777"/>
    <w:rsid w:val="FDFFE5E0"/>
    <w:rsid w:val="FECFB309"/>
    <w:rsid w:val="FEF9C9D4"/>
    <w:rsid w:val="FF55595A"/>
    <w:rsid w:val="FF7E1FF5"/>
    <w:rsid w:val="FFDD346D"/>
    <w:rsid w:val="FFFB9FAE"/>
    <w:rsid w:val="FFFDE260"/>
    <w:rsid w:val="FFFF0E06"/>
    <w:rsid w:val="FFFF9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keepNext/>
      <w:keepLines/>
      <w:spacing w:before="260" w:after="260" w:line="416" w:lineRule="auto"/>
      <w:ind w:firstLine="640" w:firstLineChars="200"/>
      <w:outlineLvl w:val="1"/>
    </w:pPr>
    <w:rPr>
      <w:rFonts w:ascii="Calibri Light" w:hAnsi="Calibri Light"/>
      <w:b/>
      <w:bCs/>
      <w:szCs w:val="32"/>
    </w:rPr>
  </w:style>
  <w:style w:type="paragraph" w:styleId="7">
    <w:name w:val="heading 3"/>
    <w:basedOn w:val="1"/>
    <w:next w:val="1"/>
    <w:link w:val="52"/>
    <w:qFormat/>
    <w:uiPriority w:val="0"/>
    <w:pPr>
      <w:keepNext/>
      <w:keepLines/>
      <w:spacing w:before="260" w:after="260" w:line="416" w:lineRule="auto"/>
      <w:outlineLvl w:val="2"/>
    </w:pPr>
    <w:rPr>
      <w:b/>
      <w:bCs/>
      <w:sz w:val="32"/>
      <w:szCs w:val="32"/>
    </w:rPr>
  </w:style>
  <w:style w:type="paragraph" w:styleId="8">
    <w:name w:val="heading 4"/>
    <w:basedOn w:val="1"/>
    <w:next w:val="1"/>
    <w:link w:val="49"/>
    <w:qFormat/>
    <w:uiPriority w:val="0"/>
    <w:pPr>
      <w:keepNext/>
      <w:keepLines/>
      <w:widowControl/>
      <w:spacing w:before="120" w:after="120" w:line="360" w:lineRule="auto"/>
      <w:jc w:val="center"/>
      <w:outlineLvl w:val="3"/>
    </w:pPr>
    <w:rPr>
      <w:rFonts w:ascii="Arial" w:hAnsi="Arial" w:eastAsia="黑体"/>
      <w:sz w:val="28"/>
      <w:szCs w:val="24"/>
    </w:rPr>
  </w:style>
  <w:style w:type="paragraph" w:styleId="9">
    <w:name w:val="heading 5"/>
    <w:basedOn w:val="1"/>
    <w:next w:val="10"/>
    <w:link w:val="53"/>
    <w:qFormat/>
    <w:uiPriority w:val="0"/>
    <w:pPr>
      <w:keepNext/>
      <w:keepLines/>
      <w:spacing w:before="280" w:after="290" w:line="376" w:lineRule="auto"/>
      <w:outlineLvl w:val="4"/>
    </w:pPr>
    <w:rPr>
      <w:b/>
      <w:sz w:val="28"/>
      <w:szCs w:val="24"/>
    </w:rPr>
  </w:style>
  <w:style w:type="paragraph" w:styleId="11">
    <w:name w:val="heading 6"/>
    <w:basedOn w:val="1"/>
    <w:next w:val="10"/>
    <w:link w:val="54"/>
    <w:qFormat/>
    <w:uiPriority w:val="0"/>
    <w:pPr>
      <w:keepNext/>
      <w:keepLines/>
      <w:spacing w:before="240" w:after="64" w:line="320" w:lineRule="auto"/>
      <w:outlineLvl w:val="5"/>
    </w:pPr>
    <w:rPr>
      <w:rFonts w:ascii="Arial" w:hAnsi="Arial" w:eastAsia="黑体"/>
      <w:b/>
      <w:sz w:val="24"/>
      <w:szCs w:val="24"/>
    </w:rPr>
  </w:style>
  <w:style w:type="paragraph" w:styleId="12">
    <w:name w:val="heading 7"/>
    <w:basedOn w:val="1"/>
    <w:next w:val="10"/>
    <w:link w:val="57"/>
    <w:qFormat/>
    <w:uiPriority w:val="0"/>
    <w:pPr>
      <w:keepNext/>
      <w:keepLines/>
      <w:spacing w:before="240" w:after="64" w:line="320" w:lineRule="auto"/>
      <w:outlineLvl w:val="6"/>
    </w:pPr>
    <w:rPr>
      <w:b/>
      <w:sz w:val="24"/>
      <w:szCs w:val="24"/>
    </w:rPr>
  </w:style>
  <w:style w:type="paragraph" w:styleId="13">
    <w:name w:val="heading 8"/>
    <w:basedOn w:val="1"/>
    <w:next w:val="10"/>
    <w:link w:val="58"/>
    <w:qFormat/>
    <w:uiPriority w:val="0"/>
    <w:pPr>
      <w:keepNext/>
      <w:keepLines/>
      <w:spacing w:before="240" w:after="64" w:line="320" w:lineRule="auto"/>
      <w:outlineLvl w:val="7"/>
    </w:pPr>
    <w:rPr>
      <w:rFonts w:ascii="Arial" w:hAnsi="Arial" w:eastAsia="黑体"/>
      <w:sz w:val="24"/>
      <w:szCs w:val="24"/>
    </w:rPr>
  </w:style>
  <w:style w:type="paragraph" w:styleId="14">
    <w:name w:val="heading 9"/>
    <w:basedOn w:val="1"/>
    <w:next w:val="10"/>
    <w:link w:val="59"/>
    <w:qFormat/>
    <w:uiPriority w:val="0"/>
    <w:pPr>
      <w:keepNext/>
      <w:keepLines/>
      <w:spacing w:before="240" w:after="64" w:line="320" w:lineRule="auto"/>
      <w:outlineLvl w:val="8"/>
    </w:pPr>
    <w:rPr>
      <w:rFonts w:ascii="Arial" w:hAnsi="Arial" w:eastAsia="黑体"/>
      <w:szCs w:val="24"/>
    </w:rPr>
  </w:style>
  <w:style w:type="character" w:default="1" w:styleId="42">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55"/>
    <w:qFormat/>
    <w:uiPriority w:val="99"/>
    <w:pPr>
      <w:spacing w:line="380" w:lineRule="exact"/>
    </w:pPr>
    <w:rPr>
      <w:sz w:val="24"/>
      <w:szCs w:val="24"/>
    </w:rPr>
  </w:style>
  <w:style w:type="paragraph" w:styleId="3">
    <w:name w:val="Body Text First Indent 2"/>
    <w:basedOn w:val="2"/>
    <w:next w:val="4"/>
    <w:qFormat/>
    <w:uiPriority w:val="0"/>
    <w:pPr>
      <w:ind w:firstLine="420" w:firstLineChars="200"/>
    </w:pPr>
  </w:style>
  <w:style w:type="paragraph" w:styleId="4">
    <w:name w:val="Body Text First Indent"/>
    <w:basedOn w:val="2"/>
    <w:next w:val="1"/>
    <w:qFormat/>
    <w:uiPriority w:val="0"/>
    <w:pPr>
      <w:adjustRightInd w:val="0"/>
      <w:spacing w:after="60" w:line="360" w:lineRule="atLeast"/>
      <w:ind w:left="72" w:leftChars="30" w:right="30" w:rightChars="30" w:firstLine="420"/>
      <w:jc w:val="center"/>
      <w:textAlignment w:val="baseline"/>
    </w:pPr>
    <w:rPr>
      <w:rFonts w:eastAsia="楷体_GB2312"/>
      <w:kern w:val="0"/>
      <w:sz w:val="32"/>
    </w:rPr>
  </w:style>
  <w:style w:type="paragraph" w:styleId="10">
    <w:name w:val="Normal Indent"/>
    <w:basedOn w:val="1"/>
    <w:link w:val="56"/>
    <w:qFormat/>
    <w:uiPriority w:val="0"/>
    <w:pPr>
      <w:ind w:firstLine="420"/>
    </w:pPr>
    <w:rPr>
      <w:rFonts w:ascii="Calibri" w:hAnsi="Calibri"/>
      <w:szCs w:val="20"/>
    </w:rPr>
  </w:style>
  <w:style w:type="paragraph" w:styleId="15">
    <w:name w:val="index 8"/>
    <w:basedOn w:val="1"/>
    <w:next w:val="1"/>
    <w:qFormat/>
    <w:uiPriority w:val="0"/>
    <w:pPr>
      <w:ind w:left="2940"/>
    </w:pPr>
  </w:style>
  <w:style w:type="paragraph" w:styleId="16">
    <w:name w:val="Document Map"/>
    <w:basedOn w:val="1"/>
    <w:link w:val="60"/>
    <w:semiHidden/>
    <w:qFormat/>
    <w:uiPriority w:val="0"/>
    <w:rPr>
      <w:rFonts w:ascii="宋体" w:hAnsi="Calibri"/>
      <w:sz w:val="18"/>
      <w:szCs w:val="20"/>
    </w:rPr>
  </w:style>
  <w:style w:type="paragraph" w:styleId="17">
    <w:name w:val="annotation text"/>
    <w:basedOn w:val="1"/>
    <w:link w:val="61"/>
    <w:semiHidden/>
    <w:qFormat/>
    <w:uiPriority w:val="0"/>
    <w:pPr>
      <w:jc w:val="left"/>
    </w:pPr>
  </w:style>
  <w:style w:type="paragraph" w:styleId="18">
    <w:name w:val="Salutation"/>
    <w:basedOn w:val="1"/>
    <w:next w:val="1"/>
    <w:link w:val="62"/>
    <w:qFormat/>
    <w:uiPriority w:val="0"/>
    <w:rPr>
      <w:sz w:val="28"/>
      <w:szCs w:val="24"/>
    </w:rPr>
  </w:style>
  <w:style w:type="paragraph" w:styleId="19">
    <w:name w:val="Body Text 3"/>
    <w:basedOn w:val="1"/>
    <w:link w:val="63"/>
    <w:qFormat/>
    <w:uiPriority w:val="0"/>
    <w:pPr>
      <w:spacing w:line="500" w:lineRule="exact"/>
    </w:pPr>
    <w:rPr>
      <w:b/>
      <w:bCs/>
      <w:sz w:val="24"/>
      <w:szCs w:val="24"/>
    </w:rPr>
  </w:style>
  <w:style w:type="paragraph" w:styleId="20">
    <w:name w:val="Body Text Indent"/>
    <w:basedOn w:val="1"/>
    <w:next w:val="21"/>
    <w:link w:val="64"/>
    <w:qFormat/>
    <w:uiPriority w:val="0"/>
    <w:pPr>
      <w:ind w:firstLine="830" w:firstLineChars="352"/>
    </w:pPr>
    <w:rPr>
      <w:rFonts w:ascii="仿宋_GB2312" w:eastAsia="仿宋_GB2312" w:cs="仿宋_GB2312"/>
      <w:sz w:val="32"/>
      <w:szCs w:val="32"/>
    </w:rPr>
  </w:style>
  <w:style w:type="paragraph" w:styleId="21">
    <w:name w:val="annotation subject"/>
    <w:basedOn w:val="17"/>
    <w:next w:val="1"/>
    <w:link w:val="76"/>
    <w:semiHidden/>
    <w:qFormat/>
    <w:uiPriority w:val="0"/>
    <w:rPr>
      <w:b/>
      <w:bCs/>
    </w:rPr>
  </w:style>
  <w:style w:type="paragraph" w:styleId="22">
    <w:name w:val="List 2"/>
    <w:basedOn w:val="1"/>
    <w:unhideWhenUsed/>
    <w:qFormat/>
    <w:uiPriority w:val="99"/>
    <w:pPr>
      <w:ind w:left="100" w:leftChars="200" w:hanging="200" w:hangingChars="200"/>
      <w:contextualSpacing/>
    </w:pPr>
  </w:style>
  <w:style w:type="paragraph" w:styleId="23">
    <w:name w:val="Block Text"/>
    <w:basedOn w:val="1"/>
    <w:qFormat/>
    <w:uiPriority w:val="0"/>
    <w:pPr>
      <w:adjustRightInd w:val="0"/>
      <w:spacing w:line="300" w:lineRule="auto"/>
      <w:ind w:left="958" w:right="-120" w:rightChars="-120"/>
      <w:jc w:val="left"/>
    </w:pPr>
    <w:rPr>
      <w:rFonts w:ascii="宋体" w:hAnsi="宋体" w:cs="宋体"/>
      <w:sz w:val="28"/>
      <w:szCs w:val="28"/>
    </w:rPr>
  </w:style>
  <w:style w:type="paragraph" w:styleId="24">
    <w:name w:val="Plain Text"/>
    <w:basedOn w:val="1"/>
    <w:next w:val="15"/>
    <w:link w:val="65"/>
    <w:qFormat/>
    <w:uiPriority w:val="0"/>
    <w:rPr>
      <w:rFonts w:ascii="宋体" w:hAnsi="Courier New"/>
      <w:szCs w:val="20"/>
    </w:rPr>
  </w:style>
  <w:style w:type="paragraph" w:styleId="25">
    <w:name w:val="Date"/>
    <w:basedOn w:val="1"/>
    <w:next w:val="1"/>
    <w:link w:val="66"/>
    <w:qFormat/>
    <w:uiPriority w:val="0"/>
    <w:pPr>
      <w:ind w:left="100" w:leftChars="2500"/>
    </w:pPr>
  </w:style>
  <w:style w:type="paragraph" w:styleId="26">
    <w:name w:val="Body Text Indent 2"/>
    <w:basedOn w:val="1"/>
    <w:link w:val="67"/>
    <w:qFormat/>
    <w:uiPriority w:val="0"/>
    <w:pPr>
      <w:ind w:firstLine="630"/>
    </w:pPr>
    <w:rPr>
      <w:sz w:val="32"/>
      <w:szCs w:val="20"/>
    </w:rPr>
  </w:style>
  <w:style w:type="paragraph" w:styleId="27">
    <w:name w:val="endnote text"/>
    <w:basedOn w:val="1"/>
    <w:link w:val="68"/>
    <w:qFormat/>
    <w:uiPriority w:val="0"/>
    <w:pPr>
      <w:snapToGrid w:val="0"/>
      <w:jc w:val="left"/>
    </w:pPr>
    <w:rPr>
      <w:rFonts w:ascii="Calibri" w:hAnsi="Calibri"/>
      <w:szCs w:val="22"/>
    </w:rPr>
  </w:style>
  <w:style w:type="paragraph" w:styleId="28">
    <w:name w:val="Balloon Text"/>
    <w:basedOn w:val="1"/>
    <w:link w:val="69"/>
    <w:semiHidden/>
    <w:qFormat/>
    <w:uiPriority w:val="0"/>
    <w:rPr>
      <w:sz w:val="18"/>
      <w:szCs w:val="18"/>
    </w:rPr>
  </w:style>
  <w:style w:type="paragraph" w:styleId="29">
    <w:name w:val="footer"/>
    <w:basedOn w:val="1"/>
    <w:next w:val="1"/>
    <w:link w:val="70"/>
    <w:qFormat/>
    <w:uiPriority w:val="0"/>
    <w:pPr>
      <w:tabs>
        <w:tab w:val="center" w:pos="4153"/>
        <w:tab w:val="right" w:pos="8306"/>
      </w:tabs>
      <w:snapToGrid w:val="0"/>
      <w:jc w:val="left"/>
    </w:pPr>
    <w:rPr>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style>
  <w:style w:type="paragraph" w:styleId="33">
    <w:name w:val="Body Text Indent 3"/>
    <w:basedOn w:val="1"/>
    <w:link w:val="72"/>
    <w:qFormat/>
    <w:uiPriority w:val="0"/>
    <w:pPr>
      <w:spacing w:after="120"/>
      <w:ind w:left="420" w:leftChars="200"/>
    </w:pPr>
    <w:rPr>
      <w:sz w:val="16"/>
      <w:szCs w:val="16"/>
    </w:rPr>
  </w:style>
  <w:style w:type="paragraph" w:styleId="34">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paragraph" w:styleId="35">
    <w:name w:val="Body Text 2"/>
    <w:basedOn w:val="1"/>
    <w:link w:val="73"/>
    <w:qFormat/>
    <w:uiPriority w:val="0"/>
    <w:pPr>
      <w:spacing w:after="120" w:line="480" w:lineRule="auto"/>
    </w:pPr>
    <w:rPr>
      <w:szCs w:val="24"/>
    </w:rPr>
  </w:style>
  <w:style w:type="paragraph" w:styleId="36">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8">
    <w:name w:val="index 1"/>
    <w:basedOn w:val="1"/>
    <w:next w:val="1"/>
    <w:semiHidden/>
    <w:qFormat/>
    <w:uiPriority w:val="0"/>
    <w:pPr>
      <w:spacing w:line="400" w:lineRule="exact"/>
      <w:ind w:firstLine="420" w:firstLineChars="200"/>
    </w:pPr>
    <w:rPr>
      <w:rFonts w:ascii="宋体" w:hAnsi="Courier New"/>
      <w:b/>
      <w:szCs w:val="20"/>
    </w:rPr>
  </w:style>
  <w:style w:type="paragraph" w:styleId="39">
    <w:name w:val="Title"/>
    <w:basedOn w:val="1"/>
    <w:next w:val="9"/>
    <w:link w:val="75"/>
    <w:qFormat/>
    <w:uiPriority w:val="0"/>
    <w:pPr>
      <w:spacing w:before="240" w:after="60"/>
      <w:jc w:val="center"/>
      <w:outlineLvl w:val="0"/>
    </w:pPr>
    <w:rPr>
      <w:rFonts w:ascii="Arial" w:hAnsi="Arial"/>
      <w:b/>
      <w:bCs/>
      <w:sz w:val="32"/>
      <w:szCs w:val="32"/>
    </w:rPr>
  </w:style>
  <w:style w:type="table" w:styleId="41">
    <w:name w:val="Table Grid"/>
    <w:basedOn w:val="4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qFormat/>
    <w:uiPriority w:val="0"/>
    <w:rPr>
      <w:rFonts w:cs="Times New Roman"/>
    </w:rPr>
  </w:style>
  <w:style w:type="character" w:styleId="45">
    <w:name w:val="FollowedHyperlink"/>
    <w:basedOn w:val="42"/>
    <w:qFormat/>
    <w:uiPriority w:val="0"/>
    <w:rPr>
      <w:color w:val="444444"/>
      <w:u w:val="none"/>
    </w:rPr>
  </w:style>
  <w:style w:type="character" w:styleId="46">
    <w:name w:val="Hyperlink"/>
    <w:qFormat/>
    <w:uiPriority w:val="0"/>
    <w:rPr>
      <w:rFonts w:cs="Times New Roman"/>
      <w:color w:val="0000FF"/>
      <w:u w:val="single"/>
    </w:rPr>
  </w:style>
  <w:style w:type="character" w:styleId="47">
    <w:name w:val="annotation reference"/>
    <w:semiHidden/>
    <w:qFormat/>
    <w:uiPriority w:val="0"/>
    <w:rPr>
      <w:rFonts w:cs="Times New Roman"/>
      <w:sz w:val="21"/>
      <w:szCs w:val="21"/>
    </w:rPr>
  </w:style>
  <w:style w:type="character" w:styleId="48">
    <w:name w:val="HTML Sample"/>
    <w:unhideWhenUsed/>
    <w:qFormat/>
    <w:uiPriority w:val="0"/>
    <w:rPr>
      <w:rFonts w:ascii="宋体" w:hAnsi="宋体" w:eastAsia="宋体" w:cs="宋体"/>
    </w:rPr>
  </w:style>
  <w:style w:type="character" w:customStyle="1" w:styleId="49">
    <w:name w:val="标题 4 Char"/>
    <w:link w:val="8"/>
    <w:qFormat/>
    <w:uiPriority w:val="0"/>
    <w:rPr>
      <w:rFonts w:ascii="Arial" w:hAnsi="Arial" w:eastAsia="黑体"/>
      <w:kern w:val="2"/>
      <w:sz w:val="28"/>
      <w:szCs w:val="24"/>
      <w:lang w:val="en-US" w:eastAsia="zh-CN" w:bidi="ar-SA"/>
    </w:rPr>
  </w:style>
  <w:style w:type="character" w:customStyle="1" w:styleId="50">
    <w:name w:val="标题 2 Char"/>
    <w:link w:val="6"/>
    <w:semiHidden/>
    <w:qFormat/>
    <w:uiPriority w:val="0"/>
    <w:rPr>
      <w:rFonts w:ascii="Calibri Light" w:hAnsi="Calibri Light" w:eastAsia="宋体"/>
      <w:b/>
      <w:bCs/>
      <w:kern w:val="2"/>
      <w:sz w:val="21"/>
      <w:szCs w:val="32"/>
      <w:lang w:val="en-US" w:eastAsia="zh-CN" w:bidi="ar-SA"/>
    </w:rPr>
  </w:style>
  <w:style w:type="character" w:customStyle="1" w:styleId="51">
    <w:name w:val="标题 1 Char"/>
    <w:link w:val="5"/>
    <w:qFormat/>
    <w:locked/>
    <w:uiPriority w:val="0"/>
    <w:rPr>
      <w:rFonts w:eastAsia="宋体"/>
      <w:b/>
      <w:bCs/>
      <w:kern w:val="44"/>
      <w:sz w:val="44"/>
      <w:szCs w:val="44"/>
      <w:lang w:val="en-US" w:eastAsia="zh-CN" w:bidi="ar-SA"/>
    </w:rPr>
  </w:style>
  <w:style w:type="character" w:customStyle="1" w:styleId="52">
    <w:name w:val="标题 3 Char"/>
    <w:link w:val="7"/>
    <w:qFormat/>
    <w:uiPriority w:val="0"/>
    <w:rPr>
      <w:rFonts w:eastAsia="宋体"/>
      <w:b/>
      <w:bCs/>
      <w:kern w:val="2"/>
      <w:sz w:val="32"/>
      <w:szCs w:val="32"/>
      <w:lang w:val="en-US" w:eastAsia="zh-CN" w:bidi="ar-SA"/>
    </w:rPr>
  </w:style>
  <w:style w:type="character" w:customStyle="1" w:styleId="53">
    <w:name w:val="标题 5 Char"/>
    <w:link w:val="9"/>
    <w:qFormat/>
    <w:uiPriority w:val="0"/>
    <w:rPr>
      <w:rFonts w:eastAsia="宋体"/>
      <w:b/>
      <w:kern w:val="2"/>
      <w:sz w:val="28"/>
      <w:szCs w:val="24"/>
      <w:lang w:val="en-US" w:eastAsia="zh-CN" w:bidi="ar-SA"/>
    </w:rPr>
  </w:style>
  <w:style w:type="character" w:customStyle="1" w:styleId="54">
    <w:name w:val="标题 6 Char"/>
    <w:link w:val="11"/>
    <w:qFormat/>
    <w:uiPriority w:val="0"/>
    <w:rPr>
      <w:rFonts w:ascii="Arial" w:hAnsi="Arial" w:eastAsia="黑体"/>
      <w:b/>
      <w:kern w:val="2"/>
      <w:sz w:val="24"/>
      <w:szCs w:val="24"/>
      <w:lang w:val="en-US" w:eastAsia="zh-CN" w:bidi="ar-SA"/>
    </w:rPr>
  </w:style>
  <w:style w:type="character" w:customStyle="1" w:styleId="55">
    <w:name w:val="正文文本 Char"/>
    <w:link w:val="2"/>
    <w:qFormat/>
    <w:uiPriority w:val="99"/>
    <w:rPr>
      <w:rFonts w:eastAsia="宋体"/>
      <w:kern w:val="2"/>
      <w:sz w:val="24"/>
      <w:szCs w:val="24"/>
      <w:lang w:val="en-US" w:eastAsia="zh-CN" w:bidi="ar-SA"/>
    </w:rPr>
  </w:style>
  <w:style w:type="character" w:customStyle="1" w:styleId="56">
    <w:name w:val="正文缩进 Char"/>
    <w:link w:val="10"/>
    <w:qFormat/>
    <w:locked/>
    <w:uiPriority w:val="0"/>
    <w:rPr>
      <w:rFonts w:ascii="Calibri" w:hAnsi="Calibri" w:eastAsia="宋体"/>
      <w:kern w:val="2"/>
      <w:sz w:val="21"/>
      <w:lang w:val="en-US" w:eastAsia="zh-CN" w:bidi="ar-SA"/>
    </w:rPr>
  </w:style>
  <w:style w:type="character" w:customStyle="1" w:styleId="57">
    <w:name w:val="标题 7 Char"/>
    <w:link w:val="12"/>
    <w:qFormat/>
    <w:uiPriority w:val="0"/>
    <w:rPr>
      <w:rFonts w:eastAsia="宋体"/>
      <w:b/>
      <w:kern w:val="2"/>
      <w:sz w:val="24"/>
      <w:szCs w:val="24"/>
      <w:lang w:val="en-US" w:eastAsia="zh-CN" w:bidi="ar-SA"/>
    </w:rPr>
  </w:style>
  <w:style w:type="character" w:customStyle="1" w:styleId="58">
    <w:name w:val="标题 8 Char"/>
    <w:link w:val="13"/>
    <w:qFormat/>
    <w:uiPriority w:val="0"/>
    <w:rPr>
      <w:rFonts w:ascii="Arial" w:hAnsi="Arial" w:eastAsia="黑体"/>
      <w:kern w:val="2"/>
      <w:sz w:val="24"/>
      <w:szCs w:val="24"/>
      <w:lang w:val="en-US" w:eastAsia="zh-CN" w:bidi="ar-SA"/>
    </w:rPr>
  </w:style>
  <w:style w:type="character" w:customStyle="1" w:styleId="59">
    <w:name w:val="标题 9 Char"/>
    <w:link w:val="14"/>
    <w:qFormat/>
    <w:uiPriority w:val="0"/>
    <w:rPr>
      <w:rFonts w:ascii="Arial" w:hAnsi="Arial" w:eastAsia="黑体"/>
      <w:kern w:val="2"/>
      <w:sz w:val="21"/>
      <w:szCs w:val="24"/>
      <w:lang w:val="en-US" w:eastAsia="zh-CN" w:bidi="ar-SA"/>
    </w:rPr>
  </w:style>
  <w:style w:type="character" w:customStyle="1" w:styleId="60">
    <w:name w:val="文档结构图 Char1"/>
    <w:link w:val="16"/>
    <w:semiHidden/>
    <w:qFormat/>
    <w:locked/>
    <w:uiPriority w:val="0"/>
    <w:rPr>
      <w:rFonts w:ascii="宋体" w:hAnsi="Calibri" w:eastAsia="宋体"/>
      <w:kern w:val="2"/>
      <w:sz w:val="18"/>
      <w:lang w:val="en-US" w:eastAsia="zh-CN" w:bidi="ar-SA"/>
    </w:rPr>
  </w:style>
  <w:style w:type="character" w:customStyle="1" w:styleId="61">
    <w:name w:val="批注文字 Char"/>
    <w:link w:val="17"/>
    <w:semiHidden/>
    <w:qFormat/>
    <w:locked/>
    <w:uiPriority w:val="0"/>
    <w:rPr>
      <w:rFonts w:eastAsia="宋体"/>
      <w:kern w:val="2"/>
      <w:sz w:val="21"/>
      <w:szCs w:val="21"/>
      <w:lang w:val="en-US" w:eastAsia="zh-CN" w:bidi="ar-SA"/>
    </w:rPr>
  </w:style>
  <w:style w:type="character" w:customStyle="1" w:styleId="62">
    <w:name w:val="称呼 Char"/>
    <w:link w:val="18"/>
    <w:qFormat/>
    <w:uiPriority w:val="0"/>
    <w:rPr>
      <w:kern w:val="2"/>
      <w:sz w:val="28"/>
      <w:szCs w:val="24"/>
      <w:lang w:bidi="ar-SA"/>
    </w:rPr>
  </w:style>
  <w:style w:type="character" w:customStyle="1" w:styleId="63">
    <w:name w:val="正文文本 3 Char"/>
    <w:link w:val="19"/>
    <w:qFormat/>
    <w:uiPriority w:val="0"/>
    <w:rPr>
      <w:rFonts w:eastAsia="宋体"/>
      <w:b/>
      <w:bCs/>
      <w:kern w:val="2"/>
      <w:sz w:val="24"/>
      <w:szCs w:val="24"/>
      <w:lang w:val="en-US" w:eastAsia="zh-CN" w:bidi="ar-SA"/>
    </w:rPr>
  </w:style>
  <w:style w:type="character" w:customStyle="1" w:styleId="64">
    <w:name w:val="正文文本缩进 Char"/>
    <w:link w:val="20"/>
    <w:semiHidden/>
    <w:qFormat/>
    <w:locked/>
    <w:uiPriority w:val="0"/>
    <w:rPr>
      <w:rFonts w:ascii="仿宋_GB2312" w:eastAsia="仿宋_GB2312" w:cs="仿宋_GB2312"/>
      <w:kern w:val="2"/>
      <w:sz w:val="32"/>
      <w:szCs w:val="32"/>
      <w:lang w:val="en-US" w:eastAsia="zh-CN" w:bidi="ar-SA"/>
    </w:rPr>
  </w:style>
  <w:style w:type="character" w:customStyle="1" w:styleId="65">
    <w:name w:val="纯文本 Char2"/>
    <w:link w:val="24"/>
    <w:semiHidden/>
    <w:qFormat/>
    <w:locked/>
    <w:uiPriority w:val="0"/>
    <w:rPr>
      <w:rFonts w:ascii="宋体" w:hAnsi="Courier New" w:eastAsia="宋体"/>
      <w:kern w:val="2"/>
      <w:sz w:val="21"/>
      <w:lang w:val="en-US" w:eastAsia="zh-CN" w:bidi="ar-SA"/>
    </w:rPr>
  </w:style>
  <w:style w:type="character" w:customStyle="1" w:styleId="66">
    <w:name w:val="日期 Char"/>
    <w:link w:val="25"/>
    <w:qFormat/>
    <w:uiPriority w:val="0"/>
    <w:rPr>
      <w:rFonts w:eastAsia="宋体"/>
      <w:kern w:val="2"/>
      <w:sz w:val="21"/>
      <w:szCs w:val="21"/>
      <w:lang w:val="en-US" w:eastAsia="zh-CN" w:bidi="ar-SA"/>
    </w:rPr>
  </w:style>
  <w:style w:type="character" w:customStyle="1" w:styleId="67">
    <w:name w:val="正文文本缩进 2 Char"/>
    <w:link w:val="26"/>
    <w:qFormat/>
    <w:uiPriority w:val="0"/>
    <w:rPr>
      <w:rFonts w:eastAsia="宋体"/>
      <w:kern w:val="2"/>
      <w:sz w:val="32"/>
      <w:lang w:val="en-US" w:eastAsia="zh-CN" w:bidi="ar-SA"/>
    </w:rPr>
  </w:style>
  <w:style w:type="character" w:customStyle="1" w:styleId="68">
    <w:name w:val="尾注文本 Char"/>
    <w:link w:val="27"/>
    <w:qFormat/>
    <w:uiPriority w:val="0"/>
    <w:rPr>
      <w:rFonts w:ascii="Calibri" w:hAnsi="Calibri"/>
      <w:kern w:val="2"/>
      <w:sz w:val="21"/>
      <w:szCs w:val="22"/>
      <w:lang w:bidi="ar-SA"/>
    </w:rPr>
  </w:style>
  <w:style w:type="character" w:customStyle="1" w:styleId="69">
    <w:name w:val="批注框文本 Char"/>
    <w:link w:val="28"/>
    <w:semiHidden/>
    <w:qFormat/>
    <w:locked/>
    <w:uiPriority w:val="0"/>
    <w:rPr>
      <w:rFonts w:eastAsia="宋体"/>
      <w:kern w:val="2"/>
      <w:sz w:val="18"/>
      <w:szCs w:val="18"/>
      <w:lang w:val="en-US" w:eastAsia="zh-CN" w:bidi="ar-SA"/>
    </w:rPr>
  </w:style>
  <w:style w:type="character" w:customStyle="1" w:styleId="70">
    <w:name w:val="页脚 Char"/>
    <w:link w:val="29"/>
    <w:qFormat/>
    <w:locked/>
    <w:uiPriority w:val="0"/>
    <w:rPr>
      <w:rFonts w:eastAsia="宋体"/>
      <w:kern w:val="2"/>
      <w:sz w:val="18"/>
      <w:szCs w:val="18"/>
      <w:lang w:val="en-US" w:eastAsia="zh-CN" w:bidi="ar-SA"/>
    </w:rPr>
  </w:style>
  <w:style w:type="character" w:customStyle="1" w:styleId="71">
    <w:name w:val="页眉 Char"/>
    <w:link w:val="31"/>
    <w:qFormat/>
    <w:locked/>
    <w:uiPriority w:val="0"/>
    <w:rPr>
      <w:rFonts w:eastAsia="宋体"/>
      <w:kern w:val="2"/>
      <w:sz w:val="18"/>
      <w:szCs w:val="18"/>
      <w:lang w:val="en-US" w:eastAsia="zh-CN" w:bidi="ar-SA"/>
    </w:rPr>
  </w:style>
  <w:style w:type="character" w:customStyle="1" w:styleId="72">
    <w:name w:val="正文文本缩进 3 Char"/>
    <w:link w:val="33"/>
    <w:qFormat/>
    <w:uiPriority w:val="0"/>
    <w:rPr>
      <w:rFonts w:eastAsia="宋体"/>
      <w:kern w:val="2"/>
      <w:sz w:val="16"/>
      <w:szCs w:val="16"/>
      <w:lang w:val="en-US" w:eastAsia="zh-CN" w:bidi="ar-SA"/>
    </w:rPr>
  </w:style>
  <w:style w:type="character" w:customStyle="1" w:styleId="73">
    <w:name w:val="正文文本 2 Char"/>
    <w:link w:val="35"/>
    <w:qFormat/>
    <w:uiPriority w:val="0"/>
    <w:rPr>
      <w:rFonts w:eastAsia="宋体"/>
      <w:kern w:val="2"/>
      <w:sz w:val="21"/>
      <w:szCs w:val="24"/>
      <w:lang w:val="en-US" w:eastAsia="zh-CN" w:bidi="ar-SA"/>
    </w:rPr>
  </w:style>
  <w:style w:type="character" w:customStyle="1" w:styleId="74">
    <w:name w:val="HTML 预设格式 Char"/>
    <w:link w:val="36"/>
    <w:qFormat/>
    <w:uiPriority w:val="0"/>
    <w:rPr>
      <w:rFonts w:ascii="黑体" w:hAnsi="Courier New" w:eastAsia="黑体" w:cs="Courier New"/>
      <w:lang w:val="en-US" w:eastAsia="zh-CN" w:bidi="ar-SA"/>
    </w:rPr>
  </w:style>
  <w:style w:type="character" w:customStyle="1" w:styleId="75">
    <w:name w:val="标题 Char"/>
    <w:link w:val="39"/>
    <w:qFormat/>
    <w:uiPriority w:val="0"/>
    <w:rPr>
      <w:rFonts w:ascii="Arial" w:hAnsi="Arial" w:eastAsia="宋体"/>
      <w:b/>
      <w:bCs/>
      <w:kern w:val="2"/>
      <w:sz w:val="32"/>
      <w:szCs w:val="32"/>
      <w:lang w:bidi="ar-SA"/>
    </w:rPr>
  </w:style>
  <w:style w:type="character" w:customStyle="1" w:styleId="76">
    <w:name w:val="批注主题 Char"/>
    <w:link w:val="21"/>
    <w:semiHidden/>
    <w:qFormat/>
    <w:locked/>
    <w:uiPriority w:val="0"/>
    <w:rPr>
      <w:rFonts w:eastAsia="宋体"/>
      <w:b/>
      <w:bCs/>
      <w:kern w:val="2"/>
      <w:sz w:val="21"/>
      <w:szCs w:val="21"/>
      <w:lang w:val="en-US" w:eastAsia="zh-CN" w:bidi="ar-SA"/>
    </w:rPr>
  </w:style>
  <w:style w:type="paragraph" w:customStyle="1" w:styleId="77">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78">
    <w:name w:val="纯文本 Char1"/>
    <w:qFormat/>
    <w:locked/>
    <w:uiPriority w:val="0"/>
    <w:rPr>
      <w:rFonts w:ascii="宋体" w:hAnsi="Courier New" w:eastAsia="宋体"/>
      <w:kern w:val="2"/>
      <w:sz w:val="21"/>
      <w:lang w:val="en-US" w:eastAsia="zh-CN"/>
    </w:rPr>
  </w:style>
  <w:style w:type="character" w:customStyle="1" w:styleId="79">
    <w:name w:val="param-name"/>
    <w:qFormat/>
    <w:uiPriority w:val="0"/>
    <w:rPr>
      <w:rFonts w:cs="Times New Roman"/>
    </w:rPr>
  </w:style>
  <w:style w:type="character" w:customStyle="1" w:styleId="80">
    <w:name w:val="1ji Char"/>
    <w:link w:val="81"/>
    <w:qFormat/>
    <w:locked/>
    <w:uiPriority w:val="0"/>
    <w:rPr>
      <w:rFonts w:ascii="宋体" w:hAnsi="宋体" w:eastAsia="宋体"/>
      <w:b/>
      <w:kern w:val="44"/>
      <w:sz w:val="44"/>
      <w:lang w:val="en-US" w:eastAsia="zh-CN" w:bidi="ar-SA"/>
    </w:rPr>
  </w:style>
  <w:style w:type="paragraph" w:customStyle="1" w:styleId="81">
    <w:name w:val="1ji"/>
    <w:basedOn w:val="5"/>
    <w:link w:val="80"/>
    <w:qFormat/>
    <w:uiPriority w:val="0"/>
    <w:pPr>
      <w:keepLines w:val="0"/>
      <w:widowControl/>
      <w:spacing w:before="0" w:after="0" w:line="240" w:lineRule="auto"/>
      <w:jc w:val="center"/>
    </w:pPr>
    <w:rPr>
      <w:rFonts w:ascii="宋体" w:hAnsi="宋体"/>
      <w:bCs w:val="0"/>
      <w:szCs w:val="20"/>
    </w:rPr>
  </w:style>
  <w:style w:type="character" w:customStyle="1" w:styleId="82">
    <w:name w:val="文档结构图 Char"/>
    <w:qFormat/>
    <w:locked/>
    <w:uiPriority w:val="0"/>
    <w:rPr>
      <w:rFonts w:ascii="宋体"/>
      <w:kern w:val="2"/>
      <w:sz w:val="18"/>
    </w:rPr>
  </w:style>
  <w:style w:type="character" w:customStyle="1" w:styleId="83">
    <w:name w:val="标题 1 Char1"/>
    <w:qFormat/>
    <w:uiPriority w:val="0"/>
    <w:rPr>
      <w:rFonts w:ascii="Calibri" w:hAnsi="Calibri" w:eastAsia="宋体"/>
      <w:b/>
      <w:kern w:val="44"/>
      <w:sz w:val="24"/>
    </w:rPr>
  </w:style>
  <w:style w:type="character" w:customStyle="1" w:styleId="84">
    <w:name w:val="纯文本 Char"/>
    <w:qFormat/>
    <w:uiPriority w:val="0"/>
    <w:rPr>
      <w:rFonts w:ascii="宋体" w:hAnsi="Courier New" w:eastAsia="宋体"/>
      <w:kern w:val="2"/>
      <w:sz w:val="21"/>
      <w:lang w:val="en-US" w:eastAsia="zh-CN"/>
    </w:rPr>
  </w:style>
  <w:style w:type="paragraph" w:customStyle="1" w:styleId="85">
    <w:name w:val="列出段落1"/>
    <w:basedOn w:val="1"/>
    <w:qFormat/>
    <w:uiPriority w:val="0"/>
    <w:pPr>
      <w:widowControl/>
      <w:spacing w:after="160" w:line="259" w:lineRule="auto"/>
      <w:ind w:left="720"/>
      <w:jc w:val="left"/>
    </w:pPr>
    <w:rPr>
      <w:rFonts w:ascii="Calibri" w:hAnsi="Calibri" w:cs="Calibri"/>
      <w:kern w:val="0"/>
      <w:sz w:val="22"/>
      <w:szCs w:val="22"/>
    </w:rPr>
  </w:style>
  <w:style w:type="paragraph" w:customStyle="1" w:styleId="86">
    <w:name w:val="p0"/>
    <w:basedOn w:val="1"/>
    <w:qFormat/>
    <w:uiPriority w:val="0"/>
    <w:pPr>
      <w:widowControl/>
    </w:pPr>
    <w:rPr>
      <w:kern w:val="0"/>
    </w:rPr>
  </w:style>
  <w:style w:type="paragraph" w:customStyle="1" w:styleId="87">
    <w:name w:val="1"/>
    <w:basedOn w:val="1"/>
    <w:next w:val="24"/>
    <w:qFormat/>
    <w:uiPriority w:val="0"/>
    <w:rPr>
      <w:rFonts w:ascii="宋体" w:hAnsi="Courier New" w:cs="宋体"/>
    </w:rPr>
  </w:style>
  <w:style w:type="paragraph" w:customStyle="1" w:styleId="88">
    <w:name w:val="列出段落11"/>
    <w:basedOn w:val="1"/>
    <w:qFormat/>
    <w:uiPriority w:val="0"/>
    <w:pPr>
      <w:ind w:firstLine="420" w:firstLineChars="200"/>
    </w:pPr>
    <w:rPr>
      <w:rFonts w:ascii="Calibri" w:hAnsi="Calibri" w:cs="Calibri"/>
    </w:rPr>
  </w:style>
  <w:style w:type="paragraph" w:customStyle="1" w:styleId="89">
    <w:name w:val="修订1"/>
    <w:semiHidden/>
    <w:qFormat/>
    <w:uiPriority w:val="0"/>
    <w:rPr>
      <w:rFonts w:ascii="Times New Roman" w:hAnsi="Times New Roman" w:eastAsia="宋体" w:cs="Times New Roman"/>
      <w:kern w:val="2"/>
      <w:sz w:val="21"/>
      <w:szCs w:val="21"/>
      <w:lang w:val="en-US" w:eastAsia="zh-CN" w:bidi="ar-SA"/>
    </w:rPr>
  </w:style>
  <w:style w:type="paragraph" w:customStyle="1" w:styleId="90">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91">
    <w:name w:val="Heading 1 Char"/>
    <w:qFormat/>
    <w:locked/>
    <w:uiPriority w:val="0"/>
    <w:rPr>
      <w:rFonts w:eastAsia="宋体"/>
      <w:b/>
      <w:bCs/>
      <w:kern w:val="44"/>
      <w:sz w:val="44"/>
      <w:szCs w:val="44"/>
      <w:lang w:val="en-US" w:eastAsia="zh-CN" w:bidi="ar-SA"/>
    </w:rPr>
  </w:style>
  <w:style w:type="character" w:customStyle="1" w:styleId="92">
    <w:name w:val="Plain Text Char"/>
    <w:qFormat/>
    <w:locked/>
    <w:uiPriority w:val="0"/>
    <w:rPr>
      <w:rFonts w:ascii="宋体" w:hAnsi="Courier New" w:eastAsia="宋体" w:cs="Courier New"/>
      <w:kern w:val="2"/>
      <w:sz w:val="21"/>
      <w:szCs w:val="21"/>
      <w:lang w:val="en-US" w:eastAsia="zh-CN" w:bidi="ar-SA"/>
    </w:rPr>
  </w:style>
  <w:style w:type="paragraph" w:customStyle="1" w:styleId="93">
    <w:name w:val="List Paragraph1"/>
    <w:basedOn w:val="1"/>
    <w:qFormat/>
    <w:uiPriority w:val="0"/>
    <w:pPr>
      <w:ind w:firstLine="420" w:firstLineChars="200"/>
    </w:pPr>
  </w:style>
  <w:style w:type="character" w:customStyle="1" w:styleId="94">
    <w:name w:val="15"/>
    <w:qFormat/>
    <w:uiPriority w:val="0"/>
    <w:rPr>
      <w:rFonts w:hint="default" w:ascii="Times New Roman" w:hAnsi="Times New Roman" w:cs="Times New Roman"/>
      <w:color w:val="0000FF"/>
      <w:u w:val="single"/>
    </w:rPr>
  </w:style>
  <w:style w:type="paragraph" w:customStyle="1" w:styleId="95">
    <w:name w:val="p15"/>
    <w:basedOn w:val="1"/>
    <w:qFormat/>
    <w:uiPriority w:val="0"/>
    <w:pPr>
      <w:widowControl/>
    </w:pPr>
    <w:rPr>
      <w:rFonts w:ascii="宋体" w:hAnsi="宋体" w:cs="宋体"/>
      <w:kern w:val="0"/>
    </w:rPr>
  </w:style>
  <w:style w:type="character" w:customStyle="1" w:styleId="96">
    <w:name w:val="Char Char22"/>
    <w:qFormat/>
    <w:uiPriority w:val="0"/>
    <w:rPr>
      <w:rFonts w:eastAsia="宋体"/>
      <w:sz w:val="24"/>
      <w:lang w:bidi="ar-SA"/>
    </w:rPr>
  </w:style>
  <w:style w:type="character" w:customStyle="1" w:styleId="97">
    <w:name w:val="Plain Text Char1"/>
    <w:semiHidden/>
    <w:qFormat/>
    <w:locked/>
    <w:uiPriority w:val="0"/>
    <w:rPr>
      <w:rFonts w:ascii="宋体" w:hAnsi="Courier New" w:eastAsia="宋体"/>
      <w:kern w:val="2"/>
      <w:sz w:val="21"/>
      <w:lang w:val="en-US" w:eastAsia="zh-CN"/>
    </w:rPr>
  </w:style>
  <w:style w:type="character" w:customStyle="1" w:styleId="98">
    <w:name w:val="无间隔 Char"/>
    <w:link w:val="99"/>
    <w:qFormat/>
    <w:uiPriority w:val="0"/>
    <w:rPr>
      <w:rFonts w:ascii="Calibri" w:hAnsi="Calibri" w:eastAsia="Times New Roman"/>
      <w:sz w:val="22"/>
      <w:szCs w:val="22"/>
      <w:lang w:val="en-US" w:eastAsia="zh-CN" w:bidi="ar-SA"/>
    </w:rPr>
  </w:style>
  <w:style w:type="paragraph" w:styleId="99">
    <w:name w:val="No Spacing"/>
    <w:link w:val="98"/>
    <w:qFormat/>
    <w:uiPriority w:val="0"/>
    <w:rPr>
      <w:rFonts w:ascii="Calibri" w:hAnsi="Calibri" w:eastAsia="Times New Roman" w:cs="Times New Roman"/>
      <w:sz w:val="22"/>
      <w:szCs w:val="22"/>
      <w:lang w:val="en-US" w:eastAsia="zh-CN" w:bidi="ar-SA"/>
    </w:rPr>
  </w:style>
  <w:style w:type="character" w:customStyle="1" w:styleId="100">
    <w:name w:val="自定义标题一 Char Char Char"/>
    <w:link w:val="101"/>
    <w:qFormat/>
    <w:uiPriority w:val="0"/>
    <w:rPr>
      <w:rFonts w:ascii="黑体" w:hAnsi="黑体" w:eastAsia="黑体"/>
      <w:b/>
      <w:bCs/>
      <w:kern w:val="44"/>
      <w:sz w:val="44"/>
      <w:szCs w:val="44"/>
      <w:lang w:bidi="ar-SA"/>
    </w:rPr>
  </w:style>
  <w:style w:type="paragraph" w:customStyle="1" w:styleId="101">
    <w:name w:val="自定义标题一"/>
    <w:basedOn w:val="5"/>
    <w:link w:val="100"/>
    <w:qFormat/>
    <w:uiPriority w:val="0"/>
    <w:pPr>
      <w:pageBreakBefore/>
      <w:tabs>
        <w:tab w:val="left" w:pos="144"/>
      </w:tabs>
      <w:spacing w:before="0" w:after="0" w:line="360" w:lineRule="auto"/>
      <w:ind w:left="144" w:hanging="144"/>
      <w:jc w:val="center"/>
    </w:pPr>
    <w:rPr>
      <w:rFonts w:ascii="黑体" w:hAnsi="黑体" w:eastAsia="黑体"/>
    </w:rPr>
  </w:style>
  <w:style w:type="character" w:customStyle="1" w:styleId="102">
    <w:name w:val="Plain Text Char Char"/>
    <w:link w:val="103"/>
    <w:qFormat/>
    <w:uiPriority w:val="0"/>
    <w:rPr>
      <w:rFonts w:ascii="宋体" w:hAnsi="Courier New" w:eastAsia="宋体"/>
      <w:kern w:val="2"/>
      <w:sz w:val="21"/>
      <w:lang w:bidi="ar-SA"/>
    </w:rPr>
  </w:style>
  <w:style w:type="paragraph" w:customStyle="1" w:styleId="103">
    <w:name w:val="纯文本1"/>
    <w:basedOn w:val="1"/>
    <w:link w:val="102"/>
    <w:qFormat/>
    <w:uiPriority w:val="0"/>
    <w:rPr>
      <w:rFonts w:ascii="宋体" w:hAnsi="Courier New"/>
      <w:szCs w:val="20"/>
    </w:rPr>
  </w:style>
  <w:style w:type="character" w:customStyle="1" w:styleId="104">
    <w:name w:val="列出段落 Char"/>
    <w:link w:val="105"/>
    <w:qFormat/>
    <w:uiPriority w:val="0"/>
    <w:rPr>
      <w:rFonts w:ascii="Calibri" w:hAnsi="Calibri" w:eastAsia="宋体"/>
      <w:kern w:val="2"/>
      <w:sz w:val="21"/>
      <w:szCs w:val="22"/>
      <w:lang w:val="en-US" w:eastAsia="zh-CN" w:bidi="ar-SA"/>
    </w:rPr>
  </w:style>
  <w:style w:type="paragraph" w:styleId="105">
    <w:name w:val="List Paragraph"/>
    <w:basedOn w:val="1"/>
    <w:link w:val="104"/>
    <w:qFormat/>
    <w:uiPriority w:val="0"/>
    <w:pPr>
      <w:ind w:firstLine="420" w:firstLineChars="200"/>
    </w:pPr>
    <w:rPr>
      <w:rFonts w:ascii="Calibri" w:hAnsi="Calibri"/>
      <w:szCs w:val="22"/>
    </w:rPr>
  </w:style>
  <w:style w:type="paragraph" w:customStyle="1" w:styleId="106">
    <w:name w:val="标题3"/>
    <w:basedOn w:val="7"/>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07">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08">
    <w:name w:val="样式 正文文字 + 小四 段后: 0 磅 行距: 1.5 倍行距"/>
    <w:basedOn w:val="2"/>
    <w:qFormat/>
    <w:uiPriority w:val="0"/>
    <w:pPr>
      <w:spacing w:line="360" w:lineRule="auto"/>
      <w:ind w:firstLine="480" w:firstLineChars="200"/>
    </w:pPr>
    <w:rPr>
      <w:rFonts w:cs="宋体"/>
      <w:szCs w:val="20"/>
    </w:rPr>
  </w:style>
  <w:style w:type="character" w:customStyle="1" w:styleId="109">
    <w:name w:val="Body text|1_"/>
    <w:link w:val="110"/>
    <w:qFormat/>
    <w:locked/>
    <w:uiPriority w:val="0"/>
    <w:rPr>
      <w:rFonts w:ascii="宋体" w:hAnsi="宋体"/>
      <w:sz w:val="30"/>
      <w:szCs w:val="30"/>
      <w:lang w:bidi="ar-SA"/>
    </w:rPr>
  </w:style>
  <w:style w:type="paragraph" w:customStyle="1" w:styleId="110">
    <w:name w:val="Body text|1"/>
    <w:basedOn w:val="1"/>
    <w:link w:val="109"/>
    <w:qFormat/>
    <w:uiPriority w:val="0"/>
    <w:pPr>
      <w:spacing w:line="352" w:lineRule="auto"/>
      <w:ind w:firstLine="400"/>
      <w:jc w:val="left"/>
    </w:pPr>
    <w:rPr>
      <w:rFonts w:ascii="宋体" w:hAnsi="宋体" w:eastAsia="Times New Roman"/>
      <w:kern w:val="0"/>
      <w:sz w:val="30"/>
      <w:szCs w:val="30"/>
    </w:rPr>
  </w:style>
  <w:style w:type="character" w:customStyle="1" w:styleId="111">
    <w:name w:val="Body text|3_"/>
    <w:link w:val="112"/>
    <w:qFormat/>
    <w:locked/>
    <w:uiPriority w:val="0"/>
    <w:rPr>
      <w:rFonts w:ascii="宋体" w:hAnsi="宋体"/>
      <w:sz w:val="34"/>
      <w:szCs w:val="34"/>
      <w:lang w:bidi="ar-SA"/>
    </w:rPr>
  </w:style>
  <w:style w:type="paragraph" w:customStyle="1" w:styleId="112">
    <w:name w:val="Body text|3"/>
    <w:basedOn w:val="1"/>
    <w:link w:val="111"/>
    <w:qFormat/>
    <w:uiPriority w:val="0"/>
    <w:pPr>
      <w:spacing w:after="460"/>
      <w:jc w:val="center"/>
    </w:pPr>
    <w:rPr>
      <w:rFonts w:ascii="宋体" w:hAnsi="宋体" w:eastAsia="Times New Roman"/>
      <w:kern w:val="0"/>
      <w:sz w:val="34"/>
      <w:szCs w:val="34"/>
    </w:rPr>
  </w:style>
  <w:style w:type="character" w:customStyle="1" w:styleId="113">
    <w:name w:val="纯文本 Char3"/>
    <w:qFormat/>
    <w:uiPriority w:val="0"/>
    <w:rPr>
      <w:rFonts w:ascii="宋体" w:hAnsi="Courier New" w:eastAsia="宋体" w:cs="Courier New"/>
      <w:kern w:val="2"/>
      <w:sz w:val="21"/>
      <w:szCs w:val="21"/>
      <w:lang w:val="en-US" w:eastAsia="zh-CN" w:bidi="ar-SA"/>
    </w:rPr>
  </w:style>
  <w:style w:type="character" w:customStyle="1" w:styleId="114">
    <w:name w:val="bookmark-item"/>
    <w:qFormat/>
    <w:uiPriority w:val="0"/>
  </w:style>
  <w:style w:type="character" w:customStyle="1" w:styleId="115">
    <w:name w:val="bookmark-item uuid-1595987359344 code-00004 addword single-line-text-input-box-cls"/>
    <w:qFormat/>
    <w:uiPriority w:val="0"/>
  </w:style>
  <w:style w:type="character" w:customStyle="1" w:styleId="116">
    <w:name w:val="bookmark-item uuid-1595987369689 code-00003 addword single-line-text-input-box-cls"/>
    <w:qFormat/>
    <w:uiPriority w:val="0"/>
  </w:style>
  <w:style w:type="character" w:customStyle="1" w:styleId="117">
    <w:name w:val="bookmark-item uuid-1595987387629 code-am01400034 addword numeric-input-box-cls"/>
    <w:qFormat/>
    <w:uiPriority w:val="0"/>
  </w:style>
  <w:style w:type="character" w:customStyle="1" w:styleId="118">
    <w:name w:val="bookmark-item uuid-1593432150293 code-am014biditemname editdisable single-line-text-input-box-cls"/>
    <w:qFormat/>
    <w:uiPriority w:val="0"/>
  </w:style>
  <w:style w:type="character" w:customStyle="1" w:styleId="119">
    <w:name w:val="bookmark-item uuid-1595941076685 code-am014biditemcount editdisable single-line-text-input-box-cls"/>
    <w:qFormat/>
    <w:uiPriority w:val="0"/>
  </w:style>
  <w:style w:type="character" w:customStyle="1" w:styleId="120">
    <w:name w:val="bookmark-item uuid-1593421137256 code-am014budgetprice editdisable single-line-text-input-box-cls"/>
    <w:qFormat/>
    <w:uiPriority w:val="0"/>
  </w:style>
  <w:style w:type="character" w:customStyle="1" w:styleId="121">
    <w:name w:val="bookmark-item uuid-1593421202487 code-am014briefspecificationdesc editdisable single-line-text-input-box-cls"/>
    <w:qFormat/>
    <w:uiPriority w:val="0"/>
  </w:style>
  <w:style w:type="character" w:customStyle="1" w:styleId="122">
    <w:name w:val="bookmark-item uuid-1593432166973 code-am014remarks editdisable single-line-text-input-box-cls"/>
    <w:qFormat/>
    <w:uiPriority w:val="0"/>
  </w:style>
  <w:style w:type="character" w:customStyle="1" w:styleId="123">
    <w:name w:val="bookmark-item uuid-1595987425520 code-23021 editdisable multi-line-text-input-box-cls readonly"/>
    <w:qFormat/>
    <w:uiPriority w:val="0"/>
  </w:style>
  <w:style w:type="character" w:customStyle="1" w:styleId="124">
    <w:name w:val="bookmark-item uuid-1596276761070 code-22002 editdisable multi-line-text-input-box-cls readonly"/>
    <w:qFormat/>
    <w:uiPriority w:val="0"/>
  </w:style>
  <w:style w:type="character" w:customStyle="1" w:styleId="125">
    <w:name w:val="bookmark-item uuid-1595987985571 code-25003 addword date-selection-cls"/>
    <w:qFormat/>
    <w:uiPriority w:val="0"/>
  </w:style>
  <w:style w:type="character" w:customStyle="1" w:styleId="126">
    <w:name w:val="bookmark-item uuid-1595987959773 code-25004 editdisable date-selection-cls readonly"/>
    <w:qFormat/>
    <w:uiPriority w:val="0"/>
  </w:style>
  <w:style w:type="character" w:customStyle="1" w:styleId="127">
    <w:name w:val="bookmark-item uuid-1595988019709 code-25005 addword morning-time-section-selection-cls"/>
    <w:qFormat/>
    <w:uiPriority w:val="0"/>
  </w:style>
  <w:style w:type="character" w:customStyle="1" w:styleId="128">
    <w:name w:val="bookmark-item uuid-1595988030421 code-25006 addword afternoon-time-section-selection-cls"/>
    <w:qFormat/>
    <w:uiPriority w:val="0"/>
  </w:style>
  <w:style w:type="character" w:customStyle="1" w:styleId="129">
    <w:name w:val="bookmark-item uuid-1595988073673 code-25007 editdisable single-line-text-input-box-cls readonly"/>
    <w:qFormat/>
    <w:uiPriority w:val="0"/>
  </w:style>
  <w:style w:type="character" w:customStyle="1" w:styleId="130">
    <w:name w:val="bookmark-item uuid-1595988080611 code-25008 editdisable single-line-text-input-box-cls readonly"/>
    <w:qFormat/>
    <w:uiPriority w:val="0"/>
  </w:style>
  <w:style w:type="character" w:customStyle="1" w:styleId="131">
    <w:name w:val="bookmark-item uuid-1595988095908 code-25009 addword numeric-input-box-cls"/>
    <w:qFormat/>
    <w:uiPriority w:val="0"/>
  </w:style>
  <w:style w:type="character" w:customStyle="1" w:styleId="132">
    <w:name w:val="bookmark-item uuid-1595988122451 code-25011 addword date-time-selection-cls"/>
    <w:qFormat/>
    <w:uiPriority w:val="0"/>
  </w:style>
  <w:style w:type="character" w:customStyle="1" w:styleId="133">
    <w:name w:val="bookmark-item uuid-1595988200124 code-25012 editdisable single-line-text-input-box-cls readonly"/>
    <w:qFormat/>
    <w:uiPriority w:val="0"/>
  </w:style>
  <w:style w:type="character" w:customStyle="1" w:styleId="134">
    <w:name w:val="bookmark-item uuid-1595988227171 code-25011 addword date-time-selection-cls"/>
    <w:qFormat/>
    <w:uiPriority w:val="0"/>
  </w:style>
  <w:style w:type="character" w:customStyle="1" w:styleId="135">
    <w:name w:val="bookmark-item uuid-1595988252461 code-25015 editdisable single-line-text-input-box-cls readonly"/>
    <w:qFormat/>
    <w:uiPriority w:val="0"/>
  </w:style>
  <w:style w:type="character" w:customStyle="1" w:styleId="136">
    <w:name w:val="bookmark-item uuid-1589194982864 code-31006 addword multi-line-text-input-box-cls"/>
    <w:qFormat/>
    <w:uiPriority w:val="0"/>
  </w:style>
  <w:style w:type="character" w:customStyle="1" w:styleId="137">
    <w:name w:val="bookmark-item uuid-1596004663203 code-00014 editdisable interval-text-box-cls readonly"/>
    <w:qFormat/>
    <w:uiPriority w:val="0"/>
  </w:style>
  <w:style w:type="character" w:customStyle="1" w:styleId="138">
    <w:name w:val="bookmark-item uuid-1596004672274 code-00018 addword single-line-text-input-box-cls"/>
    <w:qFormat/>
    <w:uiPriority w:val="0"/>
  </w:style>
  <w:style w:type="character" w:customStyle="1" w:styleId="139">
    <w:name w:val="bookmark-item uuid-1596004688403 code-00015 editdisable single-line-text-input-box-cls readonly"/>
    <w:qFormat/>
    <w:uiPriority w:val="0"/>
  </w:style>
  <w:style w:type="character" w:customStyle="1" w:styleId="140">
    <w:name w:val="bookmark-item uuid-1596004695990 code-00016 editdisable single-line-text-input-box-cls readonly"/>
    <w:qFormat/>
    <w:uiPriority w:val="0"/>
  </w:style>
  <w:style w:type="character" w:customStyle="1" w:styleId="141">
    <w:name w:val="bookmark-item uuid-1596004721081 code-00009 addword interval-text-box-cls"/>
    <w:qFormat/>
    <w:uiPriority w:val="0"/>
  </w:style>
  <w:style w:type="character" w:customStyle="1" w:styleId="142">
    <w:name w:val="bookmark-item uuid-1596004728442 code-00013 editdisable single-line-text-input-box-cls readonly"/>
    <w:qFormat/>
    <w:uiPriority w:val="0"/>
  </w:style>
  <w:style w:type="character" w:customStyle="1" w:styleId="143">
    <w:name w:val="bookmark-item uuid-1596004745033 code-00010 editdisable single-line-text-input-box-cls readonly"/>
    <w:qFormat/>
    <w:uiPriority w:val="0"/>
  </w:style>
  <w:style w:type="character" w:customStyle="1" w:styleId="144">
    <w:name w:val="bookmark-item uuid-1596004753055 code-00011 addword single-line-text-input-box-cls"/>
    <w:qFormat/>
    <w:uiPriority w:val="0"/>
  </w:style>
  <w:style w:type="character" w:customStyle="1" w:styleId="145">
    <w:name w:val="ca-32"/>
    <w:qFormat/>
    <w:uiPriority w:val="0"/>
  </w:style>
  <w:style w:type="paragraph" w:customStyle="1" w:styleId="146">
    <w:name w:val="文档正文"/>
    <w:qFormat/>
    <w:uiPriority w:val="0"/>
    <w:pPr>
      <w:widowControl w:val="0"/>
      <w:adjustRightInd w:val="0"/>
      <w:spacing w:line="480" w:lineRule="atLeast"/>
      <w:jc w:val="both"/>
      <w:textAlignment w:val="baseline"/>
    </w:pPr>
    <w:rPr>
      <w:rFonts w:ascii="宋体" w:hAnsi="Arial" w:eastAsia="宋体" w:cs="Times New Roman"/>
      <w:sz w:val="21"/>
      <w:szCs w:val="24"/>
      <w:lang w:val="en-US" w:eastAsia="zh-CN" w:bidi="ar-SA"/>
    </w:rPr>
  </w:style>
  <w:style w:type="paragraph" w:customStyle="1" w:styleId="147">
    <w:name w:val="BodyText"/>
    <w:qFormat/>
    <w:uiPriority w:val="0"/>
    <w:pPr>
      <w:spacing w:line="360" w:lineRule="auto"/>
      <w:jc w:val="both"/>
      <w:textAlignment w:val="baseline"/>
    </w:pPr>
    <w:rPr>
      <w:rFonts w:ascii="Times New Roman" w:hAnsi="Times New Roman" w:eastAsia="宋体" w:cs="Times New Roman"/>
      <w:kern w:val="2"/>
      <w:sz w:val="24"/>
      <w:szCs w:val="24"/>
      <w:lang w:val="en-US" w:eastAsia="zh-CN" w:bidi="ar-SA"/>
    </w:rPr>
  </w:style>
  <w:style w:type="character" w:customStyle="1" w:styleId="148">
    <w:name w:val="headline-content2"/>
    <w:qFormat/>
    <w:uiPriority w:val="0"/>
    <w:rPr>
      <w:rFonts w:eastAsia="宋体"/>
      <w:sz w:val="24"/>
    </w:rPr>
  </w:style>
  <w:style w:type="paragraph" w:customStyle="1" w:styleId="149">
    <w:name w:val="标准文本"/>
    <w:basedOn w:val="1"/>
    <w:qFormat/>
    <w:uiPriority w:val="0"/>
    <w:pPr>
      <w:ind w:firstLine="480"/>
    </w:pPr>
    <w:rPr>
      <w:rFonts w:cs="宋体"/>
    </w:rPr>
  </w:style>
  <w:style w:type="paragraph" w:customStyle="1" w:styleId="150">
    <w:name w:val="gxibvc-正文"/>
    <w:basedOn w:val="1"/>
    <w:qFormat/>
    <w:uiPriority w:val="0"/>
    <w:pPr>
      <w:snapToGrid w:val="0"/>
      <w:spacing w:line="560" w:lineRule="atLeast"/>
      <w:ind w:firstLine="200" w:firstLineChars="200"/>
    </w:pPr>
    <w:rPr>
      <w:rFonts w:ascii="仿宋_GB2312" w:hAnsi="仿宋_GB2312" w:eastAsia="仿宋_GB2312"/>
      <w:sz w:val="32"/>
      <w:szCs w:val="32"/>
    </w:rPr>
  </w:style>
  <w:style w:type="paragraph" w:customStyle="1" w:styleId="151">
    <w:name w:val="gxibvc-1"/>
    <w:basedOn w:val="5"/>
    <w:qFormat/>
    <w:uiPriority w:val="0"/>
    <w:pPr>
      <w:spacing w:line="600" w:lineRule="exact"/>
      <w:jc w:val="center"/>
    </w:pPr>
    <w:rPr>
      <w:rFonts w:ascii="方正小标宋简体" w:eastAsia="方正小标宋简体"/>
    </w:rPr>
  </w:style>
  <w:style w:type="character" w:customStyle="1" w:styleId="152">
    <w:name w:val="font01"/>
    <w:qFormat/>
    <w:uiPriority w:val="0"/>
    <w:rPr>
      <w:rFonts w:hint="eastAsia" w:ascii="宋体" w:hAnsi="宋体" w:eastAsia="宋体" w:cs="宋体"/>
      <w:color w:val="000000"/>
      <w:sz w:val="21"/>
      <w:szCs w:val="21"/>
      <w:u w:val="none"/>
    </w:rPr>
  </w:style>
  <w:style w:type="character" w:customStyle="1" w:styleId="153">
    <w:name w:val="font21"/>
    <w:basedOn w:val="42"/>
    <w:qFormat/>
    <w:uiPriority w:val="0"/>
    <w:rPr>
      <w:rFonts w:hint="eastAsia" w:ascii="宋体" w:hAnsi="宋体" w:eastAsia="宋体" w:cs="宋体"/>
      <w:color w:val="000000"/>
      <w:sz w:val="20"/>
      <w:szCs w:val="20"/>
      <w:u w:val="none"/>
    </w:rPr>
  </w:style>
  <w:style w:type="paragraph" w:customStyle="1" w:styleId="154">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55">
    <w:name w:val="active"/>
    <w:basedOn w:val="42"/>
    <w:qFormat/>
    <w:uiPriority w:val="0"/>
    <w:rPr>
      <w:shd w:val="clear" w:color="auto" w:fill="0047A1"/>
    </w:rPr>
  </w:style>
  <w:style w:type="paragraph" w:customStyle="1" w:styleId="156">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1E3B3-10F3-471B-A6AF-68F1F9DECDC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25958</Words>
  <Characters>27618</Characters>
  <Lines>224</Lines>
  <Paragraphs>63</Paragraphs>
  <TotalTime>3</TotalTime>
  <ScaleCrop>false</ScaleCrop>
  <LinksUpToDate>false</LinksUpToDate>
  <CharactersWithSpaces>29637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2023-10-07T09:13:00Z</dcterms:created>
  <dc:creator>Administrator</dc:creator>
  <cp:lastModifiedBy>demon</cp:lastModifiedBy>
  <cp:lastPrinted>2023-02-15T04:47:00Z</cp:lastPrinted>
  <dcterms:modified xsi:type="dcterms:W3CDTF">2023-10-13T07:45:47Z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D1811E415459410DA8D752612A949F61_13</vt:lpwstr>
  </property>
</Properties>
</file>