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color w:val="auto"/>
          <w:sz w:val="52"/>
          <w:szCs w:val="52"/>
        </w:rPr>
      </w:pPr>
      <w:r>
        <w:rPr>
          <w:rFonts w:hint="eastAsia" w:ascii="宋体" w:hAnsi="宋体" w:cs="宋体"/>
          <w:color w:val="auto"/>
          <w:sz w:val="52"/>
          <w:szCs w:val="52"/>
        </w:rPr>
        <w:t>华夏城投项目管理有限公司</w:t>
      </w:r>
    </w:p>
    <w:p>
      <w:pPr>
        <w:spacing w:line="360" w:lineRule="auto"/>
        <w:jc w:val="center"/>
        <w:rPr>
          <w:rFonts w:ascii="方正小标宋简体" w:hAnsi="方正小标宋简体" w:eastAsia="方正小标宋简体" w:cs="方正小标宋简体"/>
          <w:b/>
          <w:color w:val="auto"/>
          <w:sz w:val="44"/>
          <w:szCs w:val="44"/>
        </w:rPr>
      </w:pPr>
    </w:p>
    <w:p>
      <w:pPr>
        <w:spacing w:line="360" w:lineRule="auto"/>
        <w:jc w:val="center"/>
        <w:rPr>
          <w:rFonts w:ascii="方正小标宋简体" w:hAnsi="方正小标宋简体" w:eastAsia="方正小标宋简体" w:cs="方正小标宋简体"/>
          <w:b/>
          <w:color w:val="auto"/>
          <w:sz w:val="44"/>
          <w:szCs w:val="44"/>
        </w:rPr>
      </w:pPr>
    </w:p>
    <w:p>
      <w:pPr>
        <w:snapToGrid w:val="0"/>
        <w:spacing w:beforeLines="50" w:line="360" w:lineRule="auto"/>
        <w:jc w:val="center"/>
        <w:rPr>
          <w:rFonts w:ascii="华文新魏" w:hAnsi="宋体" w:eastAsia="华文新魏"/>
          <w:color w:val="auto"/>
          <w:sz w:val="120"/>
          <w:szCs w:val="120"/>
        </w:rPr>
      </w:pPr>
      <w:r>
        <w:rPr>
          <w:rFonts w:hint="eastAsia" w:ascii="仿宋_GB2312" w:hAnsi="仿宋_GB2312" w:eastAsia="仿宋_GB2312" w:cs="仿宋_GB2312"/>
          <w:color w:val="auto"/>
          <w:sz w:val="120"/>
          <w:szCs w:val="120"/>
        </w:rPr>
        <w:t>竞争性磋商文件</w:t>
      </w:r>
    </w:p>
    <w:p>
      <w:pPr>
        <w:pStyle w:val="24"/>
        <w:snapToGrid w:val="0"/>
        <w:spacing w:line="360" w:lineRule="auto"/>
        <w:ind w:firstLine="1188" w:firstLineChars="396"/>
        <w:rPr>
          <w:rFonts w:ascii="仿宋_GB2312" w:hAnsi="宋体" w:eastAsia="仿宋_GB2312"/>
          <w:color w:val="auto"/>
          <w:sz w:val="30"/>
          <w:szCs w:val="72"/>
        </w:rPr>
      </w:pPr>
    </w:p>
    <w:p>
      <w:pPr>
        <w:pStyle w:val="24"/>
        <w:snapToGrid w:val="0"/>
        <w:spacing w:line="360" w:lineRule="auto"/>
        <w:ind w:firstLine="1188" w:firstLineChars="396"/>
        <w:rPr>
          <w:rFonts w:ascii="仿宋_GB2312" w:hAnsi="宋体" w:eastAsia="仿宋_GB2312"/>
          <w:color w:val="auto"/>
          <w:sz w:val="30"/>
          <w:szCs w:val="72"/>
        </w:rPr>
      </w:pPr>
    </w:p>
    <w:p>
      <w:pPr>
        <w:pStyle w:val="24"/>
        <w:snapToGrid w:val="0"/>
        <w:spacing w:line="480" w:lineRule="auto"/>
        <w:ind w:firstLine="1272" w:firstLineChars="396"/>
        <w:rPr>
          <w:rFonts w:ascii="仿宋_GB2312" w:hAnsi="宋体" w:eastAsia="仿宋_GB2312"/>
          <w:b/>
          <w:bCs/>
          <w:color w:val="auto"/>
          <w:sz w:val="32"/>
          <w:szCs w:val="32"/>
        </w:rPr>
      </w:pPr>
    </w:p>
    <w:p>
      <w:pPr>
        <w:pStyle w:val="24"/>
        <w:snapToGrid w:val="0"/>
        <w:spacing w:line="480" w:lineRule="auto"/>
        <w:ind w:firstLine="1272" w:firstLineChars="396"/>
        <w:rPr>
          <w:rFonts w:ascii="仿宋_GB2312" w:hAnsi="宋体" w:eastAsia="仿宋_GB2312"/>
          <w:b/>
          <w:bCs/>
          <w:color w:val="auto"/>
          <w:sz w:val="32"/>
          <w:szCs w:val="32"/>
        </w:rPr>
      </w:pPr>
    </w:p>
    <w:p>
      <w:pPr>
        <w:pStyle w:val="24"/>
        <w:snapToGrid w:val="0"/>
        <w:spacing w:line="480" w:lineRule="auto"/>
        <w:ind w:firstLine="1272" w:firstLineChars="396"/>
        <w:rPr>
          <w:rFonts w:ascii="仿宋_GB2312" w:hAnsi="宋体" w:eastAsia="仿宋_GB2312"/>
          <w:b/>
          <w:bCs/>
          <w:color w:val="auto"/>
          <w:sz w:val="32"/>
          <w:szCs w:val="32"/>
        </w:rPr>
      </w:pPr>
    </w:p>
    <w:p>
      <w:pPr>
        <w:pStyle w:val="24"/>
        <w:snapToGrid w:val="0"/>
        <w:spacing w:line="480" w:lineRule="auto"/>
        <w:ind w:firstLine="1272" w:firstLineChars="396"/>
        <w:rPr>
          <w:rFonts w:ascii="仿宋_GB2312" w:hAnsi="宋体" w:eastAsia="仿宋_GB2312"/>
          <w:b/>
          <w:bCs/>
          <w:color w:val="auto"/>
          <w:sz w:val="32"/>
          <w:szCs w:val="32"/>
        </w:rPr>
      </w:pPr>
      <w:r>
        <w:rPr>
          <w:rFonts w:hint="eastAsia" w:ascii="仿宋_GB2312" w:hAnsi="宋体" w:eastAsia="仿宋_GB2312"/>
          <w:b/>
          <w:bCs/>
          <w:color w:val="auto"/>
          <w:sz w:val="32"/>
          <w:szCs w:val="32"/>
        </w:rPr>
        <w:t>项目</w:t>
      </w:r>
      <w:r>
        <w:rPr>
          <w:rFonts w:hint="eastAsia" w:ascii="仿宋_GB2312" w:hAnsi="宋体" w:eastAsia="仿宋_GB2312" w:cs="Courier New"/>
          <w:b/>
          <w:bCs/>
          <w:color w:val="auto"/>
          <w:w w:val="95"/>
          <w:sz w:val="32"/>
          <w:szCs w:val="32"/>
        </w:rPr>
        <w:t>名称</w:t>
      </w:r>
      <w:r>
        <w:rPr>
          <w:rFonts w:hint="eastAsia" w:ascii="仿宋_GB2312" w:hAnsi="宋体" w:eastAsia="仿宋_GB2312"/>
          <w:b/>
          <w:bCs/>
          <w:color w:val="auto"/>
          <w:sz w:val="32"/>
          <w:szCs w:val="32"/>
        </w:rPr>
        <w:t>：广西壮族自治区中医药研究院中药饮片采购</w:t>
      </w:r>
    </w:p>
    <w:p>
      <w:pPr>
        <w:snapToGrid w:val="0"/>
        <w:spacing w:line="480" w:lineRule="auto"/>
        <w:ind w:firstLine="1221" w:firstLineChars="400"/>
        <w:rPr>
          <w:rFonts w:ascii="仿宋_GB2312" w:hAnsi="宋体" w:eastAsia="仿宋_GB2312"/>
          <w:b/>
          <w:bCs/>
          <w:color w:val="auto"/>
          <w:sz w:val="32"/>
          <w:szCs w:val="96"/>
        </w:rPr>
      </w:pPr>
      <w:r>
        <w:rPr>
          <w:rFonts w:hint="eastAsia" w:ascii="仿宋_GB2312" w:hAnsi="宋体" w:eastAsia="仿宋_GB2312" w:cs="Courier New"/>
          <w:b/>
          <w:bCs/>
          <w:color w:val="auto"/>
          <w:w w:val="95"/>
          <w:sz w:val="32"/>
          <w:szCs w:val="32"/>
        </w:rPr>
        <w:t>项目</w:t>
      </w:r>
      <w:r>
        <w:rPr>
          <w:rFonts w:hint="eastAsia" w:ascii="仿宋_GB2312" w:hAnsi="宋体" w:eastAsia="仿宋_GB2312"/>
          <w:b/>
          <w:bCs/>
          <w:color w:val="auto"/>
          <w:sz w:val="32"/>
          <w:szCs w:val="32"/>
        </w:rPr>
        <w:t>编号</w:t>
      </w:r>
      <w:r>
        <w:rPr>
          <w:rFonts w:hint="eastAsia" w:ascii="仿宋_GB2312" w:hAnsi="宋体" w:eastAsia="仿宋_GB2312" w:cs="Courier New"/>
          <w:b/>
          <w:bCs/>
          <w:color w:val="auto"/>
          <w:w w:val="95"/>
          <w:sz w:val="32"/>
          <w:szCs w:val="32"/>
        </w:rPr>
        <w:t>：HXCTGX-CHZB-2023-023</w:t>
      </w:r>
    </w:p>
    <w:p>
      <w:pPr>
        <w:pStyle w:val="24"/>
        <w:snapToGrid w:val="0"/>
        <w:spacing w:line="480" w:lineRule="auto"/>
        <w:ind w:firstLine="1200" w:firstLineChars="393"/>
        <w:rPr>
          <w:rFonts w:ascii="仿宋_GB2312" w:hAnsi="宋体" w:eastAsia="仿宋_GB2312"/>
          <w:b/>
          <w:bCs/>
          <w:color w:val="auto"/>
          <w:w w:val="95"/>
          <w:sz w:val="32"/>
          <w:szCs w:val="32"/>
        </w:rPr>
      </w:pPr>
      <w:r>
        <w:rPr>
          <w:rFonts w:hint="eastAsia" w:ascii="仿宋_GB2312" w:hAnsi="宋体" w:eastAsia="仿宋_GB2312"/>
          <w:b/>
          <w:bCs/>
          <w:color w:val="auto"/>
          <w:w w:val="95"/>
          <w:sz w:val="32"/>
          <w:szCs w:val="32"/>
        </w:rPr>
        <w:t>采 购 人：广西壮族自治区中医药研究院</w:t>
      </w:r>
    </w:p>
    <w:p>
      <w:pPr>
        <w:pStyle w:val="24"/>
        <w:snapToGrid w:val="0"/>
        <w:spacing w:line="480" w:lineRule="auto"/>
        <w:ind w:firstLine="1200" w:firstLineChars="393"/>
        <w:rPr>
          <w:rFonts w:ascii="仿宋_GB2312" w:hAnsi="宋体" w:eastAsia="仿宋_GB2312"/>
          <w:b/>
          <w:bCs/>
          <w:color w:val="auto"/>
          <w:w w:val="95"/>
          <w:sz w:val="32"/>
          <w:szCs w:val="32"/>
        </w:rPr>
      </w:pPr>
      <w:r>
        <w:rPr>
          <w:rFonts w:hint="eastAsia" w:ascii="仿宋_GB2312" w:hAnsi="宋体" w:eastAsia="仿宋_GB2312"/>
          <w:b/>
          <w:bCs/>
          <w:color w:val="auto"/>
          <w:w w:val="95"/>
          <w:sz w:val="32"/>
          <w:szCs w:val="32"/>
        </w:rPr>
        <w:t>采购代理机构：华夏城投项目管理有限公司</w:t>
      </w:r>
    </w:p>
    <w:p>
      <w:pPr>
        <w:pStyle w:val="24"/>
        <w:snapToGrid w:val="0"/>
        <w:spacing w:line="360" w:lineRule="auto"/>
        <w:ind w:firstLine="841" w:firstLineChars="294"/>
        <w:jc w:val="center"/>
        <w:rPr>
          <w:rFonts w:ascii="仿宋_GB2312" w:eastAsia="仿宋_GB2312"/>
          <w:color w:val="auto"/>
        </w:rPr>
      </w:pPr>
      <w:r>
        <w:rPr>
          <w:rFonts w:hint="eastAsia" w:ascii="仿宋_GB2312" w:hAnsi="宋体" w:eastAsia="仿宋_GB2312"/>
          <w:b/>
          <w:bCs/>
          <w:color w:val="auto"/>
          <w:w w:val="95"/>
          <w:sz w:val="30"/>
          <w:szCs w:val="30"/>
        </w:rPr>
        <w:t>2023年10月</w:t>
      </w:r>
      <w:r>
        <w:rPr>
          <w:rFonts w:hint="eastAsia" w:ascii="仿宋_GB2312" w:hAnsi="宋体" w:eastAsia="仿宋_GB2312"/>
          <w:b/>
          <w:bCs/>
          <w:color w:val="auto"/>
          <w:w w:val="95"/>
          <w:sz w:val="30"/>
          <w:szCs w:val="30"/>
          <w:lang w:val="en-US" w:eastAsia="zh-CN"/>
        </w:rPr>
        <w:t>18</w:t>
      </w:r>
      <w:r>
        <w:rPr>
          <w:rFonts w:hint="eastAsia" w:ascii="仿宋_GB2312" w:hAnsi="宋体" w:eastAsia="仿宋_GB2312"/>
          <w:b/>
          <w:bCs/>
          <w:color w:val="auto"/>
          <w:w w:val="95"/>
          <w:sz w:val="30"/>
          <w:szCs w:val="30"/>
        </w:rPr>
        <w:t>日</w:t>
      </w:r>
    </w:p>
    <w:p>
      <w:pPr>
        <w:spacing w:line="400" w:lineRule="exact"/>
        <w:jc w:val="center"/>
        <w:rPr>
          <w:rFonts w:ascii="宋体" w:hAnsi="宋体"/>
          <w:b/>
          <w:bCs/>
          <w:color w:val="auto"/>
          <w:sz w:val="32"/>
          <w:szCs w:val="32"/>
        </w:rPr>
      </w:pPr>
      <w:r>
        <w:rPr>
          <w:rFonts w:hint="eastAsia" w:ascii="宋体" w:hAnsi="宋体"/>
          <w:b/>
          <w:bCs/>
          <w:color w:val="auto"/>
          <w:sz w:val="32"/>
          <w:szCs w:val="32"/>
        </w:rPr>
        <w:br w:type="page"/>
      </w:r>
    </w:p>
    <w:p>
      <w:pPr>
        <w:spacing w:line="400" w:lineRule="exact"/>
        <w:jc w:val="center"/>
        <w:rPr>
          <w:rFonts w:ascii="宋体" w:hAnsi="宋体"/>
          <w:b/>
          <w:bCs/>
          <w:color w:val="auto"/>
          <w:sz w:val="32"/>
          <w:szCs w:val="32"/>
        </w:rPr>
      </w:pPr>
      <w:r>
        <w:rPr>
          <w:rFonts w:hint="eastAsia" w:ascii="宋体" w:hAnsi="宋体"/>
          <w:b/>
          <w:bCs/>
          <w:color w:val="auto"/>
          <w:sz w:val="32"/>
          <w:szCs w:val="32"/>
        </w:rPr>
        <w:t>目录</w:t>
      </w:r>
    </w:p>
    <w:p>
      <w:pPr>
        <w:spacing w:line="400" w:lineRule="exact"/>
        <w:jc w:val="center"/>
        <w:rPr>
          <w:rFonts w:ascii="宋体" w:hAnsi="宋体" w:cs="宋体"/>
          <w:b/>
          <w:bCs/>
          <w:color w:val="auto"/>
          <w:sz w:val="28"/>
          <w:szCs w:val="28"/>
        </w:rPr>
      </w:pPr>
    </w:p>
    <w:p>
      <w:pPr>
        <w:pStyle w:val="31"/>
        <w:tabs>
          <w:tab w:val="right" w:leader="dot" w:pos="9412"/>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"1-1"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_Toc5996 </w:instrText>
      </w:r>
      <w:r>
        <w:rPr>
          <w:rFonts w:hint="eastAsia" w:ascii="宋体" w:hAnsi="宋体" w:eastAsia="宋体" w:cs="宋体"/>
          <w:sz w:val="24"/>
          <w:szCs w:val="24"/>
        </w:rPr>
        <w:fldChar w:fldCharType="separate"/>
      </w:r>
      <w:r>
        <w:rPr>
          <w:rFonts w:hint="eastAsia" w:ascii="宋体" w:hAnsi="宋体" w:eastAsia="宋体" w:cs="宋体"/>
          <w:bCs/>
          <w:kern w:val="44"/>
          <w:sz w:val="24"/>
          <w:szCs w:val="24"/>
        </w:rPr>
        <w:t>第一章</w:t>
      </w:r>
      <w:r>
        <w:rPr>
          <w:rFonts w:hint="eastAsia" w:ascii="宋体" w:hAnsi="宋体" w:eastAsia="宋体" w:cs="宋体"/>
          <w:bCs/>
          <w:kern w:val="44"/>
          <w:sz w:val="24"/>
          <w:szCs w:val="24"/>
          <w:lang w:val="en-US" w:eastAsia="zh-CN"/>
        </w:rPr>
        <w:t xml:space="preserve"> </w:t>
      </w:r>
      <w:r>
        <w:rPr>
          <w:rFonts w:hint="eastAsia" w:ascii="宋体" w:hAnsi="宋体" w:eastAsia="宋体" w:cs="宋体"/>
          <w:bCs/>
          <w:kern w:val="44"/>
          <w:sz w:val="24"/>
          <w:szCs w:val="24"/>
        </w:rPr>
        <w:t>竞争性磋商公告</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_Toc5996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9412"/>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_Toc7499 </w:instrText>
      </w:r>
      <w:r>
        <w:rPr>
          <w:rFonts w:hint="eastAsia" w:ascii="宋体" w:hAnsi="宋体" w:eastAsia="宋体" w:cs="宋体"/>
          <w:sz w:val="24"/>
          <w:szCs w:val="24"/>
        </w:rPr>
        <w:fldChar w:fldCharType="separate"/>
      </w:r>
      <w:r>
        <w:rPr>
          <w:rFonts w:hint="eastAsia" w:ascii="宋体" w:hAnsi="宋体" w:eastAsia="宋体" w:cs="宋体"/>
          <w:sz w:val="24"/>
          <w:szCs w:val="24"/>
        </w:rPr>
        <w:t>第二章  供应商须知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_Toc7499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9412"/>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_Toc23574 </w:instrText>
      </w:r>
      <w:r>
        <w:rPr>
          <w:rFonts w:hint="eastAsia" w:ascii="宋体" w:hAnsi="宋体" w:eastAsia="宋体" w:cs="宋体"/>
          <w:sz w:val="24"/>
          <w:szCs w:val="24"/>
        </w:rPr>
        <w:fldChar w:fldCharType="separate"/>
      </w:r>
      <w:r>
        <w:rPr>
          <w:rFonts w:hint="eastAsia" w:ascii="宋体" w:hAnsi="宋体" w:eastAsia="宋体" w:cs="宋体"/>
          <w:sz w:val="24"/>
          <w:szCs w:val="24"/>
        </w:rPr>
        <w:t>第三章  采购需求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_Toc23574 \h </w:instrText>
      </w:r>
      <w:r>
        <w:rPr>
          <w:rFonts w:hint="eastAsia" w:ascii="宋体" w:hAnsi="宋体" w:eastAsia="宋体" w:cs="宋体"/>
          <w:sz w:val="24"/>
          <w:szCs w:val="24"/>
        </w:rPr>
        <w:fldChar w:fldCharType="separate"/>
      </w:r>
      <w:r>
        <w:rPr>
          <w:rFonts w:hint="eastAsia" w:ascii="宋体" w:hAnsi="宋体" w:eastAsia="宋体" w:cs="宋体"/>
          <w:sz w:val="24"/>
          <w:szCs w:val="24"/>
        </w:rPr>
        <w:t>21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9412"/>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_Toc22498 </w:instrText>
      </w:r>
      <w:r>
        <w:rPr>
          <w:rFonts w:hint="eastAsia" w:ascii="宋体" w:hAnsi="宋体" w:eastAsia="宋体" w:cs="宋体"/>
          <w:sz w:val="24"/>
          <w:szCs w:val="24"/>
        </w:rPr>
        <w:fldChar w:fldCharType="separate"/>
      </w:r>
      <w:r>
        <w:rPr>
          <w:rFonts w:hint="eastAsia" w:ascii="宋体" w:hAnsi="宋体" w:eastAsia="宋体" w:cs="宋体"/>
          <w:sz w:val="24"/>
          <w:szCs w:val="24"/>
        </w:rPr>
        <w:t>第四章  评审程序、评审方法和评审标准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_Toc22498 \h </w:instrText>
      </w:r>
      <w:r>
        <w:rPr>
          <w:rFonts w:hint="eastAsia" w:ascii="宋体" w:hAnsi="宋体" w:eastAsia="宋体" w:cs="宋体"/>
          <w:sz w:val="24"/>
          <w:szCs w:val="24"/>
        </w:rPr>
        <w:fldChar w:fldCharType="separate"/>
      </w:r>
      <w:r>
        <w:rPr>
          <w:rFonts w:hint="eastAsia" w:ascii="宋体" w:hAnsi="宋体" w:eastAsia="宋体" w:cs="宋体"/>
          <w:sz w:val="24"/>
          <w:szCs w:val="24"/>
        </w:rPr>
        <w:t>48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9412"/>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_Toc27737 </w:instrText>
      </w:r>
      <w:r>
        <w:rPr>
          <w:rFonts w:hint="eastAsia" w:ascii="宋体" w:hAnsi="宋体" w:eastAsia="宋体" w:cs="宋体"/>
          <w:sz w:val="24"/>
          <w:szCs w:val="24"/>
        </w:rPr>
        <w:fldChar w:fldCharType="separate"/>
      </w:r>
      <w:r>
        <w:rPr>
          <w:rFonts w:hint="eastAsia" w:ascii="宋体" w:hAnsi="宋体" w:eastAsia="宋体" w:cs="宋体"/>
          <w:sz w:val="24"/>
          <w:szCs w:val="24"/>
        </w:rPr>
        <w:t>第五章 响应文件格式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_Toc27737 \h </w:instrText>
      </w:r>
      <w:r>
        <w:rPr>
          <w:rFonts w:hint="eastAsia" w:ascii="宋体" w:hAnsi="宋体" w:eastAsia="宋体" w:cs="宋体"/>
          <w:sz w:val="24"/>
          <w:szCs w:val="24"/>
        </w:rPr>
        <w:fldChar w:fldCharType="separate"/>
      </w:r>
      <w:r>
        <w:rPr>
          <w:rFonts w:hint="eastAsia" w:ascii="宋体" w:hAnsi="宋体" w:eastAsia="宋体" w:cs="宋体"/>
          <w:sz w:val="24"/>
          <w:szCs w:val="24"/>
        </w:rPr>
        <w:t>56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9412"/>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_Toc31484 </w:instrText>
      </w:r>
      <w:r>
        <w:rPr>
          <w:rFonts w:hint="eastAsia" w:ascii="宋体" w:hAnsi="宋体" w:eastAsia="宋体" w:cs="宋体"/>
          <w:sz w:val="24"/>
          <w:szCs w:val="24"/>
        </w:rPr>
        <w:fldChar w:fldCharType="separate"/>
      </w:r>
      <w:r>
        <w:rPr>
          <w:rFonts w:hint="eastAsia" w:ascii="宋体" w:hAnsi="宋体" w:eastAsia="宋体" w:cs="宋体"/>
          <w:sz w:val="24"/>
          <w:szCs w:val="24"/>
        </w:rPr>
        <w:t>第六章 合同文本</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_Toc31484 \h </w:instrText>
      </w:r>
      <w:r>
        <w:rPr>
          <w:rFonts w:hint="eastAsia" w:ascii="宋体" w:hAnsi="宋体" w:eastAsia="宋体" w:cs="宋体"/>
          <w:sz w:val="24"/>
          <w:szCs w:val="24"/>
        </w:rPr>
        <w:fldChar w:fldCharType="separate"/>
      </w:r>
      <w:r>
        <w:rPr>
          <w:rFonts w:hint="eastAsia" w:ascii="宋体" w:hAnsi="宋体" w:eastAsia="宋体" w:cs="宋体"/>
          <w:sz w:val="24"/>
          <w:szCs w:val="24"/>
        </w:rPr>
        <w:t>88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1"/>
        <w:tabs>
          <w:tab w:val="right" w:leader="dot" w:pos="9412"/>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_Toc24876 </w:instrText>
      </w:r>
      <w:r>
        <w:rPr>
          <w:rFonts w:hint="eastAsia" w:ascii="宋体" w:hAnsi="宋体" w:eastAsia="宋体" w:cs="宋体"/>
          <w:sz w:val="24"/>
          <w:szCs w:val="24"/>
        </w:rPr>
        <w:fldChar w:fldCharType="separate"/>
      </w:r>
      <w:r>
        <w:rPr>
          <w:rFonts w:hint="eastAsia" w:ascii="宋体" w:hAnsi="宋体" w:eastAsia="宋体" w:cs="宋体"/>
          <w:sz w:val="24"/>
          <w:szCs w:val="24"/>
          <w:lang w:eastAsia="zh-CN"/>
        </w:rPr>
        <w:t>第七章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质疑、投诉证明材料格式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_Toc24876 \h </w:instrText>
      </w:r>
      <w:r>
        <w:rPr>
          <w:rFonts w:hint="eastAsia" w:ascii="宋体" w:hAnsi="宋体" w:eastAsia="宋体" w:cs="宋体"/>
          <w:sz w:val="24"/>
          <w:szCs w:val="24"/>
        </w:rPr>
        <w:fldChar w:fldCharType="separate"/>
      </w:r>
      <w:r>
        <w:rPr>
          <w:rFonts w:hint="eastAsia" w:ascii="宋体" w:hAnsi="宋体" w:eastAsia="宋体" w:cs="宋体"/>
          <w:sz w:val="24"/>
          <w:szCs w:val="24"/>
        </w:rPr>
        <w:t>93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33"/>
        <w:spacing w:line="360" w:lineRule="auto"/>
        <w:rPr>
          <w:rFonts w:hint="eastAsia" w:ascii="宋体" w:hAnsi="宋体" w:eastAsia="宋体" w:cs="宋体"/>
          <w:sz w:val="24"/>
          <w:szCs w:val="24"/>
        </w:rPr>
      </w:pPr>
      <w:r>
        <w:rPr>
          <w:rFonts w:hint="eastAsia" w:ascii="宋体" w:hAnsi="宋体" w:eastAsia="宋体" w:cs="宋体"/>
          <w:sz w:val="24"/>
          <w:szCs w:val="24"/>
        </w:rPr>
        <w:fldChar w:fldCharType="end"/>
      </w:r>
    </w:p>
    <w:p>
      <w:pPr>
        <w:spacing w:line="400" w:lineRule="exact"/>
        <w:rPr>
          <w:rFonts w:ascii="宋体" w:hAnsi="宋体"/>
          <w:b/>
          <w:bCs/>
          <w:color w:val="auto"/>
          <w:sz w:val="28"/>
          <w:szCs w:val="28"/>
        </w:rPr>
      </w:pPr>
    </w:p>
    <w:p>
      <w:pPr>
        <w:pStyle w:val="5"/>
        <w:keepLines w:val="0"/>
        <w:pageBreakBefore/>
        <w:spacing w:line="280" w:lineRule="exact"/>
        <w:jc w:val="center"/>
        <w:rPr>
          <w:rFonts w:ascii="宋体" w:hAnsi="宋体"/>
          <w:color w:val="auto"/>
        </w:rPr>
        <w:sectPr>
          <w:headerReference r:id="rId4" w:type="first"/>
          <w:footerReference r:id="rId5" w:type="first"/>
          <w:headerReference r:id="rId3" w:type="default"/>
          <w:pgSz w:w="11906" w:h="16838"/>
          <w:pgMar w:top="1247" w:right="1247" w:bottom="1247" w:left="1247" w:header="851" w:footer="992" w:gutter="0"/>
          <w:pgNumType w:start="0"/>
          <w:cols w:space="720" w:num="1"/>
          <w:titlePg/>
          <w:docGrid w:type="lines" w:linePitch="312" w:charSpace="0"/>
        </w:sectPr>
      </w:pPr>
      <w:bookmarkStart w:id="0" w:name="_Toc18481384"/>
      <w:bookmarkEnd w:id="0"/>
    </w:p>
    <w:p>
      <w:pPr>
        <w:keepNext/>
        <w:keepLines/>
        <w:spacing w:line="440" w:lineRule="exact"/>
        <w:jc w:val="center"/>
        <w:outlineLvl w:val="0"/>
        <w:rPr>
          <w:rFonts w:ascii="宋体" w:hAnsi="宋体"/>
          <w:b/>
          <w:bCs/>
          <w:color w:val="auto"/>
          <w:kern w:val="44"/>
          <w:sz w:val="24"/>
          <w:szCs w:val="44"/>
        </w:rPr>
      </w:pPr>
      <w:bookmarkStart w:id="1" w:name="_Toc922"/>
      <w:bookmarkStart w:id="2" w:name="_Toc5996"/>
      <w:bookmarkStart w:id="3" w:name="_Toc4890"/>
      <w:bookmarkStart w:id="4" w:name="_Toc11348"/>
      <w:r>
        <w:rPr>
          <w:rFonts w:hint="eastAsia" w:ascii="宋体" w:hAnsi="宋体"/>
          <w:b/>
          <w:bCs/>
          <w:color w:val="auto"/>
          <w:kern w:val="44"/>
          <w:sz w:val="24"/>
          <w:szCs w:val="44"/>
        </w:rPr>
        <w:t>第一章</w:t>
      </w:r>
      <w:r>
        <w:rPr>
          <w:rFonts w:hint="eastAsia" w:ascii="宋体" w:hAnsi="宋体"/>
          <w:b/>
          <w:bCs/>
          <w:color w:val="auto"/>
          <w:kern w:val="44"/>
          <w:sz w:val="24"/>
          <w:szCs w:val="44"/>
          <w:lang w:val="en-US" w:eastAsia="zh-CN"/>
        </w:rPr>
        <w:t xml:space="preserve"> </w:t>
      </w:r>
      <w:r>
        <w:rPr>
          <w:rFonts w:hint="eastAsia" w:ascii="宋体" w:hAnsi="宋体"/>
          <w:b/>
          <w:bCs/>
          <w:color w:val="auto"/>
          <w:kern w:val="44"/>
          <w:sz w:val="24"/>
          <w:szCs w:val="44"/>
        </w:rPr>
        <w:t>竞争性磋商公告</w:t>
      </w:r>
      <w:bookmarkEnd w:id="1"/>
      <w:bookmarkEnd w:id="2"/>
      <w:bookmarkStart w:id="5" w:name="_Toc44229878"/>
      <w:bookmarkStart w:id="6" w:name="_Toc35393798"/>
      <w:bookmarkStart w:id="7" w:name="_Toc35393629"/>
      <w:bookmarkStart w:id="8" w:name="_Toc28359089"/>
      <w:bookmarkStart w:id="9" w:name="_Toc28359012"/>
      <w:bookmarkStart w:id="10" w:name="_Toc35393623"/>
      <w:bookmarkStart w:id="11" w:name="_Toc28359004"/>
      <w:bookmarkStart w:id="12" w:name="_Toc28359081"/>
      <w:bookmarkStart w:id="13" w:name="_Toc35393792"/>
    </w:p>
    <w:p>
      <w:pPr>
        <w:rPr>
          <w:rFonts w:ascii="宋体" w:hAnsi="宋体"/>
          <w:color w:val="auto"/>
        </w:rPr>
      </w:pPr>
    </w:p>
    <w:p>
      <w:pPr>
        <w:pBdr>
          <w:top w:val="single" w:color="auto" w:sz="4" w:space="1"/>
          <w:left w:val="single" w:color="auto" w:sz="4" w:space="4"/>
          <w:bottom w:val="single" w:color="auto" w:sz="4" w:space="1"/>
          <w:right w:val="single" w:color="auto" w:sz="4" w:space="4"/>
        </w:pBdr>
        <w:spacing w:line="440" w:lineRule="exact"/>
        <w:ind w:firstLine="422" w:firstLineChars="200"/>
        <w:rPr>
          <w:rFonts w:ascii="宋体" w:hAnsi="宋体"/>
          <w:b/>
          <w:color w:val="auto"/>
        </w:rPr>
      </w:pPr>
      <w:r>
        <w:rPr>
          <w:rFonts w:hint="eastAsia" w:ascii="宋体" w:hAnsi="宋体"/>
          <w:b/>
          <w:color w:val="auto"/>
        </w:rPr>
        <w:t>项目概况</w:t>
      </w:r>
    </w:p>
    <w:p>
      <w:pPr>
        <w:pBdr>
          <w:top w:val="single" w:color="auto" w:sz="4" w:space="1"/>
          <w:left w:val="single" w:color="auto" w:sz="4" w:space="4"/>
          <w:bottom w:val="single" w:color="auto" w:sz="4" w:space="1"/>
          <w:right w:val="single" w:color="auto" w:sz="4" w:space="4"/>
        </w:pBdr>
        <w:spacing w:line="440" w:lineRule="exact"/>
        <w:ind w:firstLine="420" w:firstLineChars="200"/>
        <w:rPr>
          <w:rFonts w:ascii="宋体" w:hAnsi="宋体"/>
          <w:color w:val="auto"/>
        </w:rPr>
      </w:pPr>
      <w:r>
        <w:rPr>
          <w:rFonts w:hint="eastAsia" w:ascii="宋体" w:hAnsi="宋体"/>
          <w:color w:val="auto"/>
          <w:u w:val="single"/>
        </w:rPr>
        <w:t>广西壮族自治区中医药研究院中药饮片采购</w:t>
      </w:r>
      <w:r>
        <w:rPr>
          <w:rFonts w:hint="eastAsia" w:ascii="宋体" w:hAnsi="宋体"/>
          <w:color w:val="auto"/>
        </w:rPr>
        <w:t>采购项目的潜在供应商应在</w:t>
      </w:r>
      <w:r>
        <w:rPr>
          <w:rFonts w:hint="eastAsia" w:ascii="宋体" w:hAnsi="宋体"/>
          <w:color w:val="auto"/>
          <w:u w:val="single"/>
        </w:rPr>
        <w:t>华夏城投项目管理有限公司（南宁市东葛路118号青秀万达写字楼银座8楼808室）</w:t>
      </w:r>
      <w:r>
        <w:rPr>
          <w:rFonts w:hint="eastAsia" w:ascii="宋体" w:hAnsi="宋体"/>
          <w:color w:val="auto"/>
        </w:rPr>
        <w:t>获取竞争性磋商文件，并于</w:t>
      </w:r>
      <w:r>
        <w:rPr>
          <w:rFonts w:ascii="宋体" w:hAnsi="宋体"/>
          <w:color w:val="auto"/>
          <w:u w:val="single"/>
        </w:rPr>
        <w:t>2023</w:t>
      </w:r>
      <w:r>
        <w:rPr>
          <w:rFonts w:hint="eastAsia" w:ascii="宋体" w:hAnsi="宋体"/>
          <w:color w:val="auto"/>
          <w:u w:val="single"/>
        </w:rPr>
        <w:t>年10月</w:t>
      </w:r>
      <w:r>
        <w:rPr>
          <w:rFonts w:hint="eastAsia" w:ascii="宋体" w:hAnsi="宋体"/>
          <w:color w:val="auto"/>
          <w:u w:val="single"/>
          <w:lang w:val="en-US" w:eastAsia="zh-CN"/>
        </w:rPr>
        <w:t>30</w:t>
      </w:r>
      <w:r>
        <w:rPr>
          <w:rFonts w:hint="eastAsia" w:ascii="宋体" w:hAnsi="宋体"/>
          <w:color w:val="auto"/>
          <w:u w:val="single"/>
        </w:rPr>
        <w:t>日</w:t>
      </w:r>
      <w:r>
        <w:rPr>
          <w:rFonts w:ascii="宋体" w:hAnsi="宋体"/>
          <w:color w:val="auto"/>
          <w:u w:val="single"/>
        </w:rPr>
        <w:t>09:30</w:t>
      </w:r>
      <w:r>
        <w:rPr>
          <w:rFonts w:hint="eastAsia" w:ascii="宋体" w:hAnsi="宋体"/>
          <w:bCs/>
          <w:color w:val="auto"/>
        </w:rPr>
        <w:t>（北京时间）前提交响应</w:t>
      </w:r>
      <w:r>
        <w:rPr>
          <w:rFonts w:ascii="宋体" w:hAnsi="宋体"/>
          <w:bCs/>
          <w:color w:val="auto"/>
        </w:rPr>
        <w:t>文件</w:t>
      </w:r>
      <w:r>
        <w:rPr>
          <w:rFonts w:hint="eastAsia" w:ascii="宋体" w:hAnsi="宋体"/>
          <w:color w:val="auto"/>
        </w:rPr>
        <w:t>。</w:t>
      </w:r>
    </w:p>
    <w:p>
      <w:pPr>
        <w:spacing w:line="440" w:lineRule="exact"/>
        <w:ind w:firstLine="422" w:firstLineChars="200"/>
        <w:rPr>
          <w:rFonts w:ascii="宋体" w:hAnsi="宋体"/>
          <w:b/>
          <w:color w:val="auto"/>
        </w:rPr>
      </w:pPr>
      <w:r>
        <w:rPr>
          <w:rFonts w:hint="eastAsia" w:ascii="宋体" w:hAnsi="宋体" w:cs="宋体"/>
          <w:b/>
          <w:bCs/>
          <w:color w:val="auto"/>
        </w:rPr>
        <w:t>一、项目基本情况</w:t>
      </w:r>
      <w:bookmarkEnd w:id="5"/>
      <w:bookmarkEnd w:id="6"/>
      <w:bookmarkEnd w:id="7"/>
      <w:bookmarkEnd w:id="8"/>
      <w:bookmarkEnd w:id="9"/>
    </w:p>
    <w:p>
      <w:pPr>
        <w:spacing w:line="440" w:lineRule="exact"/>
        <w:ind w:firstLine="420" w:firstLineChars="200"/>
        <w:rPr>
          <w:rFonts w:ascii="宋体" w:hAnsi="宋体"/>
          <w:color w:val="auto"/>
        </w:rPr>
      </w:pPr>
      <w:r>
        <w:rPr>
          <w:rFonts w:hint="eastAsia" w:ascii="宋体" w:hAnsi="宋体"/>
          <w:color w:val="auto"/>
        </w:rPr>
        <w:t>项目编号：HXCTGX-CHZB-2023-023</w:t>
      </w:r>
    </w:p>
    <w:p>
      <w:pPr>
        <w:spacing w:line="440" w:lineRule="exact"/>
        <w:ind w:firstLine="420" w:firstLineChars="200"/>
        <w:rPr>
          <w:rFonts w:ascii="宋体" w:hAnsi="宋体"/>
          <w:color w:val="auto"/>
          <w:u w:val="single"/>
        </w:rPr>
      </w:pPr>
      <w:r>
        <w:rPr>
          <w:rFonts w:hint="eastAsia" w:ascii="宋体" w:hAnsi="宋体"/>
          <w:color w:val="auto"/>
        </w:rPr>
        <w:t>项目名称：广西壮族自治区中医药研究院中药饮片采购</w:t>
      </w:r>
    </w:p>
    <w:p>
      <w:pPr>
        <w:spacing w:line="440" w:lineRule="exact"/>
        <w:ind w:firstLine="420" w:firstLineChars="200"/>
        <w:rPr>
          <w:rFonts w:ascii="宋体" w:hAnsi="宋体"/>
          <w:color w:val="auto"/>
        </w:rPr>
      </w:pPr>
      <w:r>
        <w:rPr>
          <w:rFonts w:hint="eastAsia" w:ascii="宋体" w:hAnsi="宋体"/>
          <w:color w:val="auto"/>
        </w:rPr>
        <w:t>采购方式：竞争性磋商</w:t>
      </w:r>
    </w:p>
    <w:p>
      <w:pPr>
        <w:spacing w:line="440" w:lineRule="exact"/>
        <w:ind w:firstLine="420" w:firstLineChars="200"/>
        <w:rPr>
          <w:rFonts w:ascii="宋体" w:hAnsi="宋体"/>
          <w:color w:val="auto"/>
        </w:rPr>
      </w:pPr>
      <w:r>
        <w:rPr>
          <w:rFonts w:hint="eastAsia" w:ascii="宋体" w:hAnsi="宋体"/>
          <w:color w:val="auto"/>
        </w:rPr>
        <w:t>预算金额：839340.15 元</w:t>
      </w:r>
    </w:p>
    <w:p>
      <w:pPr>
        <w:spacing w:line="440" w:lineRule="exact"/>
        <w:ind w:firstLine="420" w:firstLineChars="200"/>
        <w:rPr>
          <w:rFonts w:ascii="宋体" w:hAnsi="宋体"/>
          <w:color w:val="auto"/>
        </w:rPr>
      </w:pPr>
      <w:r>
        <w:rPr>
          <w:rFonts w:hint="eastAsia" w:ascii="宋体" w:hAnsi="宋体"/>
          <w:color w:val="auto"/>
        </w:rPr>
        <w:t>最高限价：839340.15 元。</w:t>
      </w:r>
    </w:p>
    <w:p>
      <w:pPr>
        <w:spacing w:line="440" w:lineRule="exact"/>
        <w:ind w:firstLine="420" w:firstLineChars="200"/>
        <w:rPr>
          <w:color w:val="auto"/>
        </w:rPr>
      </w:pPr>
      <w:r>
        <w:rPr>
          <w:rFonts w:hint="eastAsia" w:ascii="宋体" w:hAnsi="宋体"/>
          <w:color w:val="auto"/>
        </w:rPr>
        <w:t>采购需求：</w:t>
      </w:r>
    </w:p>
    <w:tbl>
      <w:tblPr>
        <w:tblStyle w:val="4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3"/>
        <w:gridCol w:w="3220"/>
        <w:gridCol w:w="806"/>
        <w:gridCol w:w="694"/>
        <w:gridCol w:w="36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序号</w:t>
            </w:r>
          </w:p>
        </w:tc>
        <w:tc>
          <w:tcPr>
            <w:tcW w:w="322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标的的名称</w:t>
            </w:r>
          </w:p>
        </w:tc>
        <w:tc>
          <w:tcPr>
            <w:tcW w:w="806"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数量</w:t>
            </w:r>
          </w:p>
        </w:tc>
        <w:tc>
          <w:tcPr>
            <w:tcW w:w="69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单位</w:t>
            </w:r>
          </w:p>
        </w:tc>
        <w:tc>
          <w:tcPr>
            <w:tcW w:w="365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简要技术需求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2"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1</w:t>
            </w:r>
          </w:p>
        </w:tc>
        <w:tc>
          <w:tcPr>
            <w:tcW w:w="322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阿胶</w:t>
            </w:r>
          </w:p>
        </w:tc>
        <w:tc>
          <w:tcPr>
            <w:tcW w:w="806"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 xml:space="preserve">1.00 </w:t>
            </w:r>
          </w:p>
        </w:tc>
        <w:tc>
          <w:tcPr>
            <w:tcW w:w="69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千克</w:t>
            </w:r>
          </w:p>
        </w:tc>
        <w:tc>
          <w:tcPr>
            <w:tcW w:w="365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rPr>
                <w:rFonts w:ascii="宋体" w:hAnsi="宋体" w:cs="宋体"/>
                <w:color w:val="auto"/>
              </w:rPr>
            </w:pPr>
            <w:r>
              <w:rPr>
                <w:rFonts w:ascii="宋体" w:hAnsi="宋体" w:cs="宋体"/>
                <w:color w:val="auto"/>
              </w:rPr>
              <w:t>详见竞争性磋商文件《采购需求》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2</w:t>
            </w:r>
          </w:p>
        </w:tc>
        <w:tc>
          <w:tcPr>
            <w:tcW w:w="322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矮地茶</w:t>
            </w:r>
          </w:p>
        </w:tc>
        <w:tc>
          <w:tcPr>
            <w:tcW w:w="806"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 xml:space="preserve">0.50 </w:t>
            </w:r>
          </w:p>
        </w:tc>
        <w:tc>
          <w:tcPr>
            <w:tcW w:w="69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千克</w:t>
            </w:r>
          </w:p>
        </w:tc>
        <w:tc>
          <w:tcPr>
            <w:tcW w:w="365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rPr>
                <w:rFonts w:ascii="宋体" w:hAnsi="宋体" w:cs="宋体"/>
                <w:color w:val="auto"/>
              </w:rPr>
            </w:pPr>
            <w:r>
              <w:rPr>
                <w:rFonts w:ascii="宋体" w:hAnsi="宋体" w:cs="宋体"/>
                <w:color w:val="auto"/>
              </w:rPr>
              <w:t>详见竞争性磋商文件《采购需求》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2"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3</w:t>
            </w:r>
          </w:p>
        </w:tc>
        <w:tc>
          <w:tcPr>
            <w:tcW w:w="322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艾叶</w:t>
            </w:r>
          </w:p>
        </w:tc>
        <w:tc>
          <w:tcPr>
            <w:tcW w:w="806"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 xml:space="preserve">13.00 </w:t>
            </w:r>
          </w:p>
        </w:tc>
        <w:tc>
          <w:tcPr>
            <w:tcW w:w="69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千克</w:t>
            </w:r>
          </w:p>
        </w:tc>
        <w:tc>
          <w:tcPr>
            <w:tcW w:w="365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rPr>
                <w:rFonts w:ascii="宋体" w:hAnsi="宋体" w:cs="宋体"/>
                <w:color w:val="auto"/>
              </w:rPr>
            </w:pPr>
            <w:r>
              <w:rPr>
                <w:rFonts w:ascii="宋体" w:hAnsi="宋体" w:cs="宋体"/>
                <w:color w:val="auto"/>
              </w:rPr>
              <w:t>详见竞争性磋商文件《采购需求》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2"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w:t>
            </w:r>
          </w:p>
        </w:tc>
        <w:tc>
          <w:tcPr>
            <w:tcW w:w="322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详见竞争性磋商文件《采购需求》</w:t>
            </w:r>
          </w:p>
        </w:tc>
        <w:tc>
          <w:tcPr>
            <w:tcW w:w="806"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w:t>
            </w:r>
          </w:p>
        </w:tc>
        <w:tc>
          <w:tcPr>
            <w:tcW w:w="69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jc w:val="center"/>
              <w:rPr>
                <w:rFonts w:ascii="宋体" w:hAnsi="宋体"/>
                <w:color w:val="auto"/>
              </w:rPr>
            </w:pPr>
            <w:r>
              <w:rPr>
                <w:rFonts w:hint="eastAsia" w:ascii="宋体" w:hAnsi="宋体"/>
                <w:color w:val="auto"/>
              </w:rPr>
              <w:t>……</w:t>
            </w:r>
          </w:p>
        </w:tc>
        <w:tc>
          <w:tcPr>
            <w:tcW w:w="3654"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rPr>
                <w:rFonts w:ascii="宋体" w:hAnsi="宋体" w:cs="宋体"/>
                <w:color w:val="auto"/>
              </w:rPr>
            </w:pPr>
            <w:r>
              <w:rPr>
                <w:rFonts w:ascii="宋体" w:hAnsi="宋体" w:cs="宋体"/>
                <w:color w:val="auto"/>
              </w:rPr>
              <w:t>详见竞争性磋商文件《采购需求》</w:t>
            </w:r>
          </w:p>
        </w:tc>
      </w:tr>
    </w:tbl>
    <w:p>
      <w:pPr>
        <w:spacing w:line="440" w:lineRule="exact"/>
        <w:ind w:firstLine="420" w:firstLineChars="200"/>
        <w:rPr>
          <w:rFonts w:ascii="宋体" w:hAnsi="宋体"/>
          <w:color w:val="auto"/>
        </w:rPr>
      </w:pPr>
      <w:r>
        <w:rPr>
          <w:rFonts w:hint="eastAsia" w:ascii="宋体" w:hAnsi="宋体"/>
          <w:color w:val="auto"/>
        </w:rPr>
        <w:t>合同履行期限：</w:t>
      </w:r>
      <w:r>
        <w:rPr>
          <w:rFonts w:hint="eastAsia" w:ascii="宋体" w:hAnsi="宋体" w:cs="宋体"/>
          <w:color w:val="auto"/>
        </w:rPr>
        <w:t>一年内分批次供货，成交供应商每次接采购人供货通知单后在采购人指定的时间（接供货通知单后36小时内，最迟不超过72小时内)和地点交付产地、质量、包装、有效期等均符合条件的药品，且产品外包装标签上必须标示有品名、规格、产地、等级、生产企业、产品批号、生产日期并附质量合格标志。逾期供货视为一次不配送，药品出库单须与药品同行并附上成品检验报告单，采购人根据饮片验收时的质量状况</w:t>
      </w:r>
      <w:r>
        <w:rPr>
          <w:rFonts w:hint="eastAsia"/>
          <w:color w:val="auto"/>
        </w:rPr>
        <w:t>确认收货或者退换货</w:t>
      </w:r>
      <w:r>
        <w:rPr>
          <w:rFonts w:hint="eastAsia" w:ascii="宋体" w:hAnsi="宋体" w:cs="宋体"/>
          <w:color w:val="auto"/>
        </w:rPr>
        <w:t>。</w:t>
      </w:r>
    </w:p>
    <w:p>
      <w:pPr>
        <w:spacing w:line="440" w:lineRule="exact"/>
        <w:ind w:firstLine="420" w:firstLineChars="200"/>
        <w:rPr>
          <w:rFonts w:ascii="宋体" w:hAnsi="宋体"/>
          <w:color w:val="auto"/>
        </w:rPr>
      </w:pPr>
      <w:r>
        <w:rPr>
          <w:rFonts w:hint="eastAsia" w:ascii="宋体" w:hAnsi="宋体"/>
          <w:color w:val="auto"/>
        </w:rPr>
        <w:t>本项目是否接受联合体：</w:t>
      </w:r>
      <w:r>
        <w:rPr>
          <w:rFonts w:hint="eastAsia" w:ascii="宋体" w:hAnsi="宋体"/>
          <w:b/>
          <w:bCs/>
          <w:color w:val="auto"/>
        </w:rPr>
        <w:t>否</w:t>
      </w:r>
      <w:r>
        <w:rPr>
          <w:rFonts w:hint="eastAsia" w:ascii="宋体" w:hAnsi="宋体"/>
          <w:color w:val="auto"/>
        </w:rPr>
        <w:t>。</w:t>
      </w:r>
    </w:p>
    <w:p>
      <w:pPr>
        <w:spacing w:line="440" w:lineRule="exact"/>
        <w:ind w:firstLine="422" w:firstLineChars="200"/>
        <w:rPr>
          <w:rFonts w:ascii="宋体" w:hAnsi="宋体" w:cs="宋体"/>
          <w:bCs/>
          <w:color w:val="auto"/>
        </w:rPr>
      </w:pPr>
      <w:bookmarkStart w:id="14" w:name="_Toc44229879"/>
      <w:bookmarkStart w:id="15" w:name="_Toc35393630"/>
      <w:bookmarkStart w:id="16" w:name="_Toc35393799"/>
      <w:bookmarkStart w:id="17" w:name="_Toc28359013"/>
      <w:bookmarkStart w:id="18" w:name="_Toc28359090"/>
      <w:r>
        <w:rPr>
          <w:rFonts w:hint="eastAsia" w:ascii="宋体" w:hAnsi="宋体" w:cs="宋体"/>
          <w:b/>
          <w:color w:val="auto"/>
          <w:kern w:val="44"/>
        </w:rPr>
        <w:t>二、供应商的资格条件</w:t>
      </w:r>
      <w:bookmarkEnd w:id="14"/>
      <w:bookmarkEnd w:id="15"/>
      <w:bookmarkEnd w:id="16"/>
      <w:bookmarkEnd w:id="17"/>
      <w:bookmarkEnd w:id="18"/>
    </w:p>
    <w:p>
      <w:pPr>
        <w:spacing w:line="440" w:lineRule="exact"/>
        <w:ind w:firstLine="420" w:firstLineChars="200"/>
        <w:rPr>
          <w:rFonts w:ascii="宋体" w:hAnsi="宋体"/>
          <w:color w:val="auto"/>
        </w:rPr>
      </w:pPr>
      <w:r>
        <w:rPr>
          <w:rFonts w:hint="eastAsia" w:ascii="宋体" w:hAnsi="宋体"/>
          <w:color w:val="auto"/>
        </w:rPr>
        <w:t>1.满足《中华人民共和国政府采购法》第二十二条规定；</w:t>
      </w:r>
    </w:p>
    <w:p>
      <w:pPr>
        <w:spacing w:line="440" w:lineRule="exact"/>
        <w:ind w:firstLine="420" w:firstLineChars="200"/>
        <w:rPr>
          <w:rFonts w:ascii="宋体" w:hAnsi="宋体"/>
          <w:color w:val="auto"/>
        </w:rPr>
      </w:pPr>
      <w:r>
        <w:rPr>
          <w:rFonts w:ascii="宋体" w:hAnsi="宋体"/>
          <w:color w:val="auto"/>
        </w:rPr>
        <w:t>2</w:t>
      </w:r>
      <w:r>
        <w:rPr>
          <w:rFonts w:hint="eastAsia" w:ascii="宋体" w:hAnsi="宋体"/>
          <w:color w:val="auto"/>
        </w:rPr>
        <w:t>.落实政府采购政策需满足的资格要求：无</w:t>
      </w:r>
    </w:p>
    <w:p>
      <w:pPr>
        <w:spacing w:line="440" w:lineRule="exact"/>
        <w:ind w:firstLine="420" w:firstLineChars="200"/>
        <w:rPr>
          <w:rFonts w:ascii="宋体" w:hAnsi="宋体"/>
          <w:color w:val="auto"/>
        </w:rPr>
      </w:pPr>
      <w:r>
        <w:rPr>
          <w:rFonts w:hint="eastAsia" w:ascii="宋体" w:hAnsi="宋体"/>
          <w:color w:val="auto"/>
        </w:rPr>
        <w:t>3.本项目的特定资格要求：具备食品药品监督管理部门颁发的有效的证件（中药饮片生产企业具有《药品生产许可证》，并具有相应生产认证范围；中药饮片经营企业具有《药品经营许可证》复印件）。</w:t>
      </w:r>
    </w:p>
    <w:p>
      <w:pPr>
        <w:snapToGrid w:val="0"/>
        <w:spacing w:line="440" w:lineRule="exact"/>
        <w:ind w:firstLine="420" w:firstLineChars="200"/>
        <w:jc w:val="left"/>
        <w:rPr>
          <w:rFonts w:ascii="宋体" w:hAnsi="宋体"/>
          <w:color w:val="auto"/>
        </w:rPr>
      </w:pPr>
      <w:r>
        <w:rPr>
          <w:rFonts w:hint="eastAsia" w:ascii="宋体" w:hAnsi="宋体"/>
          <w:color w:val="auto"/>
        </w:rPr>
        <w:t>4</w:t>
      </w:r>
      <w:r>
        <w:rPr>
          <w:rFonts w:ascii="宋体" w:hAnsi="宋体"/>
          <w:color w:val="auto"/>
        </w:rPr>
        <w:t>.</w:t>
      </w:r>
      <w:r>
        <w:rPr>
          <w:rFonts w:hint="eastAsia" w:ascii="宋体" w:hAnsi="宋体"/>
          <w:color w:val="auto"/>
        </w:rPr>
        <w:t>单位负责人为同一人或者存在直接控股、管理关系的不同供应商，不得参加同一合同项下的采购活动。为本项目提供过整体设计、规范编制或者项目管理、监理、检测等服务的供应商，不得再参加本项目上述服务以外的其他采购活动。</w:t>
      </w:r>
    </w:p>
    <w:p>
      <w:pPr>
        <w:spacing w:line="440" w:lineRule="exact"/>
        <w:ind w:firstLine="420" w:firstLineChars="200"/>
        <w:rPr>
          <w:rFonts w:ascii="宋体" w:hAnsi="宋体"/>
          <w:color w:val="auto"/>
        </w:rPr>
      </w:pPr>
      <w:r>
        <w:rPr>
          <w:rFonts w:hint="eastAsia" w:ascii="宋体" w:hAnsi="宋体"/>
          <w:color w:val="auto"/>
        </w:rPr>
        <w:t>5</w:t>
      </w:r>
      <w:r>
        <w:rPr>
          <w:rFonts w:ascii="宋体" w:hAnsi="宋体"/>
          <w:color w:val="auto"/>
        </w:rPr>
        <w:t>.</w:t>
      </w:r>
      <w:r>
        <w:rPr>
          <w:rFonts w:hint="eastAsia" w:ascii="宋体" w:hAnsi="宋体"/>
          <w:color w:val="auto"/>
        </w:rPr>
        <w:t>对在“信用中国”网站(www.creditchina.gov.cn) 、中国政府采购网(www.ccgp.gov.cn)被列入失信被执行人、重大税收违法案件当事人名单、政府采购严重违法失信行为记录名单及其他不符合《中华人民共和国政府采购法》第二十二条规定条件的供应商，不得参与采购活动。</w:t>
      </w:r>
    </w:p>
    <w:p>
      <w:pPr>
        <w:spacing w:line="440" w:lineRule="exact"/>
        <w:ind w:firstLine="422" w:firstLineChars="200"/>
        <w:rPr>
          <w:rFonts w:ascii="宋体" w:hAnsi="宋体"/>
          <w:b/>
          <w:bCs/>
          <w:color w:val="auto"/>
        </w:rPr>
      </w:pPr>
      <w:r>
        <w:rPr>
          <w:rFonts w:hint="eastAsia" w:ascii="宋体" w:hAnsi="宋体"/>
          <w:b/>
          <w:bCs/>
          <w:color w:val="auto"/>
        </w:rPr>
        <w:t>三、获取竞争性磋商文件</w:t>
      </w:r>
      <w:bookmarkEnd w:id="10"/>
      <w:bookmarkEnd w:id="11"/>
      <w:bookmarkEnd w:id="12"/>
      <w:bookmarkEnd w:id="13"/>
    </w:p>
    <w:p>
      <w:pPr>
        <w:snapToGrid w:val="0"/>
        <w:spacing w:line="440" w:lineRule="exact"/>
        <w:ind w:firstLine="420" w:firstLineChars="200"/>
        <w:rPr>
          <w:rFonts w:ascii="宋体" w:hAnsi="宋体"/>
          <w:color w:val="auto"/>
        </w:rPr>
      </w:pPr>
      <w:bookmarkStart w:id="19" w:name="_Toc35393624"/>
      <w:bookmarkStart w:id="20" w:name="_Toc28359005"/>
      <w:bookmarkStart w:id="21" w:name="_Toc35393793"/>
      <w:bookmarkStart w:id="22" w:name="_Toc28359082"/>
      <w:r>
        <w:rPr>
          <w:rFonts w:hint="eastAsia" w:ascii="宋体" w:hAnsi="宋体"/>
          <w:color w:val="auto"/>
        </w:rPr>
        <w:t>时间：2023年</w:t>
      </w:r>
      <w:r>
        <w:rPr>
          <w:rFonts w:hint="eastAsia" w:ascii="宋体" w:hAnsi="宋体"/>
          <w:color w:val="auto"/>
          <w:lang w:val="en-US" w:eastAsia="zh-CN"/>
        </w:rPr>
        <w:t>10</w:t>
      </w:r>
      <w:r>
        <w:rPr>
          <w:rFonts w:hint="eastAsia" w:ascii="宋体" w:hAnsi="宋体"/>
          <w:color w:val="auto"/>
        </w:rPr>
        <w:t>月</w:t>
      </w:r>
      <w:r>
        <w:rPr>
          <w:rFonts w:hint="eastAsia" w:ascii="宋体" w:hAnsi="宋体"/>
          <w:color w:val="auto"/>
          <w:lang w:val="en-US" w:eastAsia="zh-CN"/>
        </w:rPr>
        <w:t>18</w:t>
      </w:r>
      <w:r>
        <w:rPr>
          <w:rFonts w:hint="eastAsia" w:ascii="宋体" w:hAnsi="宋体"/>
          <w:color w:val="auto"/>
        </w:rPr>
        <w:t>日至2023年</w:t>
      </w:r>
      <w:r>
        <w:rPr>
          <w:rFonts w:hint="eastAsia" w:ascii="宋体" w:hAnsi="宋体"/>
          <w:color w:val="auto"/>
          <w:lang w:val="en-US" w:eastAsia="zh-CN"/>
        </w:rPr>
        <w:t>10</w:t>
      </w:r>
      <w:r>
        <w:rPr>
          <w:rFonts w:hint="eastAsia" w:ascii="宋体" w:hAnsi="宋体"/>
          <w:color w:val="auto"/>
        </w:rPr>
        <w:t>月</w:t>
      </w:r>
      <w:r>
        <w:rPr>
          <w:rFonts w:hint="eastAsia" w:ascii="宋体" w:hAnsi="宋体"/>
          <w:color w:val="auto"/>
          <w:lang w:val="en-US" w:eastAsia="zh-CN"/>
        </w:rPr>
        <w:t>25</w:t>
      </w:r>
      <w:r>
        <w:rPr>
          <w:rFonts w:hint="eastAsia" w:ascii="宋体" w:hAnsi="宋体"/>
          <w:color w:val="auto"/>
        </w:rPr>
        <w:t>日，每天上午09:00至12:00，下午14:30至18:00（北京时间，法定节假日除外）</w:t>
      </w:r>
    </w:p>
    <w:p>
      <w:pPr>
        <w:snapToGrid w:val="0"/>
        <w:spacing w:line="440" w:lineRule="exact"/>
        <w:ind w:firstLine="420" w:firstLineChars="200"/>
        <w:rPr>
          <w:rFonts w:ascii="宋体" w:hAnsi="宋体"/>
          <w:color w:val="auto"/>
        </w:rPr>
      </w:pPr>
      <w:r>
        <w:rPr>
          <w:rFonts w:hint="eastAsia" w:ascii="宋体" w:hAnsi="宋体"/>
          <w:color w:val="auto"/>
        </w:rPr>
        <w:t>地点：华夏城投项目管理有限公司（南宁市东葛路118号青秀万达写字楼银座8楼808室）</w:t>
      </w:r>
    </w:p>
    <w:p>
      <w:pPr>
        <w:snapToGrid w:val="0"/>
        <w:spacing w:line="440" w:lineRule="exact"/>
        <w:ind w:firstLine="420" w:firstLineChars="200"/>
        <w:rPr>
          <w:rFonts w:ascii="宋体" w:hAnsi="宋体"/>
          <w:color w:val="auto"/>
        </w:rPr>
      </w:pPr>
      <w:r>
        <w:rPr>
          <w:rFonts w:hint="eastAsia" w:ascii="宋体" w:hAnsi="宋体"/>
          <w:color w:val="auto"/>
        </w:rPr>
        <w:t>方式：发售时间内，由企业法定代表人或授权委托人持本人身份证原件及企业营业执照副本复印件、企业法定代表人资格证明书或法人授权委托书（如有授权委托人）原件、法定代表人和授权委托人身份证（如有授权委托人）复印件（以上复印件均需加盖公章）至竞争性磋商文件发售地点现场获取竞争性磋商文件，并在发售截止时间前将购买竞争性磋商文件费用转至指定账户。</w:t>
      </w:r>
    </w:p>
    <w:p>
      <w:pPr>
        <w:snapToGrid w:val="0"/>
        <w:spacing w:line="440" w:lineRule="exact"/>
        <w:ind w:firstLine="420" w:firstLineChars="200"/>
        <w:rPr>
          <w:rFonts w:ascii="宋体" w:hAnsi="宋体"/>
          <w:color w:val="auto"/>
        </w:rPr>
      </w:pPr>
      <w:r>
        <w:rPr>
          <w:rFonts w:hint="eastAsia" w:ascii="宋体" w:hAnsi="宋体"/>
          <w:color w:val="auto"/>
        </w:rPr>
        <w:t>售价（元）：竞争性磋商文件工本费每套250元，售后不退。</w:t>
      </w:r>
    </w:p>
    <w:p>
      <w:pPr>
        <w:spacing w:line="440" w:lineRule="exact"/>
        <w:ind w:firstLine="422" w:firstLineChars="200"/>
        <w:rPr>
          <w:rFonts w:ascii="宋体" w:hAnsi="宋体"/>
          <w:b/>
          <w:bCs/>
          <w:color w:val="auto"/>
        </w:rPr>
      </w:pPr>
      <w:r>
        <w:rPr>
          <w:rFonts w:hint="eastAsia" w:ascii="宋体" w:hAnsi="宋体"/>
          <w:b/>
          <w:bCs/>
          <w:color w:val="auto"/>
        </w:rPr>
        <w:t>四、</w:t>
      </w:r>
      <w:bookmarkEnd w:id="19"/>
      <w:bookmarkEnd w:id="20"/>
      <w:bookmarkEnd w:id="21"/>
      <w:bookmarkEnd w:id="22"/>
      <w:r>
        <w:rPr>
          <w:rFonts w:hint="eastAsia" w:ascii="宋体" w:hAnsi="宋体"/>
          <w:b/>
          <w:bCs/>
          <w:color w:val="auto"/>
        </w:rPr>
        <w:t>响应文件提交</w:t>
      </w:r>
    </w:p>
    <w:p>
      <w:pPr>
        <w:spacing w:line="440" w:lineRule="exact"/>
        <w:ind w:firstLine="420" w:firstLineChars="200"/>
        <w:rPr>
          <w:rFonts w:ascii="宋体" w:hAnsi="宋体"/>
          <w:color w:val="auto"/>
        </w:rPr>
      </w:pPr>
      <w:r>
        <w:rPr>
          <w:rFonts w:hint="eastAsia" w:ascii="宋体" w:hAnsi="宋体"/>
          <w:color w:val="auto"/>
        </w:rPr>
        <w:t>1、首次响应文件提交截止时间（北京时间）：</w:t>
      </w:r>
      <w:r>
        <w:rPr>
          <w:rFonts w:ascii="宋体" w:hAnsi="宋体"/>
          <w:color w:val="auto"/>
          <w:u w:val="single"/>
        </w:rPr>
        <w:t>2023</w:t>
      </w:r>
      <w:r>
        <w:rPr>
          <w:rFonts w:hint="eastAsia" w:ascii="宋体" w:hAnsi="宋体"/>
          <w:color w:val="auto"/>
          <w:u w:val="single"/>
        </w:rPr>
        <w:t>年</w:t>
      </w:r>
      <w:r>
        <w:rPr>
          <w:rFonts w:hint="eastAsia" w:ascii="宋体" w:hAnsi="宋体"/>
          <w:color w:val="auto"/>
          <w:u w:val="single"/>
          <w:lang w:val="en-US" w:eastAsia="zh-CN"/>
        </w:rPr>
        <w:t>10</w:t>
      </w:r>
      <w:r>
        <w:rPr>
          <w:rFonts w:hint="eastAsia" w:ascii="宋体" w:hAnsi="宋体"/>
          <w:color w:val="auto"/>
          <w:u w:val="single"/>
        </w:rPr>
        <w:t>月</w:t>
      </w:r>
      <w:r>
        <w:rPr>
          <w:rFonts w:hint="eastAsia" w:ascii="宋体" w:hAnsi="宋体"/>
          <w:color w:val="auto"/>
          <w:u w:val="single"/>
          <w:lang w:val="en-US" w:eastAsia="zh-CN"/>
        </w:rPr>
        <w:t>30</w:t>
      </w:r>
      <w:r>
        <w:rPr>
          <w:rFonts w:hint="eastAsia" w:ascii="宋体" w:hAnsi="宋体"/>
          <w:color w:val="auto"/>
          <w:u w:val="single"/>
        </w:rPr>
        <w:t>日</w:t>
      </w:r>
      <w:r>
        <w:rPr>
          <w:rFonts w:ascii="宋体" w:hAnsi="宋体"/>
          <w:color w:val="auto"/>
          <w:u w:val="single"/>
        </w:rPr>
        <w:t>09:30</w:t>
      </w:r>
    </w:p>
    <w:p>
      <w:pPr>
        <w:snapToGrid w:val="0"/>
        <w:spacing w:line="440" w:lineRule="exact"/>
        <w:ind w:firstLine="420" w:firstLineChars="200"/>
        <w:rPr>
          <w:rFonts w:ascii="宋体" w:hAnsi="宋体" w:cs="宋体"/>
          <w:color w:val="auto"/>
          <w:kern w:val="0"/>
        </w:rPr>
      </w:pPr>
      <w:r>
        <w:rPr>
          <w:rFonts w:hint="eastAsia" w:ascii="宋体" w:hAnsi="宋体"/>
          <w:color w:val="auto"/>
        </w:rPr>
        <w:t>2、首次响应文件提交地点：</w:t>
      </w:r>
      <w:r>
        <w:rPr>
          <w:rFonts w:hint="eastAsia"/>
          <w:color w:val="auto"/>
        </w:rPr>
        <w:t>华夏城投项目管理有限公司开标室（南宁市东葛路118号青秀万达写字楼银座8楼808室）</w:t>
      </w:r>
      <w:r>
        <w:rPr>
          <w:rFonts w:hint="eastAsia" w:ascii="宋体" w:hAnsi="宋体" w:cs="宋体"/>
          <w:color w:val="auto"/>
          <w:kern w:val="0"/>
        </w:rPr>
        <w:t>。</w:t>
      </w:r>
    </w:p>
    <w:p>
      <w:pPr>
        <w:snapToGrid w:val="0"/>
        <w:spacing w:line="440" w:lineRule="exact"/>
        <w:ind w:firstLine="422" w:firstLineChars="200"/>
        <w:rPr>
          <w:color w:val="auto"/>
        </w:rPr>
      </w:pPr>
      <w:r>
        <w:rPr>
          <w:rFonts w:hint="eastAsia"/>
          <w:b/>
          <w:bCs/>
          <w:color w:val="auto"/>
        </w:rPr>
        <w:t>供应商法定代表人(负责人)或委托代理人必须持有效证件[法定代表人(负责人)凭身份证原件或委托代理人凭法人授权委托书原件和身份证原件]，于截止时间前将响应文件密封送交到指定地点，逾期送达或未密封将予以拒收（或作无效响应文件处理）。</w:t>
      </w:r>
    </w:p>
    <w:p>
      <w:pPr>
        <w:spacing w:line="440" w:lineRule="exact"/>
        <w:ind w:firstLine="422" w:firstLineChars="200"/>
        <w:rPr>
          <w:rFonts w:ascii="宋体" w:hAnsi="宋体"/>
          <w:b/>
          <w:bCs/>
          <w:color w:val="auto"/>
        </w:rPr>
      </w:pPr>
      <w:r>
        <w:rPr>
          <w:rFonts w:hint="eastAsia" w:ascii="宋体" w:hAnsi="宋体"/>
          <w:b/>
          <w:bCs/>
          <w:color w:val="auto"/>
        </w:rPr>
        <w:t>五、开启（首次响应文件开启时间）</w:t>
      </w:r>
    </w:p>
    <w:p>
      <w:pPr>
        <w:spacing w:line="440" w:lineRule="exact"/>
        <w:ind w:firstLine="420" w:firstLineChars="200"/>
        <w:rPr>
          <w:rFonts w:ascii="宋体" w:hAnsi="宋体"/>
          <w:bCs/>
          <w:color w:val="auto"/>
          <w:u w:val="single"/>
        </w:rPr>
      </w:pPr>
      <w:r>
        <w:rPr>
          <w:rFonts w:hint="eastAsia" w:ascii="宋体" w:hAnsi="宋体"/>
          <w:color w:val="auto"/>
        </w:rPr>
        <w:t>1</w:t>
      </w:r>
      <w:r>
        <w:rPr>
          <w:rFonts w:ascii="宋体" w:hAnsi="宋体"/>
          <w:color w:val="auto"/>
        </w:rPr>
        <w:t>.</w:t>
      </w:r>
      <w:r>
        <w:rPr>
          <w:rFonts w:hint="eastAsia" w:ascii="宋体" w:hAnsi="宋体"/>
          <w:color w:val="auto"/>
        </w:rPr>
        <w:t>时间</w:t>
      </w:r>
      <w:r>
        <w:rPr>
          <w:rFonts w:hint="eastAsia" w:ascii="宋体" w:hAnsi="宋体"/>
          <w:bCs/>
          <w:color w:val="auto"/>
        </w:rPr>
        <w:t>（北京时间）</w:t>
      </w:r>
      <w:r>
        <w:rPr>
          <w:rFonts w:hint="eastAsia" w:ascii="宋体" w:hAnsi="宋体"/>
          <w:color w:val="auto"/>
        </w:rPr>
        <w:t>：</w:t>
      </w:r>
      <w:r>
        <w:rPr>
          <w:rFonts w:ascii="宋体" w:hAnsi="宋体"/>
          <w:color w:val="auto"/>
        </w:rPr>
        <w:t>2023</w:t>
      </w:r>
      <w:r>
        <w:rPr>
          <w:rFonts w:hint="eastAsia" w:ascii="宋体" w:hAnsi="宋体"/>
          <w:color w:val="auto"/>
        </w:rPr>
        <w:t>年</w:t>
      </w:r>
      <w:r>
        <w:rPr>
          <w:rFonts w:hint="eastAsia" w:ascii="宋体" w:hAnsi="宋体"/>
          <w:color w:val="auto"/>
          <w:lang w:val="en-US" w:eastAsia="zh-CN"/>
        </w:rPr>
        <w:t>10</w:t>
      </w:r>
      <w:r>
        <w:rPr>
          <w:rFonts w:hint="eastAsia" w:ascii="宋体" w:hAnsi="宋体"/>
          <w:color w:val="auto"/>
        </w:rPr>
        <w:t>月</w:t>
      </w:r>
      <w:r>
        <w:rPr>
          <w:rFonts w:hint="eastAsia" w:ascii="宋体" w:hAnsi="宋体"/>
          <w:color w:val="auto"/>
          <w:lang w:val="en-US" w:eastAsia="zh-CN"/>
        </w:rPr>
        <w:t>30</w:t>
      </w:r>
      <w:r>
        <w:rPr>
          <w:rFonts w:hint="eastAsia" w:ascii="宋体" w:hAnsi="宋体"/>
          <w:color w:val="auto"/>
        </w:rPr>
        <w:t>日</w:t>
      </w:r>
      <w:r>
        <w:rPr>
          <w:rFonts w:ascii="宋体" w:hAnsi="宋体"/>
          <w:color w:val="auto"/>
        </w:rPr>
        <w:t>09:30</w:t>
      </w:r>
      <w:r>
        <w:rPr>
          <w:rFonts w:hint="eastAsia" w:ascii="宋体" w:hAnsi="宋体"/>
          <w:color w:val="auto"/>
        </w:rPr>
        <w:t>截标后</w:t>
      </w:r>
    </w:p>
    <w:p>
      <w:pPr>
        <w:spacing w:line="440" w:lineRule="exact"/>
        <w:ind w:firstLine="420" w:firstLineChars="200"/>
        <w:rPr>
          <w:rFonts w:ascii="宋体" w:hAnsi="宋体"/>
          <w:bCs/>
          <w:color w:val="auto"/>
          <w:u w:val="single"/>
        </w:rPr>
      </w:pPr>
      <w:r>
        <w:rPr>
          <w:rFonts w:hint="eastAsia" w:ascii="宋体" w:hAnsi="宋体"/>
          <w:color w:val="auto"/>
        </w:rPr>
        <w:t>2</w:t>
      </w:r>
      <w:r>
        <w:rPr>
          <w:rFonts w:ascii="宋体" w:hAnsi="宋体"/>
          <w:color w:val="auto"/>
        </w:rPr>
        <w:t>.</w:t>
      </w:r>
      <w:r>
        <w:rPr>
          <w:rFonts w:hint="eastAsia" w:ascii="宋体" w:hAnsi="宋体"/>
          <w:color w:val="auto"/>
        </w:rPr>
        <w:t>地点：华夏城投项目管理有限公司评标室（南宁市东葛路118号青秀万达写字楼银座29楼）。参加磋商的法定代表人(负责人)或委托代理人必须持有效证件[法定代表人(负责人)凭身份证或委托代理人凭法人授权委托书原件和身份证]依时到达指定地点等候当面磋商。</w:t>
      </w:r>
    </w:p>
    <w:p>
      <w:pPr>
        <w:spacing w:line="440" w:lineRule="exact"/>
        <w:ind w:firstLine="422" w:firstLineChars="200"/>
        <w:rPr>
          <w:rFonts w:ascii="宋体" w:hAnsi="宋体"/>
          <w:b/>
          <w:bCs/>
          <w:color w:val="auto"/>
        </w:rPr>
      </w:pPr>
      <w:bookmarkStart w:id="23" w:name="_Toc35393794"/>
      <w:bookmarkStart w:id="24" w:name="_Toc28359007"/>
      <w:bookmarkStart w:id="25" w:name="_Toc28359084"/>
      <w:bookmarkStart w:id="26" w:name="_Toc35393625"/>
      <w:r>
        <w:rPr>
          <w:rFonts w:hint="eastAsia" w:ascii="宋体" w:hAnsi="宋体"/>
          <w:b/>
          <w:bCs/>
          <w:color w:val="auto"/>
        </w:rPr>
        <w:t>六、公告期限</w:t>
      </w:r>
      <w:bookmarkEnd w:id="23"/>
      <w:bookmarkEnd w:id="24"/>
      <w:bookmarkEnd w:id="25"/>
      <w:bookmarkEnd w:id="26"/>
    </w:p>
    <w:p>
      <w:pPr>
        <w:spacing w:line="440" w:lineRule="exact"/>
        <w:ind w:firstLine="420" w:firstLineChars="200"/>
        <w:rPr>
          <w:rFonts w:ascii="宋体" w:hAnsi="宋体" w:cs="宋体"/>
          <w:color w:val="auto"/>
          <w:kern w:val="0"/>
        </w:rPr>
      </w:pPr>
      <w:r>
        <w:rPr>
          <w:rFonts w:hint="eastAsia" w:ascii="宋体" w:hAnsi="宋体" w:cs="宋体"/>
          <w:color w:val="auto"/>
          <w:kern w:val="0"/>
        </w:rPr>
        <w:t>自本公告发布之日起</w:t>
      </w:r>
      <w:r>
        <w:rPr>
          <w:rFonts w:ascii="宋体" w:hAnsi="宋体" w:cs="宋体"/>
          <w:color w:val="auto"/>
          <w:kern w:val="0"/>
        </w:rPr>
        <w:t>3</w:t>
      </w:r>
      <w:r>
        <w:rPr>
          <w:rFonts w:hint="eastAsia" w:ascii="宋体" w:hAnsi="宋体" w:cs="宋体"/>
          <w:color w:val="auto"/>
          <w:kern w:val="0"/>
        </w:rPr>
        <w:t>个工作日。</w:t>
      </w:r>
    </w:p>
    <w:p>
      <w:pPr>
        <w:spacing w:line="440" w:lineRule="exact"/>
        <w:ind w:firstLine="422" w:firstLineChars="200"/>
        <w:rPr>
          <w:rFonts w:ascii="宋体" w:hAnsi="宋体"/>
          <w:b/>
          <w:bCs/>
          <w:color w:val="auto"/>
        </w:rPr>
      </w:pPr>
      <w:bookmarkStart w:id="27" w:name="_Toc35393795"/>
      <w:bookmarkStart w:id="28" w:name="_Toc35393626"/>
      <w:r>
        <w:rPr>
          <w:rFonts w:hint="eastAsia" w:ascii="宋体" w:hAnsi="宋体"/>
          <w:b/>
          <w:bCs/>
          <w:color w:val="auto"/>
        </w:rPr>
        <w:t>七、其他补充事宜</w:t>
      </w:r>
      <w:bookmarkEnd w:id="27"/>
      <w:bookmarkEnd w:id="28"/>
    </w:p>
    <w:p>
      <w:pPr>
        <w:spacing w:line="440" w:lineRule="exact"/>
        <w:ind w:firstLine="420" w:firstLineChars="200"/>
        <w:rPr>
          <w:rFonts w:ascii="宋体" w:hAnsi="宋体"/>
          <w:color w:val="auto"/>
        </w:rPr>
      </w:pPr>
      <w:r>
        <w:rPr>
          <w:rFonts w:hint="eastAsia" w:ascii="宋体" w:hAnsi="宋体"/>
          <w:color w:val="auto"/>
        </w:rPr>
        <w:t>1.磋商保证金：捌仟元整（¥8000.00）(必须足额交纳)</w:t>
      </w:r>
    </w:p>
    <w:p>
      <w:pPr>
        <w:spacing w:line="440" w:lineRule="exact"/>
        <w:ind w:firstLine="420" w:firstLineChars="200"/>
        <w:rPr>
          <w:rFonts w:ascii="宋体" w:hAnsi="宋体"/>
          <w:color w:val="auto"/>
        </w:rPr>
      </w:pPr>
      <w:r>
        <w:rPr>
          <w:rFonts w:hint="eastAsia" w:ascii="宋体" w:hAnsi="宋体"/>
          <w:color w:val="auto"/>
        </w:rPr>
        <w:t>（1）磋商保证金交纳形式：支票、汇票、本票、网上银行或者银行、保险机构出具的保函等非现金形式。（2）采用网上银行转账形式的，磋商供应商应于提交磋商响应文件截止时间前将磋商保证金交至以下账户。开户名称：华夏城投项目管理有限公司广西分公司；开户银行：中国建设银行股份有限公司南宁五象支行；银行账号：4505 0160 5001 0000 0030；（3）采用支票、汇票、本票或者保函等形式的，磋商供应商应于提交磋商响应文件截止时间前递交单独密封的支票、汇票、本票或者保函原件至我公司。</w:t>
      </w:r>
    </w:p>
    <w:p>
      <w:pPr>
        <w:spacing w:line="440" w:lineRule="exact"/>
        <w:ind w:firstLine="420" w:firstLineChars="200"/>
        <w:rPr>
          <w:rFonts w:ascii="宋体" w:hAnsi="宋体"/>
          <w:color w:val="auto"/>
        </w:rPr>
      </w:pPr>
      <w:r>
        <w:rPr>
          <w:rFonts w:hint="eastAsia" w:ascii="宋体" w:hAnsi="宋体"/>
          <w:color w:val="auto"/>
        </w:rPr>
        <w:t>2.网上公告媒体查询：</w:t>
      </w:r>
    </w:p>
    <w:p>
      <w:pPr>
        <w:spacing w:line="440" w:lineRule="exact"/>
        <w:ind w:firstLine="420" w:firstLineChars="200"/>
        <w:rPr>
          <w:rFonts w:ascii="宋体" w:hAnsi="宋体"/>
          <w:color w:val="auto"/>
        </w:rPr>
      </w:pPr>
      <w:r>
        <w:rPr>
          <w:rFonts w:hint="eastAsia" w:ascii="宋体" w:hAnsi="宋体"/>
          <w:color w:val="auto"/>
        </w:rPr>
        <w:t>中国采购与招标网（http://www.chinabidding.com.cn/）、华夏城投项目管理有限公司官网（http://www.sxhx2001.com）</w:t>
      </w:r>
    </w:p>
    <w:p>
      <w:pPr>
        <w:spacing w:line="440" w:lineRule="exact"/>
        <w:ind w:firstLine="422" w:firstLineChars="200"/>
        <w:rPr>
          <w:rFonts w:ascii="宋体" w:hAnsi="宋体" w:cs="宋体"/>
          <w:bCs/>
          <w:color w:val="auto"/>
        </w:rPr>
      </w:pPr>
      <w:r>
        <w:rPr>
          <w:rFonts w:hint="eastAsia" w:ascii="宋体" w:hAnsi="宋体" w:cs="宋体"/>
          <w:b/>
          <w:color w:val="auto"/>
          <w:kern w:val="44"/>
        </w:rPr>
        <w:t>八、凡对本次采购提出询问，请按</w:t>
      </w:r>
      <w:r>
        <w:rPr>
          <w:rFonts w:ascii="宋体" w:hAnsi="宋体" w:cs="宋体"/>
          <w:b/>
          <w:color w:val="auto"/>
          <w:kern w:val="44"/>
        </w:rPr>
        <w:t>以下方式</w:t>
      </w:r>
      <w:r>
        <w:rPr>
          <w:rFonts w:hint="eastAsia" w:ascii="宋体" w:hAnsi="宋体" w:cs="宋体"/>
          <w:b/>
          <w:color w:val="auto"/>
          <w:kern w:val="44"/>
        </w:rPr>
        <w:t>联系</w:t>
      </w:r>
    </w:p>
    <w:p>
      <w:pPr>
        <w:spacing w:line="440" w:lineRule="exact"/>
        <w:ind w:firstLine="735" w:firstLineChars="350"/>
        <w:jc w:val="left"/>
        <w:rPr>
          <w:rFonts w:ascii="宋体" w:hAnsi="宋体"/>
          <w:color w:val="auto"/>
        </w:rPr>
      </w:pPr>
      <w:r>
        <w:rPr>
          <w:rFonts w:hint="eastAsia" w:ascii="宋体" w:hAnsi="宋体" w:cs="宋体"/>
          <w:color w:val="auto"/>
        </w:rPr>
        <w:t>1.采购人信息</w:t>
      </w:r>
    </w:p>
    <w:p>
      <w:pPr>
        <w:spacing w:line="440" w:lineRule="exact"/>
        <w:ind w:left="1041" w:leftChars="371" w:hanging="262" w:hangingChars="125"/>
        <w:jc w:val="left"/>
        <w:rPr>
          <w:rFonts w:ascii="宋体" w:hAnsi="宋体"/>
          <w:color w:val="auto"/>
        </w:rPr>
      </w:pPr>
      <w:r>
        <w:rPr>
          <w:rFonts w:hint="eastAsia" w:ascii="宋体" w:hAnsi="宋体"/>
          <w:color w:val="auto"/>
        </w:rPr>
        <w:t>名 称：广西壮族自治区中医药研究院</w:t>
      </w:r>
    </w:p>
    <w:p>
      <w:pPr>
        <w:spacing w:line="440" w:lineRule="exact"/>
        <w:ind w:left="1041" w:leftChars="371" w:hanging="262" w:hangingChars="125"/>
        <w:jc w:val="left"/>
        <w:rPr>
          <w:rFonts w:ascii="宋体" w:hAnsi="宋体"/>
          <w:color w:val="auto"/>
        </w:rPr>
      </w:pPr>
      <w:r>
        <w:rPr>
          <w:rFonts w:hint="eastAsia" w:ascii="宋体" w:hAnsi="宋体"/>
          <w:color w:val="auto"/>
        </w:rPr>
        <w:t>地址：南宁市东葛路20-1号</w:t>
      </w:r>
    </w:p>
    <w:p>
      <w:pPr>
        <w:spacing w:line="440" w:lineRule="exact"/>
        <w:ind w:left="1041" w:leftChars="371" w:hanging="262" w:hangingChars="125"/>
        <w:jc w:val="left"/>
        <w:rPr>
          <w:rFonts w:ascii="宋体" w:hAnsi="宋体"/>
          <w:color w:val="auto"/>
        </w:rPr>
      </w:pPr>
      <w:r>
        <w:rPr>
          <w:rFonts w:hint="eastAsia" w:ascii="宋体" w:hAnsi="宋体"/>
          <w:color w:val="auto"/>
        </w:rPr>
        <w:t>项目联系人：覃老师</w:t>
      </w:r>
    </w:p>
    <w:p>
      <w:pPr>
        <w:spacing w:line="440" w:lineRule="exact"/>
        <w:ind w:left="1041" w:leftChars="371" w:hanging="262" w:hangingChars="125"/>
        <w:jc w:val="left"/>
        <w:rPr>
          <w:rFonts w:ascii="宋体" w:hAnsi="宋体"/>
          <w:color w:val="auto"/>
        </w:rPr>
      </w:pPr>
      <w:r>
        <w:rPr>
          <w:rFonts w:hint="eastAsia" w:ascii="宋体" w:hAnsi="宋体"/>
          <w:color w:val="auto"/>
        </w:rPr>
        <w:t>联系电话：0771-5830009</w:t>
      </w:r>
    </w:p>
    <w:p>
      <w:pPr>
        <w:spacing w:line="440" w:lineRule="exact"/>
        <w:ind w:left="1041" w:leftChars="371" w:hanging="262" w:hangingChars="125"/>
        <w:jc w:val="left"/>
        <w:rPr>
          <w:rFonts w:ascii="宋体" w:hAnsi="宋体"/>
          <w:color w:val="auto"/>
        </w:rPr>
      </w:pPr>
      <w:r>
        <w:rPr>
          <w:rFonts w:hint="eastAsia" w:ascii="宋体" w:hAnsi="宋体"/>
          <w:color w:val="auto"/>
        </w:rPr>
        <w:t>2.采购代理机构信息</w:t>
      </w:r>
    </w:p>
    <w:p>
      <w:pPr>
        <w:pStyle w:val="18"/>
        <w:spacing w:line="360" w:lineRule="auto"/>
        <w:ind w:firstLine="840" w:firstLineChars="400"/>
        <w:rPr>
          <w:rFonts w:ascii="宋体" w:hAnsi="宋体"/>
          <w:color w:val="auto"/>
        </w:rPr>
      </w:pPr>
      <w:bookmarkStart w:id="29" w:name="PO_3000001868_PM031_2"/>
      <w:r>
        <w:rPr>
          <w:rFonts w:hint="eastAsia" w:ascii="宋体" w:hAnsi="宋体"/>
          <w:color w:val="auto"/>
        </w:rPr>
        <w:t>名称：</w:t>
      </w:r>
      <w:r>
        <w:rPr>
          <w:rStyle w:val="141"/>
          <w:rFonts w:hint="eastAsia"/>
          <w:color w:val="auto"/>
        </w:rPr>
        <w:t>华夏城投项目管理有限公司</w:t>
      </w:r>
    </w:p>
    <w:p>
      <w:pPr>
        <w:pStyle w:val="18"/>
        <w:spacing w:line="360" w:lineRule="auto"/>
        <w:ind w:firstLine="840" w:firstLineChars="400"/>
        <w:rPr>
          <w:rFonts w:ascii="宋体" w:hAnsi="宋体"/>
          <w:color w:val="auto"/>
        </w:rPr>
      </w:pPr>
      <w:r>
        <w:rPr>
          <w:rFonts w:hint="eastAsia" w:ascii="宋体" w:hAnsi="宋体"/>
          <w:color w:val="auto"/>
        </w:rPr>
        <w:t>地址：</w:t>
      </w:r>
      <w:r>
        <w:rPr>
          <w:rFonts w:hint="eastAsia"/>
          <w:color w:val="auto"/>
        </w:rPr>
        <w:t>南宁市东葛路118号青秀万达写字楼银座8楼808室</w:t>
      </w:r>
    </w:p>
    <w:p>
      <w:pPr>
        <w:pStyle w:val="18"/>
        <w:spacing w:line="360" w:lineRule="auto"/>
        <w:ind w:firstLine="840" w:firstLineChars="400"/>
        <w:rPr>
          <w:rFonts w:ascii="宋体" w:hAnsi="宋体"/>
          <w:color w:val="auto"/>
        </w:rPr>
      </w:pPr>
      <w:r>
        <w:rPr>
          <w:rFonts w:hint="eastAsia" w:ascii="宋体" w:hAnsi="宋体"/>
          <w:color w:val="auto"/>
        </w:rPr>
        <w:t>联系电话：</w:t>
      </w:r>
      <w:r>
        <w:rPr>
          <w:rFonts w:hint="eastAsia"/>
          <w:color w:val="auto"/>
        </w:rPr>
        <w:t>0771-5382528</w:t>
      </w:r>
    </w:p>
    <w:p>
      <w:pPr>
        <w:pStyle w:val="18"/>
        <w:spacing w:line="360" w:lineRule="auto"/>
        <w:ind w:firstLine="840" w:firstLineChars="400"/>
        <w:rPr>
          <w:rFonts w:ascii="宋体" w:hAnsi="宋体"/>
          <w:color w:val="auto"/>
        </w:rPr>
      </w:pPr>
      <w:r>
        <w:rPr>
          <w:rFonts w:hint="eastAsia" w:ascii="宋体" w:hAnsi="宋体"/>
          <w:color w:val="auto"/>
        </w:rPr>
        <w:t>3.项目联系方式</w:t>
      </w:r>
    </w:p>
    <w:p>
      <w:pPr>
        <w:pStyle w:val="18"/>
        <w:spacing w:line="360" w:lineRule="auto"/>
        <w:ind w:firstLine="840" w:firstLineChars="400"/>
        <w:rPr>
          <w:rFonts w:ascii="宋体" w:hAnsi="宋体"/>
          <w:color w:val="auto"/>
        </w:rPr>
      </w:pPr>
      <w:r>
        <w:rPr>
          <w:rFonts w:hint="eastAsia" w:ascii="宋体" w:hAnsi="宋体"/>
          <w:color w:val="auto"/>
        </w:rPr>
        <w:t>项目联系人：潘玉婷、刘彦灵</w:t>
      </w:r>
    </w:p>
    <w:p>
      <w:pPr>
        <w:pStyle w:val="18"/>
        <w:spacing w:line="360" w:lineRule="auto"/>
        <w:ind w:firstLine="840" w:firstLineChars="400"/>
        <w:rPr>
          <w:rFonts w:ascii="宋体" w:hAnsi="宋体"/>
          <w:color w:val="auto"/>
        </w:rPr>
      </w:pPr>
      <w:r>
        <w:rPr>
          <w:rFonts w:hint="eastAsia" w:ascii="宋体" w:hAnsi="宋体"/>
          <w:color w:val="auto"/>
        </w:rPr>
        <w:t>电话：</w:t>
      </w:r>
      <w:r>
        <w:rPr>
          <w:rFonts w:hint="eastAsia"/>
          <w:color w:val="auto"/>
        </w:rPr>
        <w:t>0771-5382528</w:t>
      </w:r>
    </w:p>
    <w:p>
      <w:pPr>
        <w:spacing w:line="440" w:lineRule="exact"/>
        <w:ind w:firstLine="420" w:firstLineChars="200"/>
        <w:jc w:val="right"/>
        <w:rPr>
          <w:rFonts w:ascii="宋体" w:hAnsi="宋体"/>
          <w:color w:val="auto"/>
        </w:rPr>
      </w:pPr>
    </w:p>
    <w:bookmarkEnd w:id="29"/>
    <w:p>
      <w:pPr>
        <w:spacing w:line="440" w:lineRule="exact"/>
        <w:ind w:firstLine="420" w:firstLineChars="200"/>
        <w:jc w:val="right"/>
        <w:rPr>
          <w:rFonts w:ascii="宋体" w:hAnsi="宋体"/>
          <w:color w:val="auto"/>
        </w:rPr>
      </w:pPr>
      <w:r>
        <w:rPr>
          <w:rStyle w:val="141"/>
          <w:rFonts w:hint="eastAsia"/>
          <w:color w:val="auto"/>
        </w:rPr>
        <w:t>华夏城投项目管理有限公司</w:t>
      </w:r>
    </w:p>
    <w:p>
      <w:pPr>
        <w:wordWrap w:val="0"/>
        <w:spacing w:line="440" w:lineRule="exact"/>
        <w:jc w:val="right"/>
        <w:rPr>
          <w:rFonts w:ascii="宋体" w:hAnsi="宋体"/>
          <w:color w:val="auto"/>
        </w:rPr>
      </w:pPr>
      <w:r>
        <w:rPr>
          <w:rFonts w:ascii="宋体" w:hAnsi="宋体"/>
          <w:color w:val="auto"/>
        </w:rPr>
        <w:t>2023年</w:t>
      </w:r>
      <w:r>
        <w:rPr>
          <w:rFonts w:hint="eastAsia" w:ascii="宋体" w:hAnsi="宋体"/>
          <w:color w:val="auto"/>
        </w:rPr>
        <w:t>10</w:t>
      </w:r>
      <w:r>
        <w:rPr>
          <w:rFonts w:ascii="宋体" w:hAnsi="宋体"/>
          <w:color w:val="auto"/>
        </w:rPr>
        <w:t>月</w:t>
      </w:r>
      <w:r>
        <w:rPr>
          <w:rFonts w:hint="eastAsia" w:ascii="宋体" w:hAnsi="宋体"/>
          <w:color w:val="auto"/>
          <w:lang w:val="en-US" w:eastAsia="zh-CN"/>
        </w:rPr>
        <w:t>18</w:t>
      </w:r>
      <w:r>
        <w:rPr>
          <w:rFonts w:ascii="宋体" w:hAnsi="宋体"/>
          <w:color w:val="auto"/>
        </w:rPr>
        <w:t>日</w:t>
      </w:r>
    </w:p>
    <w:p>
      <w:pPr>
        <w:widowControl/>
        <w:spacing w:line="360" w:lineRule="exact"/>
        <w:ind w:left="240"/>
        <w:jc w:val="right"/>
        <w:rPr>
          <w:rFonts w:ascii="宋体" w:hAnsi="宋体"/>
          <w:b/>
          <w:bCs/>
          <w:color w:val="auto"/>
          <w:sz w:val="32"/>
          <w:szCs w:val="32"/>
        </w:rPr>
      </w:pPr>
    </w:p>
    <w:p>
      <w:pPr>
        <w:rPr>
          <w:color w:val="auto"/>
        </w:rPr>
      </w:pPr>
      <w:bookmarkStart w:id="30" w:name="_Toc18481385"/>
      <w:bookmarkEnd w:id="30"/>
      <w:r>
        <w:rPr>
          <w:rFonts w:hint="eastAsia"/>
          <w:color w:val="auto"/>
        </w:rPr>
        <w:br w:type="page"/>
      </w:r>
    </w:p>
    <w:p>
      <w:pPr>
        <w:pStyle w:val="5"/>
        <w:jc w:val="center"/>
        <w:rPr>
          <w:rFonts w:ascii="宋体" w:hAnsi="宋体"/>
          <w:color w:val="auto"/>
        </w:rPr>
      </w:pPr>
      <w:bookmarkStart w:id="31" w:name="_Toc21635"/>
      <w:bookmarkStart w:id="32" w:name="_Toc7499"/>
      <w:r>
        <w:rPr>
          <w:rFonts w:hint="eastAsia" w:ascii="宋体" w:hAnsi="宋体"/>
          <w:color w:val="auto"/>
        </w:rPr>
        <w:t>第二章  供应商须知</w:t>
      </w:r>
      <w:bookmarkEnd w:id="3"/>
      <w:bookmarkEnd w:id="4"/>
      <w:bookmarkEnd w:id="31"/>
      <w:bookmarkEnd w:id="32"/>
    </w:p>
    <w:p>
      <w:pPr>
        <w:spacing w:line="400" w:lineRule="exact"/>
        <w:jc w:val="center"/>
        <w:rPr>
          <w:rFonts w:ascii="宋体" w:hAnsi="宋体"/>
          <w:b/>
          <w:color w:val="auto"/>
          <w:sz w:val="32"/>
          <w:szCs w:val="32"/>
        </w:rPr>
      </w:pPr>
      <w:r>
        <w:rPr>
          <w:rFonts w:hint="eastAsia" w:ascii="宋体" w:hAnsi="宋体"/>
          <w:b/>
          <w:color w:val="auto"/>
          <w:sz w:val="32"/>
          <w:szCs w:val="32"/>
        </w:rPr>
        <w:t>供应商须知前附表</w:t>
      </w:r>
    </w:p>
    <w:p>
      <w:pPr>
        <w:spacing w:line="400" w:lineRule="exact"/>
        <w:jc w:val="center"/>
        <w:rPr>
          <w:rFonts w:ascii="宋体" w:hAnsi="宋体"/>
          <w:b/>
          <w:color w:val="auto"/>
          <w:sz w:val="32"/>
          <w:szCs w:val="32"/>
        </w:rPr>
      </w:pPr>
    </w:p>
    <w:tbl>
      <w:tblPr>
        <w:tblStyle w:val="4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2"/>
        <w:gridCol w:w="7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tcPr>
          <w:p>
            <w:pPr>
              <w:spacing w:line="400" w:lineRule="exact"/>
              <w:jc w:val="center"/>
              <w:rPr>
                <w:rFonts w:ascii="宋体" w:hAnsi="宋体" w:cs="宋体"/>
                <w:b/>
                <w:color w:val="auto"/>
              </w:rPr>
            </w:pPr>
            <w:r>
              <w:rPr>
                <w:rFonts w:hint="eastAsia" w:ascii="宋体" w:hAnsi="宋体" w:cs="宋体"/>
                <w:b/>
                <w:color w:val="auto"/>
              </w:rPr>
              <w:t>条款号</w:t>
            </w:r>
          </w:p>
        </w:tc>
        <w:tc>
          <w:tcPr>
            <w:tcW w:w="7912" w:type="dxa"/>
            <w:noWrap/>
          </w:tcPr>
          <w:p>
            <w:pPr>
              <w:spacing w:line="400" w:lineRule="exact"/>
              <w:jc w:val="center"/>
              <w:rPr>
                <w:rFonts w:ascii="宋体" w:hAnsi="宋体" w:cs="宋体"/>
                <w:b/>
                <w:color w:val="auto"/>
              </w:rPr>
            </w:pPr>
            <w:r>
              <w:rPr>
                <w:rFonts w:hint="eastAsia" w:ascii="宋体" w:hAnsi="宋体" w:cs="宋体"/>
                <w:b/>
                <w:color w:val="auto"/>
              </w:rPr>
              <w:t>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3</w:t>
            </w:r>
          </w:p>
        </w:tc>
        <w:tc>
          <w:tcPr>
            <w:tcW w:w="7912" w:type="dxa"/>
            <w:noWrap/>
            <w:vAlign w:val="center"/>
          </w:tcPr>
          <w:p>
            <w:pPr>
              <w:spacing w:line="400" w:lineRule="exact"/>
              <w:rPr>
                <w:rFonts w:ascii="宋体" w:hAnsi="宋体" w:cs="宋体"/>
                <w:color w:val="auto"/>
              </w:rPr>
            </w:pPr>
            <w:r>
              <w:rPr>
                <w:rFonts w:hint="eastAsia" w:ascii="宋体" w:hAnsi="宋体" w:cs="宋体"/>
                <w:bCs/>
                <w:color w:val="auto"/>
              </w:rPr>
              <w:t>供应商的资格条件</w:t>
            </w:r>
            <w:r>
              <w:rPr>
                <w:rFonts w:hint="eastAsia" w:ascii="宋体" w:hAnsi="宋体" w:cs="宋体"/>
                <w:color w:val="auto"/>
              </w:rPr>
              <w:t>：详见竞争性磋商公告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5.1</w:t>
            </w:r>
          </w:p>
        </w:tc>
        <w:tc>
          <w:tcPr>
            <w:tcW w:w="7912" w:type="dxa"/>
            <w:noWrap/>
            <w:vAlign w:val="center"/>
          </w:tcPr>
          <w:p>
            <w:pPr>
              <w:spacing w:line="400" w:lineRule="exact"/>
              <w:rPr>
                <w:rFonts w:ascii="宋体" w:hAnsi="宋体" w:cs="宋体"/>
                <w:color w:val="auto"/>
              </w:rPr>
            </w:pPr>
            <w:r>
              <w:rPr>
                <w:rFonts w:hint="eastAsia" w:ascii="宋体" w:hAnsi="宋体" w:cs="宋体"/>
                <w:color w:val="auto"/>
              </w:rPr>
              <w:t>是否接受联合体竞标:详见竞争性磋商公告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5</w:t>
            </w:r>
            <w:r>
              <w:rPr>
                <w:rFonts w:ascii="宋体" w:hAnsi="宋体" w:cs="宋体"/>
                <w:color w:val="auto"/>
              </w:rPr>
              <w:t>.2</w:t>
            </w:r>
          </w:p>
        </w:tc>
        <w:tc>
          <w:tcPr>
            <w:tcW w:w="7912" w:type="dxa"/>
            <w:noWrap/>
            <w:vAlign w:val="center"/>
          </w:tcPr>
          <w:p>
            <w:pPr>
              <w:spacing w:line="400" w:lineRule="exact"/>
              <w:rPr>
                <w:rFonts w:ascii="宋体" w:hAnsi="宋体" w:cs="宋体"/>
                <w:color w:val="auto"/>
              </w:rPr>
            </w:pPr>
            <w:r>
              <w:rPr>
                <w:rFonts w:hint="eastAsia" w:ascii="宋体" w:hAnsi="宋体"/>
                <w:color w:val="auto"/>
              </w:rPr>
              <w:t>如接受联合体竞标，联合体竞标要求如下：</w:t>
            </w:r>
          </w:p>
          <w:p>
            <w:pPr>
              <w:spacing w:line="400" w:lineRule="exact"/>
              <w:rPr>
                <w:rFonts w:ascii="宋体" w:hAnsi="宋体" w:cs="宋体"/>
                <w:color w:val="auto"/>
              </w:rPr>
            </w:pPr>
            <w:r>
              <w:rPr>
                <w:rFonts w:hint="eastAsia" w:ascii="宋体" w:hAnsi="宋体" w:cs="宋体"/>
                <w:color w:val="auto"/>
              </w:rPr>
              <w:t>1</w:t>
            </w:r>
            <w:r>
              <w:rPr>
                <w:rFonts w:ascii="宋体" w:hAnsi="宋体" w:cs="宋体"/>
                <w:color w:val="auto"/>
              </w:rPr>
              <w:t>.</w:t>
            </w:r>
            <w:r>
              <w:rPr>
                <w:rFonts w:hint="eastAsia" w:ascii="宋体" w:hAnsi="宋体" w:cs="宋体"/>
                <w:color w:val="auto"/>
              </w:rPr>
              <w:t>两个以上供应商可以组成一个竞标联合体，以一个供应商的身份共同参加竞标。联合体竞标的，须提供《联合体竞标协议书》。</w:t>
            </w:r>
          </w:p>
          <w:p>
            <w:pPr>
              <w:spacing w:line="400" w:lineRule="exact"/>
              <w:rPr>
                <w:rFonts w:ascii="宋体" w:hAnsi="宋体" w:cs="宋体"/>
                <w:color w:val="auto"/>
              </w:rPr>
            </w:pPr>
            <w:r>
              <w:rPr>
                <w:rFonts w:hint="eastAsia" w:ascii="宋体" w:hAnsi="宋体" w:cs="宋体"/>
                <w:color w:val="auto"/>
              </w:rPr>
              <w:t>2</w:t>
            </w:r>
            <w:r>
              <w:rPr>
                <w:rFonts w:ascii="宋体" w:hAnsi="宋体" w:cs="宋体"/>
                <w:color w:val="auto"/>
              </w:rPr>
              <w:t>.</w:t>
            </w:r>
            <w:r>
              <w:rPr>
                <w:rFonts w:hint="eastAsia" w:ascii="宋体" w:hAnsi="宋体" w:cs="宋体"/>
                <w:color w:val="auto"/>
              </w:rPr>
              <w:t>以联合体形式参加竞标的，联合体各方均必须具备《中华人民共和国政府采购法》第二十二条第一款规定的基本条件（涉及行政许可范围的内容，联合体各方均应具备相应资质）。本项目有特殊要求规定供应商特定条件的，联合体各方中至少有一方必须符合磋商文件规定的特定条件。</w:t>
            </w:r>
          </w:p>
          <w:p>
            <w:pPr>
              <w:spacing w:line="400" w:lineRule="exact"/>
              <w:rPr>
                <w:rFonts w:ascii="宋体" w:hAnsi="宋体" w:cs="宋体"/>
                <w:color w:val="auto"/>
              </w:rPr>
            </w:pPr>
            <w:r>
              <w:rPr>
                <w:rFonts w:hint="eastAsia" w:ascii="宋体" w:hAnsi="宋体" w:cs="宋体"/>
                <w:color w:val="auto"/>
              </w:rPr>
              <w:t>3</w:t>
            </w:r>
            <w:r>
              <w:rPr>
                <w:rFonts w:ascii="宋体" w:hAnsi="宋体" w:cs="宋体"/>
                <w:color w:val="auto"/>
              </w:rPr>
              <w:t>.</w:t>
            </w:r>
            <w:r>
              <w:rPr>
                <w:rFonts w:hint="eastAsia" w:ascii="宋体" w:hAnsi="宋体" w:cs="宋体"/>
                <w:color w:val="auto"/>
              </w:rPr>
              <w:t>联合体各方之间必须签订联合竞标协议，协议书必须明确主体方（或者牵头方）并明确约定联合体各方承担的工作和相应的责任（各方承担责任与义务的分工必须符合采购需求，否则，联合体竞标无效），并将联合竞标协议放入响应文件。联合体各方必须共同与采购人签订采购合同，就采购合同约定的事项对采购人承担连带责任。</w:t>
            </w:r>
          </w:p>
          <w:p>
            <w:pPr>
              <w:spacing w:line="400" w:lineRule="exact"/>
              <w:rPr>
                <w:rFonts w:ascii="宋体" w:hAnsi="宋体" w:cs="宋体"/>
                <w:color w:val="auto"/>
              </w:rPr>
            </w:pPr>
            <w:r>
              <w:rPr>
                <w:rFonts w:hint="eastAsia" w:ascii="宋体" w:hAnsi="宋体" w:cs="宋体"/>
                <w:color w:val="auto"/>
              </w:rPr>
              <w:t>4</w:t>
            </w:r>
            <w:r>
              <w:rPr>
                <w:rFonts w:ascii="宋体" w:hAnsi="宋体" w:cs="宋体"/>
                <w:color w:val="auto"/>
              </w:rPr>
              <w:t>.</w:t>
            </w:r>
            <w:r>
              <w:rPr>
                <w:rFonts w:hint="eastAsia" w:ascii="宋体" w:hAnsi="宋体" w:cs="宋体"/>
                <w:color w:val="auto"/>
              </w:rPr>
              <w:t>以联合体形式参加采购活动的，联合体各方不得再单独参加或者与其他供应商另外组成联合体参加同一合同项下的采购活动。</w:t>
            </w:r>
          </w:p>
          <w:p>
            <w:pPr>
              <w:spacing w:line="400" w:lineRule="exact"/>
              <w:rPr>
                <w:rFonts w:ascii="宋体" w:hAnsi="宋体" w:cs="宋体"/>
                <w:color w:val="auto"/>
              </w:rPr>
            </w:pPr>
            <w:r>
              <w:rPr>
                <w:rFonts w:hint="eastAsia" w:ascii="宋体" w:hAnsi="宋体" w:cs="宋体"/>
                <w:color w:val="auto"/>
              </w:rPr>
              <w:t>5</w:t>
            </w:r>
            <w:r>
              <w:rPr>
                <w:rFonts w:ascii="宋体" w:hAnsi="宋体" w:cs="宋体"/>
                <w:color w:val="auto"/>
              </w:rPr>
              <w:t>.</w:t>
            </w:r>
            <w:r>
              <w:rPr>
                <w:rFonts w:hint="eastAsia" w:ascii="宋体" w:hAnsi="宋体" w:cs="宋体"/>
                <w:color w:val="auto"/>
              </w:rPr>
              <w:t>联合体中有同类资质的供应商按照联合体分工承担相同工作的，应当按照资质等级较低的供应商确定资质等级。</w:t>
            </w:r>
          </w:p>
          <w:p>
            <w:pPr>
              <w:spacing w:line="400" w:lineRule="exact"/>
              <w:rPr>
                <w:rFonts w:ascii="宋体" w:hAnsi="宋体" w:cs="宋体"/>
                <w:color w:val="auto"/>
              </w:rPr>
            </w:pPr>
            <w:r>
              <w:rPr>
                <w:rFonts w:hint="eastAsia" w:ascii="宋体" w:hAnsi="宋体" w:cs="宋体"/>
                <w:color w:val="auto"/>
              </w:rPr>
              <w:t>6</w:t>
            </w:r>
            <w:r>
              <w:rPr>
                <w:rFonts w:ascii="宋体" w:hAnsi="宋体" w:cs="宋体"/>
                <w:color w:val="auto"/>
              </w:rPr>
              <w:t>.</w:t>
            </w:r>
            <w:r>
              <w:rPr>
                <w:rFonts w:hint="eastAsia" w:ascii="宋体" w:hAnsi="宋体" w:cs="宋体"/>
                <w:color w:val="auto"/>
              </w:rPr>
              <w:t>联合体竞标业绩、履约能力按照联合体各方中较高的一方认定并计算（磋商文件另有规定的除外）。</w:t>
            </w:r>
          </w:p>
          <w:p>
            <w:pPr>
              <w:spacing w:line="400" w:lineRule="exact"/>
              <w:rPr>
                <w:rFonts w:ascii="宋体" w:hAnsi="宋体" w:cs="宋体"/>
                <w:color w:val="auto"/>
              </w:rPr>
            </w:pPr>
            <w:r>
              <w:rPr>
                <w:rFonts w:hint="eastAsia" w:ascii="宋体" w:hAnsi="宋体" w:cs="宋体"/>
                <w:color w:val="auto"/>
              </w:rPr>
              <w:t>7</w:t>
            </w:r>
            <w:r>
              <w:rPr>
                <w:rFonts w:ascii="宋体" w:hAnsi="宋体" w:cs="宋体"/>
                <w:color w:val="auto"/>
              </w:rPr>
              <w:t>.</w:t>
            </w:r>
            <w:r>
              <w:rPr>
                <w:rFonts w:hint="eastAsia" w:ascii="宋体" w:hAnsi="宋体" w:cs="宋体"/>
                <w:color w:val="auto"/>
              </w:rPr>
              <w:t>供应商为联合体的，可以由联合体中的一方或者多方共同交纳磋商保证金，其交纳的保证金对联合体各方均具有约束力。</w:t>
            </w:r>
          </w:p>
          <w:p>
            <w:pPr>
              <w:spacing w:line="400" w:lineRule="exact"/>
              <w:rPr>
                <w:rFonts w:ascii="宋体" w:hAnsi="宋体" w:cs="宋体"/>
                <w:color w:val="auto"/>
              </w:rPr>
            </w:pPr>
            <w:r>
              <w:rPr>
                <w:rFonts w:hint="eastAsia" w:ascii="宋体" w:hAnsi="宋体" w:cs="宋体"/>
                <w:color w:val="auto"/>
              </w:rPr>
              <w:t>8</w:t>
            </w:r>
            <w:r>
              <w:rPr>
                <w:rFonts w:ascii="宋体" w:hAnsi="宋体" w:cs="宋体"/>
                <w:color w:val="auto"/>
              </w:rPr>
              <w:t>.</w:t>
            </w:r>
            <w:r>
              <w:rPr>
                <w:rFonts w:hint="eastAsia" w:ascii="宋体" w:hAnsi="宋体" w:cs="宋体"/>
                <w:color w:val="auto"/>
              </w:rPr>
              <w:t>联合体各方均应按照磋商文件的规定提交资格证明文件。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6.</w:t>
            </w:r>
            <w:r>
              <w:rPr>
                <w:rFonts w:ascii="宋体" w:hAnsi="宋体" w:cs="宋体"/>
                <w:color w:val="auto"/>
              </w:rPr>
              <w:t>2</w:t>
            </w:r>
          </w:p>
        </w:tc>
        <w:tc>
          <w:tcPr>
            <w:tcW w:w="7912" w:type="dxa"/>
            <w:noWrap/>
            <w:vAlign w:val="center"/>
          </w:tcPr>
          <w:p>
            <w:pPr>
              <w:pStyle w:val="18"/>
              <w:spacing w:line="400" w:lineRule="exact"/>
              <w:rPr>
                <w:rFonts w:ascii="宋体" w:hAnsi="宋体"/>
                <w:color w:val="auto"/>
              </w:rPr>
            </w:pPr>
            <w:r>
              <w:rPr>
                <w:rFonts w:hint="eastAsia" w:ascii="宋体" w:hAnsi="宋体"/>
                <w:color w:val="auto"/>
              </w:rPr>
              <w:t>☑不允许分包</w:t>
            </w:r>
          </w:p>
          <w:p>
            <w:pPr>
              <w:pStyle w:val="18"/>
              <w:spacing w:line="400" w:lineRule="exact"/>
              <w:rPr>
                <w:rFonts w:ascii="宋体" w:hAnsi="宋体"/>
                <w:color w:val="auto"/>
              </w:rPr>
            </w:pPr>
            <w:r>
              <w:rPr>
                <w:rFonts w:hint="eastAsia" w:ascii="宋体" w:hAnsi="宋体"/>
                <w:color w:val="auto"/>
              </w:rPr>
              <w:t>□允许分包</w:t>
            </w:r>
          </w:p>
          <w:p>
            <w:pPr>
              <w:pStyle w:val="18"/>
              <w:spacing w:line="400" w:lineRule="exact"/>
              <w:rPr>
                <w:rFonts w:ascii="宋体" w:hAnsi="宋体"/>
                <w:color w:val="auto"/>
                <w:u w:val="single"/>
              </w:rPr>
            </w:pPr>
            <w:r>
              <w:rPr>
                <w:rFonts w:hint="eastAsia" w:ascii="宋体" w:hAnsi="宋体"/>
                <w:color w:val="auto"/>
              </w:rPr>
              <w:t>分包内容：</w:t>
            </w:r>
            <w:r>
              <w:rPr>
                <w:rFonts w:hint="eastAsia" w:ascii="宋体" w:hAnsi="宋体"/>
                <w:color w:val="auto"/>
                <w:u w:val="single"/>
              </w:rPr>
              <w:t xml:space="preserve">   /   。</w:t>
            </w:r>
          </w:p>
          <w:p>
            <w:pPr>
              <w:pStyle w:val="18"/>
              <w:spacing w:line="400" w:lineRule="exact"/>
              <w:rPr>
                <w:rFonts w:ascii="宋体" w:hAnsi="宋体"/>
                <w:color w:val="auto"/>
                <w:u w:val="single"/>
              </w:rPr>
            </w:pPr>
            <w:r>
              <w:rPr>
                <w:rFonts w:hint="eastAsia" w:ascii="宋体" w:hAnsi="宋体"/>
                <w:color w:val="auto"/>
              </w:rPr>
              <w:t>分包金额或者比例：</w:t>
            </w:r>
            <w:r>
              <w:rPr>
                <w:rFonts w:hint="eastAsia" w:ascii="宋体" w:hAnsi="宋体"/>
                <w:color w:val="auto"/>
                <w:u w:val="single"/>
              </w:rPr>
              <w:t xml:space="preserve"> / 。</w:t>
            </w:r>
          </w:p>
          <w:p>
            <w:pPr>
              <w:pStyle w:val="18"/>
              <w:spacing w:line="400" w:lineRule="exact"/>
              <w:rPr>
                <w:rFonts w:ascii="宋体" w:hAnsi="宋体" w:cs="宋体"/>
                <w:color w:val="auto"/>
              </w:rPr>
            </w:pPr>
            <w:r>
              <w:rPr>
                <w:rFonts w:hint="eastAsia" w:ascii="宋体" w:hAnsi="宋体"/>
                <w:color w:val="auto"/>
              </w:rPr>
              <w:t>分包供应商必须具备的资质：</w:t>
            </w:r>
            <w:r>
              <w:rPr>
                <w:rFonts w:hint="eastAsia" w:ascii="宋体" w:hAnsi="宋体"/>
                <w:color w:val="auto"/>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olor w:val="auto"/>
              </w:rPr>
            </w:pPr>
            <w:r>
              <w:rPr>
                <w:rFonts w:hint="eastAsia" w:ascii="宋体" w:hAnsi="宋体"/>
                <w:color w:val="auto"/>
              </w:rPr>
              <w:t>7.1</w:t>
            </w:r>
          </w:p>
        </w:tc>
        <w:tc>
          <w:tcPr>
            <w:tcW w:w="7912" w:type="dxa"/>
            <w:noWrap/>
            <w:vAlign w:val="center"/>
          </w:tcPr>
          <w:p>
            <w:pPr>
              <w:autoSpaceDE w:val="0"/>
              <w:autoSpaceDN w:val="0"/>
              <w:snapToGrid w:val="0"/>
              <w:spacing w:line="400" w:lineRule="exact"/>
              <w:textAlignment w:val="bottom"/>
              <w:rPr>
                <w:rFonts w:ascii="宋体" w:hAnsi="宋体"/>
                <w:color w:val="auto"/>
              </w:rPr>
            </w:pPr>
            <w:r>
              <w:rPr>
                <w:rFonts w:hint="eastAsia" w:ascii="宋体" w:hAnsi="宋体"/>
                <w:color w:val="auto"/>
              </w:rPr>
              <w:t>提供相同品牌产品（非单一产品采购项目的，指核心产品）的不同供应商评审得分相同时，按照下列方式确定一个供应商获得成交人推荐资格：</w:t>
            </w:r>
          </w:p>
          <w:p>
            <w:pPr>
              <w:autoSpaceDE w:val="0"/>
              <w:autoSpaceDN w:val="0"/>
              <w:snapToGrid w:val="0"/>
              <w:spacing w:line="400" w:lineRule="exact"/>
              <w:textAlignment w:val="bottom"/>
              <w:rPr>
                <w:rFonts w:ascii="宋体" w:hAnsi="宋体"/>
                <w:color w:val="auto"/>
              </w:rPr>
            </w:pPr>
            <w:r>
              <w:rPr>
                <w:rFonts w:hint="eastAsia" w:ascii="宋体" w:hAnsi="宋体"/>
                <w:color w:val="auto"/>
              </w:rPr>
              <w:t>□随机抽取；</w:t>
            </w:r>
          </w:p>
          <w:p>
            <w:pPr>
              <w:pStyle w:val="18"/>
              <w:spacing w:line="400" w:lineRule="exact"/>
              <w:rPr>
                <w:rFonts w:ascii="宋体" w:hAnsi="宋体"/>
                <w:color w:val="auto"/>
              </w:rPr>
            </w:pPr>
            <w:r>
              <w:rPr>
                <w:rFonts w:hint="eastAsia" w:ascii="宋体" w:hAnsi="宋体"/>
                <w:color w:val="auto"/>
              </w:rPr>
              <w:t>☑产品性能分高的优先、质量控制方案及检测能力分高的优先、服务承诺分高的优先、商务分高的优先的顺序；按前述顺序仍无法确定的，通过随机抽取的形式确定。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12.1.</w:t>
            </w:r>
            <w:r>
              <w:rPr>
                <w:rFonts w:ascii="宋体" w:hAnsi="宋体" w:cs="宋体"/>
                <w:color w:val="auto"/>
              </w:rPr>
              <w:t>1</w:t>
            </w:r>
          </w:p>
        </w:tc>
        <w:tc>
          <w:tcPr>
            <w:tcW w:w="7912" w:type="dxa"/>
            <w:noWrap/>
            <w:vAlign w:val="center"/>
          </w:tcPr>
          <w:p>
            <w:pPr>
              <w:snapToGrid w:val="0"/>
              <w:spacing w:line="400" w:lineRule="exact"/>
              <w:jc w:val="left"/>
              <w:rPr>
                <w:rFonts w:ascii="宋体" w:hAnsi="宋体" w:cs="宋体"/>
                <w:b/>
                <w:color w:val="auto"/>
              </w:rPr>
            </w:pPr>
            <w:r>
              <w:rPr>
                <w:rFonts w:hint="eastAsia" w:ascii="宋体" w:hAnsi="宋体" w:cs="宋体"/>
                <w:b/>
                <w:color w:val="auto"/>
              </w:rPr>
              <w:t>资格证明文件</w:t>
            </w:r>
          </w:p>
          <w:p>
            <w:pPr>
              <w:spacing w:line="360" w:lineRule="auto"/>
              <w:jc w:val="left"/>
              <w:rPr>
                <w:rFonts w:ascii="宋体" w:hAnsi="宋体"/>
                <w:color w:val="auto"/>
              </w:rPr>
            </w:pPr>
            <w:r>
              <w:rPr>
                <w:rFonts w:hint="eastAsia" w:ascii="宋体" w:hAnsi="宋体" w:cs="宋体"/>
                <w:color w:val="auto"/>
              </w:rPr>
              <w:t>1.供应商为法人或者其他组织的提供其营业执照等证明文件（如营业执照或者事业单位法人证书或者执业许可证等），供应商为自然人的提供其身份证复印件；（</w:t>
            </w:r>
            <w:r>
              <w:rPr>
                <w:rFonts w:hint="eastAsia" w:ascii="宋体" w:hAnsi="宋体" w:cs="宋体"/>
                <w:b/>
                <w:color w:val="auto"/>
              </w:rPr>
              <w:t>必须提供，否则</w:t>
            </w:r>
            <w:r>
              <w:rPr>
                <w:rFonts w:hint="eastAsia" w:ascii="宋体" w:hAnsi="宋体" w:cs="宋体"/>
                <w:b/>
                <w:color w:val="auto"/>
                <w:lang w:eastAsia="zh-CN"/>
              </w:rPr>
              <w:t>响应文</w:t>
            </w:r>
            <w:r>
              <w:rPr>
                <w:rFonts w:hint="eastAsia" w:ascii="宋体" w:hAnsi="宋体" w:cs="宋体"/>
                <w:b/>
                <w:color w:val="auto"/>
              </w:rPr>
              <w:t>件按无效响应处理</w:t>
            </w:r>
            <w:r>
              <w:rPr>
                <w:rFonts w:hint="eastAsia" w:ascii="宋体" w:hAnsi="宋体" w:cs="宋体"/>
                <w:color w:val="auto"/>
              </w:rPr>
              <w:t>）</w:t>
            </w:r>
          </w:p>
          <w:p>
            <w:pPr>
              <w:snapToGrid w:val="0"/>
              <w:spacing w:line="360" w:lineRule="auto"/>
              <w:jc w:val="left"/>
              <w:rPr>
                <w:rFonts w:ascii="宋体" w:hAnsi="宋体"/>
                <w:color w:val="auto"/>
              </w:rPr>
            </w:pPr>
            <w:r>
              <w:rPr>
                <w:rFonts w:hint="eastAsia" w:ascii="宋体" w:hAnsi="宋体" w:cs="宋体"/>
                <w:color w:val="auto"/>
              </w:rPr>
              <w:t>2. 供应商依法缴纳税收的相关材料：[</w:t>
            </w:r>
            <w:r>
              <w:rPr>
                <w:rFonts w:hint="eastAsia" w:ascii="宋体" w:hAnsi="宋体" w:cs="宋体"/>
                <w:color w:val="auto"/>
                <w:u w:val="single"/>
              </w:rPr>
              <w:t xml:space="preserve"> 202</w:t>
            </w:r>
            <w:r>
              <w:rPr>
                <w:rFonts w:ascii="宋体" w:hAnsi="宋体" w:cs="宋体"/>
                <w:color w:val="auto"/>
                <w:u w:val="single"/>
              </w:rPr>
              <w:t>3</w:t>
            </w:r>
            <w:r>
              <w:rPr>
                <w:rFonts w:hint="eastAsia" w:ascii="宋体" w:hAnsi="宋体" w:cs="宋体"/>
                <w:color w:val="auto"/>
              </w:rPr>
              <w:t>年</w:t>
            </w:r>
            <w:r>
              <w:rPr>
                <w:rFonts w:hint="eastAsia" w:ascii="宋体" w:hAnsi="宋体" w:cs="宋体"/>
                <w:color w:val="auto"/>
                <w:u w:val="single"/>
              </w:rPr>
              <w:t>4</w:t>
            </w:r>
            <w:r>
              <w:rPr>
                <w:rFonts w:hint="eastAsia" w:ascii="宋体" w:hAnsi="宋体" w:cs="宋体"/>
                <w:color w:val="auto"/>
              </w:rPr>
              <w:t>月至</w:t>
            </w:r>
            <w:r>
              <w:rPr>
                <w:rFonts w:hint="eastAsia" w:ascii="宋体" w:hAnsi="宋体" w:cs="宋体"/>
                <w:color w:val="auto"/>
                <w:u w:val="single"/>
              </w:rPr>
              <w:t xml:space="preserve"> 202</w:t>
            </w:r>
            <w:r>
              <w:rPr>
                <w:rFonts w:ascii="宋体" w:hAnsi="宋体" w:cs="宋体"/>
                <w:color w:val="auto"/>
                <w:u w:val="single"/>
              </w:rPr>
              <w:t>3</w:t>
            </w:r>
            <w:r>
              <w:rPr>
                <w:rFonts w:hint="eastAsia" w:ascii="宋体" w:hAnsi="宋体" w:cs="宋体"/>
                <w:color w:val="auto"/>
              </w:rPr>
              <w:t>年</w:t>
            </w:r>
            <w:r>
              <w:rPr>
                <w:rFonts w:hint="eastAsia" w:ascii="宋体" w:hAnsi="宋体" w:cs="宋体"/>
                <w:color w:val="auto"/>
                <w:u w:val="single"/>
              </w:rPr>
              <w:t>9</w:t>
            </w:r>
            <w:r>
              <w:rPr>
                <w:rFonts w:hint="eastAsia" w:ascii="宋体" w:hAnsi="宋体" w:cs="宋体"/>
                <w:color w:val="auto"/>
              </w:rPr>
              <w:t>月]连续</w:t>
            </w:r>
            <w:r>
              <w:rPr>
                <w:rFonts w:hint="eastAsia" w:ascii="宋体" w:hAnsi="宋体" w:cs="宋体"/>
                <w:color w:val="auto"/>
                <w:u w:val="single"/>
              </w:rPr>
              <w:t xml:space="preserve"> 3</w:t>
            </w:r>
            <w:r>
              <w:rPr>
                <w:rFonts w:hint="eastAsia" w:ascii="宋体" w:hAnsi="宋体" w:cs="宋体"/>
                <w:color w:val="auto"/>
              </w:rPr>
              <w:t>个月的依法缴纳税收的凭据复印件；依</w:t>
            </w:r>
            <w:r>
              <w:rPr>
                <w:rFonts w:hint="eastAsia" w:ascii="宋体" w:hAnsi="宋体"/>
                <w:color w:val="auto"/>
              </w:rPr>
              <w:t>法免税的供应商，必须提供相应文件证明其依法免税。</w:t>
            </w:r>
            <w:r>
              <w:rPr>
                <w:rFonts w:hint="eastAsia" w:ascii="宋体" w:hAnsi="宋体" w:cs="宋体"/>
                <w:color w:val="auto"/>
              </w:rPr>
              <w:t>从取得营业执照时间起到投标文件提交截止时间为止不足要求月数的，只需提供从取得营业执照起的依法缴纳税收</w:t>
            </w:r>
            <w:r>
              <w:rPr>
                <w:rFonts w:hint="eastAsia" w:ascii="宋体" w:hAnsi="宋体"/>
                <w:color w:val="auto"/>
              </w:rPr>
              <w:t>相应证明文件</w:t>
            </w:r>
            <w:r>
              <w:rPr>
                <w:rFonts w:hint="eastAsia" w:ascii="宋体" w:hAnsi="宋体" w:cs="宋体"/>
                <w:color w:val="auto"/>
              </w:rPr>
              <w:t>）</w:t>
            </w:r>
            <w:r>
              <w:rPr>
                <w:rFonts w:hint="eastAsia" w:ascii="宋体" w:hAnsi="宋体"/>
                <w:color w:val="auto"/>
              </w:rPr>
              <w:t>；（</w:t>
            </w:r>
            <w:r>
              <w:rPr>
                <w:rFonts w:hint="eastAsia" w:ascii="宋体" w:hAnsi="宋体"/>
                <w:b/>
                <w:color w:val="auto"/>
              </w:rPr>
              <w:t>必须提供，否则作无效响应处理</w:t>
            </w:r>
            <w:r>
              <w:rPr>
                <w:rFonts w:hint="eastAsia" w:ascii="宋体" w:hAnsi="宋体"/>
                <w:color w:val="auto"/>
              </w:rPr>
              <w:t>）</w:t>
            </w:r>
          </w:p>
          <w:p>
            <w:pPr>
              <w:snapToGrid w:val="0"/>
              <w:spacing w:line="360" w:lineRule="auto"/>
              <w:jc w:val="left"/>
              <w:rPr>
                <w:rFonts w:ascii="宋体" w:hAnsi="宋体"/>
                <w:color w:val="auto"/>
              </w:rPr>
            </w:pPr>
            <w:r>
              <w:rPr>
                <w:rFonts w:hint="eastAsia" w:ascii="宋体" w:hAnsi="宋体" w:cs="宋体"/>
                <w:color w:val="auto"/>
              </w:rPr>
              <w:t>3.供应商依法缴纳社会保障资金的相关材料[</w:t>
            </w:r>
            <w:r>
              <w:rPr>
                <w:rFonts w:hint="eastAsia" w:ascii="宋体" w:hAnsi="宋体" w:cs="宋体"/>
                <w:color w:val="auto"/>
                <w:u w:val="single"/>
              </w:rPr>
              <w:t>202</w:t>
            </w:r>
            <w:r>
              <w:rPr>
                <w:rFonts w:ascii="宋体" w:hAnsi="宋体" w:cs="宋体"/>
                <w:color w:val="auto"/>
                <w:u w:val="single"/>
              </w:rPr>
              <w:t>3</w:t>
            </w:r>
            <w:r>
              <w:rPr>
                <w:rFonts w:hint="eastAsia" w:ascii="宋体" w:hAnsi="宋体" w:cs="宋体"/>
                <w:color w:val="auto"/>
              </w:rPr>
              <w:t>年</w:t>
            </w:r>
            <w:r>
              <w:rPr>
                <w:rFonts w:hint="eastAsia" w:ascii="宋体" w:hAnsi="宋体" w:cs="宋体"/>
                <w:color w:val="auto"/>
                <w:u w:val="single"/>
              </w:rPr>
              <w:t>4</w:t>
            </w:r>
            <w:r>
              <w:rPr>
                <w:rFonts w:hint="eastAsia" w:ascii="宋体" w:hAnsi="宋体" w:cs="宋体"/>
                <w:color w:val="auto"/>
              </w:rPr>
              <w:t>月至</w:t>
            </w:r>
            <w:r>
              <w:rPr>
                <w:rFonts w:hint="eastAsia" w:ascii="宋体" w:hAnsi="宋体" w:cs="宋体"/>
                <w:color w:val="auto"/>
                <w:u w:val="single"/>
              </w:rPr>
              <w:t xml:space="preserve"> 202</w:t>
            </w:r>
            <w:r>
              <w:rPr>
                <w:rFonts w:ascii="宋体" w:hAnsi="宋体" w:cs="宋体"/>
                <w:color w:val="auto"/>
                <w:u w:val="single"/>
              </w:rPr>
              <w:t>3</w:t>
            </w:r>
            <w:r>
              <w:rPr>
                <w:rFonts w:hint="eastAsia" w:ascii="宋体" w:hAnsi="宋体" w:cs="宋体"/>
                <w:color w:val="auto"/>
              </w:rPr>
              <w:t>年</w:t>
            </w:r>
            <w:r>
              <w:rPr>
                <w:rFonts w:hint="eastAsia" w:ascii="宋体" w:hAnsi="宋体" w:cs="宋体"/>
                <w:color w:val="auto"/>
                <w:u w:val="single"/>
              </w:rPr>
              <w:t>9</w:t>
            </w:r>
            <w:r>
              <w:rPr>
                <w:rFonts w:hint="eastAsia" w:ascii="宋体" w:hAnsi="宋体" w:cs="宋体"/>
                <w:color w:val="auto"/>
              </w:rPr>
              <w:t>月]连续</w:t>
            </w:r>
            <w:r>
              <w:rPr>
                <w:rFonts w:hint="eastAsia" w:ascii="宋体" w:hAnsi="宋体" w:cs="宋体"/>
                <w:color w:val="auto"/>
                <w:u w:val="single"/>
              </w:rPr>
              <w:t xml:space="preserve"> 3</w:t>
            </w:r>
            <w:r>
              <w:rPr>
                <w:rFonts w:hint="eastAsia" w:ascii="宋体" w:hAnsi="宋体" w:cs="宋体"/>
                <w:color w:val="auto"/>
              </w:rPr>
              <w:t>个月的依法缴纳社会保障资金的缴费凭证（专用收据或者社会保险缴纳清单）复印件；</w:t>
            </w:r>
            <w:r>
              <w:rPr>
                <w:rFonts w:hint="eastAsia" w:ascii="宋体" w:hAnsi="宋体"/>
                <w:color w:val="auto"/>
              </w:rPr>
              <w:t>依法不需要缴纳社会保障资金的供应商，必须提供相应文件证明不需要缴纳社会保障资金。</w:t>
            </w:r>
            <w:r>
              <w:rPr>
                <w:rFonts w:hint="eastAsia" w:ascii="宋体" w:hAnsi="宋体" w:cs="宋体"/>
                <w:color w:val="auto"/>
              </w:rPr>
              <w:t>从取得营业执照时间起到响应文件提交截止时间为止不足要求月数的只需提供从取得营业执照起的依法缴纳社会保障资金的</w:t>
            </w:r>
            <w:r>
              <w:rPr>
                <w:rFonts w:hint="eastAsia" w:ascii="宋体" w:hAnsi="宋体"/>
                <w:color w:val="auto"/>
              </w:rPr>
              <w:t>相应证明文件</w:t>
            </w:r>
            <w:r>
              <w:rPr>
                <w:rFonts w:hint="eastAsia" w:ascii="宋体" w:hAnsi="宋体" w:cs="宋体"/>
                <w:color w:val="auto"/>
              </w:rPr>
              <w:t>]</w:t>
            </w:r>
            <w:r>
              <w:rPr>
                <w:rFonts w:hint="eastAsia" w:ascii="宋体" w:hAnsi="宋体"/>
                <w:color w:val="auto"/>
              </w:rPr>
              <w:t>；（</w:t>
            </w:r>
            <w:r>
              <w:rPr>
                <w:rFonts w:hint="eastAsia" w:ascii="宋体" w:hAnsi="宋体"/>
                <w:b/>
                <w:color w:val="auto"/>
              </w:rPr>
              <w:t>必须提供，否则作无效响应处理</w:t>
            </w:r>
            <w:r>
              <w:rPr>
                <w:rFonts w:hint="eastAsia" w:ascii="宋体" w:hAnsi="宋体"/>
                <w:color w:val="auto"/>
              </w:rPr>
              <w:t>）</w:t>
            </w:r>
          </w:p>
          <w:p>
            <w:pPr>
              <w:snapToGrid w:val="0"/>
              <w:spacing w:line="360" w:lineRule="auto"/>
              <w:jc w:val="left"/>
              <w:rPr>
                <w:rFonts w:ascii="宋体" w:hAnsi="宋体"/>
                <w:color w:val="auto"/>
              </w:rPr>
            </w:pPr>
            <w:r>
              <w:rPr>
                <w:rFonts w:hint="eastAsia" w:ascii="宋体" w:hAnsi="宋体" w:cs="宋体"/>
                <w:color w:val="auto"/>
              </w:rPr>
              <w:t>4.供应商财务状况报告：</w:t>
            </w:r>
            <w:r>
              <w:rPr>
                <w:rFonts w:hint="eastAsia" w:ascii="宋体" w:hAnsi="宋体"/>
                <w:color w:val="auto"/>
              </w:rPr>
              <w:t>[2022度财务状况报告复印件或者银行出具的资信证明；供应商属于成立时间在规定年度之后的法人或其他组织，需提供成立之日起至响应文件提交截止时间上一个月的财务状况报告或银行出具的资信证明。（上述财务状况报告包括：供应商执行《企业会计准则》的，提供资产负债表、利润表、现金流量表、所有者权益变动表及其附注（以下称“四表一注”）；供应商执行《小企业会计准则》的，提供资产负债表、利润表、现金流量表及其附注（以下称“三表一注”）；供应商执行《政府会计制度》的，提供资产负债表、收入费用表和净资产变动表及其附注。资信证明应在有效期内，未注明有效期的，银行出具时间至响应文件提交截止时间不超过一年</w:t>
            </w:r>
            <w:r>
              <w:rPr>
                <w:rFonts w:ascii="宋体" w:hAnsi="宋体"/>
                <w:color w:val="auto"/>
              </w:rPr>
              <w:t>)</w:t>
            </w:r>
            <w:r>
              <w:rPr>
                <w:rFonts w:hint="eastAsia" w:ascii="宋体" w:hAnsi="宋体"/>
                <w:color w:val="auto"/>
              </w:rPr>
              <w:t>]（</w:t>
            </w:r>
            <w:r>
              <w:rPr>
                <w:rFonts w:hint="eastAsia" w:ascii="宋体" w:hAnsi="宋体"/>
                <w:b/>
                <w:bCs/>
                <w:color w:val="auto"/>
              </w:rPr>
              <w:t>格式自拟，</w:t>
            </w:r>
            <w:r>
              <w:rPr>
                <w:rFonts w:hint="eastAsia" w:ascii="宋体" w:hAnsi="宋体"/>
                <w:b/>
                <w:color w:val="auto"/>
              </w:rPr>
              <w:t>必须提供，否则作无效</w:t>
            </w:r>
            <w:r>
              <w:rPr>
                <w:rFonts w:hint="eastAsia" w:ascii="宋体" w:hAnsi="宋体"/>
                <w:b/>
                <w:color w:val="auto"/>
                <w:lang w:eastAsia="zh-CN"/>
              </w:rPr>
              <w:t>响应</w:t>
            </w:r>
            <w:r>
              <w:rPr>
                <w:rFonts w:hint="eastAsia" w:ascii="宋体" w:hAnsi="宋体"/>
                <w:b/>
                <w:color w:val="auto"/>
              </w:rPr>
              <w:t>处理</w:t>
            </w:r>
            <w:r>
              <w:rPr>
                <w:rFonts w:hint="eastAsia" w:ascii="宋体" w:hAnsi="宋体"/>
                <w:color w:val="auto"/>
              </w:rPr>
              <w:t>）</w:t>
            </w:r>
          </w:p>
          <w:p>
            <w:pPr>
              <w:snapToGrid w:val="0"/>
              <w:spacing w:line="360" w:lineRule="auto"/>
              <w:jc w:val="left"/>
              <w:rPr>
                <w:rFonts w:ascii="宋体" w:hAnsi="宋体" w:cs="宋体"/>
                <w:color w:val="auto"/>
              </w:rPr>
            </w:pPr>
            <w:r>
              <w:rPr>
                <w:rFonts w:hint="eastAsia" w:ascii="宋体" w:hAnsi="宋体" w:cs="宋体"/>
                <w:color w:val="auto"/>
              </w:rPr>
              <w:t>5.供应商直接控股、管理关系信息表；（</w:t>
            </w:r>
            <w:r>
              <w:rPr>
                <w:rFonts w:hint="eastAsia" w:ascii="宋体" w:hAnsi="宋体" w:cs="宋体"/>
                <w:b/>
                <w:color w:val="auto"/>
              </w:rPr>
              <w:t>必须提供，否则响应文件按无效响应处理</w:t>
            </w:r>
            <w:r>
              <w:rPr>
                <w:rFonts w:hint="eastAsia" w:ascii="宋体" w:hAnsi="宋体" w:cs="宋体"/>
                <w:color w:val="auto"/>
              </w:rPr>
              <w:t>）</w:t>
            </w:r>
          </w:p>
          <w:p>
            <w:pPr>
              <w:snapToGrid w:val="0"/>
              <w:spacing w:line="360" w:lineRule="auto"/>
              <w:jc w:val="left"/>
              <w:rPr>
                <w:rFonts w:ascii="宋体" w:hAnsi="宋体" w:cs="宋体"/>
                <w:color w:val="auto"/>
              </w:rPr>
            </w:pPr>
            <w:r>
              <w:rPr>
                <w:rFonts w:hint="eastAsia" w:ascii="宋体" w:hAnsi="宋体" w:cs="宋体"/>
                <w:color w:val="auto"/>
              </w:rPr>
              <w:t>6.资格声明函；（</w:t>
            </w:r>
            <w:r>
              <w:rPr>
                <w:rFonts w:hint="eastAsia" w:ascii="宋体" w:hAnsi="宋体" w:cs="宋体"/>
                <w:b/>
                <w:color w:val="auto"/>
              </w:rPr>
              <w:t>必须提供，否则响应文件按无效响应处理</w:t>
            </w:r>
            <w:r>
              <w:rPr>
                <w:rFonts w:hint="eastAsia" w:ascii="宋体" w:hAnsi="宋体" w:cs="宋体"/>
                <w:color w:val="auto"/>
              </w:rPr>
              <w:t>）</w:t>
            </w:r>
          </w:p>
          <w:p>
            <w:pPr>
              <w:snapToGrid w:val="0"/>
              <w:spacing w:line="400" w:lineRule="exact"/>
              <w:jc w:val="left"/>
              <w:rPr>
                <w:rFonts w:ascii="宋体" w:hAnsi="宋体" w:cs="宋体"/>
                <w:color w:val="auto"/>
              </w:rPr>
            </w:pPr>
            <w:r>
              <w:rPr>
                <w:rFonts w:ascii="宋体" w:hAnsi="宋体" w:cs="宋体"/>
                <w:color w:val="auto"/>
              </w:rPr>
              <w:t>8</w:t>
            </w:r>
            <w:r>
              <w:rPr>
                <w:rFonts w:hint="eastAsia" w:ascii="宋体" w:hAnsi="宋体" w:cs="宋体"/>
                <w:color w:val="auto"/>
              </w:rPr>
              <w:t>.</w:t>
            </w:r>
            <w:r>
              <w:rPr>
                <w:rFonts w:hint="eastAsia" w:ascii="宋体" w:hAnsi="宋体"/>
                <w:color w:val="auto"/>
              </w:rPr>
              <w:t>特定资格要求及特定条件设置供应商提供的资格证明材料：具备食品药品监督管理部门颁发的有效的证件（中药饮片生产企业具有《药品生产许可证》，并具有相应生产认证范围；中药饮片经营企业具有《药品经营许可证》复印件）；</w:t>
            </w:r>
            <w:r>
              <w:rPr>
                <w:rFonts w:hint="eastAsia" w:ascii="宋体" w:hAnsi="宋体" w:cs="宋体"/>
                <w:b/>
                <w:bCs/>
                <w:color w:val="auto"/>
              </w:rPr>
              <w:t>（必须提供，否则响应文件按无效响应处理）</w:t>
            </w:r>
          </w:p>
          <w:p>
            <w:pPr>
              <w:snapToGrid w:val="0"/>
              <w:spacing w:line="400" w:lineRule="exact"/>
              <w:jc w:val="left"/>
              <w:rPr>
                <w:rFonts w:ascii="宋体" w:hAnsi="宋体" w:cs="宋体"/>
                <w:color w:val="auto"/>
              </w:rPr>
            </w:pPr>
            <w:r>
              <w:rPr>
                <w:rFonts w:hint="eastAsia" w:ascii="宋体" w:hAnsi="宋体" w:cs="宋体"/>
                <w:color w:val="auto"/>
              </w:rPr>
              <w:t>9.除磋商文件规定必须提供以外，供应商认为需要提供的其他证明材料；</w:t>
            </w:r>
          </w:p>
          <w:p>
            <w:pPr>
              <w:snapToGrid w:val="0"/>
              <w:spacing w:line="400" w:lineRule="exact"/>
              <w:jc w:val="left"/>
              <w:rPr>
                <w:rFonts w:ascii="宋体" w:hAnsi="宋体" w:cs="宋体"/>
                <w:b/>
                <w:color w:val="auto"/>
              </w:rPr>
            </w:pPr>
            <w:r>
              <w:rPr>
                <w:rFonts w:hint="eastAsia" w:ascii="宋体" w:hAnsi="宋体" w:cs="宋体"/>
                <w:b/>
                <w:color w:val="auto"/>
              </w:rPr>
              <w:t>注：</w:t>
            </w:r>
          </w:p>
          <w:p>
            <w:pPr>
              <w:snapToGrid w:val="0"/>
              <w:spacing w:line="400" w:lineRule="exact"/>
              <w:jc w:val="left"/>
              <w:rPr>
                <w:rFonts w:ascii="宋体" w:hAnsi="宋体" w:cs="宋体"/>
                <w:b/>
                <w:color w:val="auto"/>
              </w:rPr>
            </w:pPr>
            <w:r>
              <w:rPr>
                <w:rFonts w:hint="eastAsia" w:ascii="宋体" w:hAnsi="宋体" w:cs="宋体"/>
                <w:b/>
                <w:color w:val="auto"/>
              </w:rPr>
              <w:t>1.以上标明“必须提供”的材料属于复印件的，必须加盖供应商</w:t>
            </w:r>
            <w:r>
              <w:rPr>
                <w:rFonts w:hint="eastAsia"/>
                <w:b/>
                <w:color w:val="auto"/>
              </w:rPr>
              <w:t>公章</w:t>
            </w:r>
            <w:r>
              <w:rPr>
                <w:rFonts w:hint="eastAsia" w:ascii="宋体" w:hAnsi="宋体" w:cs="宋体"/>
                <w:b/>
                <w:color w:val="auto"/>
              </w:rPr>
              <w:t>，否则响应文件按无效处理。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12.1.2</w:t>
            </w:r>
          </w:p>
        </w:tc>
        <w:tc>
          <w:tcPr>
            <w:tcW w:w="7912" w:type="dxa"/>
            <w:noWrap/>
            <w:vAlign w:val="center"/>
          </w:tcPr>
          <w:p>
            <w:pPr>
              <w:spacing w:line="400" w:lineRule="exact"/>
              <w:rPr>
                <w:rFonts w:ascii="宋体" w:hAnsi="宋体" w:cs="宋体"/>
                <w:color w:val="auto"/>
              </w:rPr>
            </w:pPr>
            <w:r>
              <w:rPr>
                <w:rFonts w:hint="eastAsia" w:ascii="宋体" w:hAnsi="宋体" w:cs="宋体"/>
                <w:color w:val="auto"/>
              </w:rPr>
              <w:t>报价文件</w:t>
            </w:r>
          </w:p>
          <w:p>
            <w:pPr>
              <w:spacing w:line="400" w:lineRule="exact"/>
              <w:rPr>
                <w:rFonts w:hint="eastAsia" w:ascii="宋体" w:hAnsi="宋体" w:cs="宋体"/>
                <w:color w:val="auto"/>
              </w:rPr>
            </w:pPr>
            <w:r>
              <w:rPr>
                <w:rFonts w:hint="eastAsia" w:ascii="宋体" w:hAnsi="宋体" w:cs="宋体"/>
                <w:color w:val="auto"/>
              </w:rPr>
              <w:t>1.竞标报价表（格式后附）；（</w:t>
            </w:r>
            <w:r>
              <w:rPr>
                <w:rFonts w:hint="eastAsia" w:ascii="宋体" w:hAnsi="宋体" w:cs="宋体"/>
                <w:b/>
                <w:color w:val="auto"/>
              </w:rPr>
              <w:t>必须提供，否则响应文件按无效响应处理</w:t>
            </w:r>
            <w:r>
              <w:rPr>
                <w:rFonts w:hint="eastAsia" w:ascii="宋体" w:hAnsi="宋体" w:cs="宋体"/>
                <w:color w:val="auto"/>
              </w:rPr>
              <w:t>）</w:t>
            </w:r>
          </w:p>
          <w:p>
            <w:pPr>
              <w:spacing w:line="400" w:lineRule="exact"/>
            </w:pPr>
            <w:r>
              <w:rPr>
                <w:rFonts w:hint="eastAsia" w:ascii="宋体" w:hAnsi="宋体" w:cs="宋体"/>
                <w:color w:val="000000"/>
                <w:szCs w:val="21"/>
                <w:lang w:val="en-US" w:eastAsia="zh-CN"/>
              </w:rPr>
              <w:t>2.</w:t>
            </w:r>
            <w:r>
              <w:rPr>
                <w:rFonts w:hint="eastAsia" w:ascii="宋体" w:hAnsi="宋体" w:cs="宋体"/>
                <w:color w:val="000000"/>
                <w:szCs w:val="21"/>
              </w:rPr>
              <w:t>中小企业声明函（格式后附）或残疾人福利性单位声明函（格式后附）或省级以上监狱管理局（或戒毒管理局（含新疆生产建设兵团））出具的属于监狱企业证明文件</w:t>
            </w:r>
            <w:r>
              <w:rPr>
                <w:rFonts w:hint="eastAsia" w:ascii="宋体" w:hAnsi="宋体" w:cs="宋体"/>
                <w:color w:val="000000"/>
                <w:szCs w:val="21"/>
                <w:lang w:eastAsia="zh-CN"/>
              </w:rPr>
              <w:t>；</w:t>
            </w:r>
          </w:p>
          <w:p>
            <w:pPr>
              <w:spacing w:line="400" w:lineRule="exact"/>
              <w:rPr>
                <w:rFonts w:ascii="宋体" w:hAnsi="宋体" w:cs="宋体"/>
                <w:color w:val="auto"/>
              </w:rPr>
            </w:pPr>
            <w:r>
              <w:rPr>
                <w:rFonts w:hint="eastAsia" w:ascii="宋体" w:hAnsi="宋体" w:cs="宋体"/>
                <w:color w:val="auto"/>
                <w:lang w:val="en-US" w:eastAsia="zh-CN"/>
              </w:rPr>
              <w:t>3</w:t>
            </w:r>
            <w:r>
              <w:rPr>
                <w:rFonts w:hint="eastAsia" w:ascii="宋体" w:hAnsi="宋体" w:cs="宋体"/>
                <w:color w:val="auto"/>
              </w:rPr>
              <w:t>.供应商认为需要提供的其他有关资料。</w:t>
            </w:r>
          </w:p>
          <w:p>
            <w:pPr>
              <w:spacing w:line="400" w:lineRule="exact"/>
              <w:rPr>
                <w:rFonts w:ascii="宋体" w:hAnsi="宋体" w:cs="宋体"/>
                <w:color w:val="auto"/>
              </w:rPr>
            </w:pPr>
            <w:r>
              <w:rPr>
                <w:rFonts w:hint="eastAsia" w:ascii="宋体" w:hAnsi="宋体"/>
                <w:b/>
                <w:bCs/>
                <w:color w:val="auto"/>
              </w:rPr>
              <w:t>注：竞标报价表必须由法定代表人或者委托代理人在规定处逐一签字并加盖</w:t>
            </w:r>
            <w:r>
              <w:rPr>
                <w:rFonts w:hint="eastAsia" w:ascii="宋体" w:hAnsi="宋体" w:cs="宋体"/>
                <w:b/>
                <w:color w:val="auto"/>
              </w:rPr>
              <w:t>供应商</w:t>
            </w:r>
            <w:r>
              <w:rPr>
                <w:rFonts w:hint="eastAsia" w:ascii="宋体" w:hAnsi="宋体"/>
                <w:b/>
                <w:bCs/>
                <w:color w:val="auto"/>
              </w:rPr>
              <w:t>公章，</w:t>
            </w:r>
            <w:r>
              <w:rPr>
                <w:rFonts w:hint="eastAsia" w:ascii="宋体" w:hAnsi="宋体" w:cs="宋体"/>
                <w:b/>
                <w:color w:val="auto"/>
              </w:rPr>
              <w:t>否则响应文件按无效响应处理。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12.</w:t>
            </w:r>
            <w:r>
              <w:rPr>
                <w:rFonts w:ascii="宋体" w:hAnsi="宋体" w:cs="宋体"/>
                <w:color w:val="auto"/>
              </w:rPr>
              <w:t>1</w:t>
            </w:r>
            <w:r>
              <w:rPr>
                <w:rFonts w:hint="eastAsia" w:ascii="宋体" w:hAnsi="宋体" w:cs="宋体"/>
                <w:color w:val="auto"/>
              </w:rPr>
              <w:t>.3</w:t>
            </w:r>
          </w:p>
        </w:tc>
        <w:tc>
          <w:tcPr>
            <w:tcW w:w="7912" w:type="dxa"/>
            <w:noWrap/>
            <w:vAlign w:val="center"/>
          </w:tcPr>
          <w:p>
            <w:pPr>
              <w:spacing w:line="400" w:lineRule="exact"/>
              <w:rPr>
                <w:rFonts w:ascii="宋体" w:hAnsi="宋体" w:cs="宋体"/>
                <w:b/>
                <w:bCs/>
                <w:color w:val="auto"/>
              </w:rPr>
            </w:pPr>
            <w:r>
              <w:rPr>
                <w:rFonts w:hint="eastAsia" w:ascii="宋体" w:hAnsi="宋体" w:cs="宋体"/>
                <w:b/>
                <w:bCs/>
                <w:color w:val="auto"/>
              </w:rPr>
              <w:t>商务技术文件</w:t>
            </w:r>
          </w:p>
          <w:p>
            <w:pPr>
              <w:spacing w:line="400" w:lineRule="exact"/>
              <w:rPr>
                <w:rFonts w:ascii="宋体" w:hAnsi="宋体" w:cs="宋体"/>
                <w:color w:val="auto"/>
              </w:rPr>
            </w:pPr>
            <w:r>
              <w:rPr>
                <w:rFonts w:hint="eastAsia" w:ascii="宋体" w:hAnsi="宋体" w:cs="宋体"/>
                <w:color w:val="auto"/>
              </w:rPr>
              <w:t>1.无串通竞标行为的承诺函（格式后附）；（</w:t>
            </w:r>
            <w:r>
              <w:rPr>
                <w:rFonts w:hint="eastAsia" w:ascii="宋体" w:hAnsi="宋体" w:cs="宋体"/>
                <w:b/>
                <w:color w:val="auto"/>
              </w:rPr>
              <w:t>必须提供，否则响应文件按无效响应处理</w:t>
            </w:r>
            <w:r>
              <w:rPr>
                <w:rFonts w:hint="eastAsia" w:ascii="宋体" w:hAnsi="宋体" w:cs="宋体"/>
                <w:color w:val="auto"/>
              </w:rPr>
              <w:t>）</w:t>
            </w:r>
          </w:p>
          <w:p>
            <w:pPr>
              <w:snapToGrid w:val="0"/>
              <w:spacing w:line="400" w:lineRule="exact"/>
              <w:jc w:val="left"/>
              <w:rPr>
                <w:rFonts w:ascii="宋体" w:hAnsi="宋体" w:cs="宋体"/>
                <w:color w:val="auto"/>
              </w:rPr>
            </w:pPr>
            <w:r>
              <w:rPr>
                <w:rFonts w:hint="eastAsia" w:ascii="宋体" w:hAnsi="宋体" w:cs="宋体"/>
                <w:color w:val="auto"/>
              </w:rPr>
              <w:t>2.法定代表人身份证明书及法定代表人有效身份证正反面复印件（格式后附）；（</w:t>
            </w:r>
            <w:r>
              <w:rPr>
                <w:rFonts w:hint="eastAsia" w:ascii="宋体" w:hAnsi="宋体" w:cs="宋体"/>
                <w:b/>
                <w:bCs/>
                <w:color w:val="auto"/>
              </w:rPr>
              <w:t>除自然人竞标外</w:t>
            </w:r>
            <w:r>
              <w:rPr>
                <w:rFonts w:hint="eastAsia" w:ascii="宋体" w:hAnsi="宋体" w:cs="宋体"/>
                <w:b/>
                <w:color w:val="auto"/>
              </w:rPr>
              <w:t>必须提供，否则响应文件按无效响应处理</w:t>
            </w:r>
            <w:r>
              <w:rPr>
                <w:rFonts w:hint="eastAsia" w:ascii="宋体" w:hAnsi="宋体" w:cs="宋体"/>
                <w:color w:val="auto"/>
              </w:rPr>
              <w:t>）</w:t>
            </w:r>
          </w:p>
          <w:p>
            <w:pPr>
              <w:spacing w:line="400" w:lineRule="exact"/>
              <w:rPr>
                <w:rFonts w:ascii="宋体" w:hAnsi="宋体" w:cs="宋体"/>
                <w:b/>
                <w:color w:val="auto"/>
              </w:rPr>
            </w:pPr>
            <w:r>
              <w:rPr>
                <w:rFonts w:hint="eastAsia" w:ascii="宋体" w:hAnsi="宋体" w:cs="宋体"/>
                <w:color w:val="auto"/>
              </w:rPr>
              <w:t>3.授权委托书及委托代理人有效身份证正反面复印件（格式后附）；（</w:t>
            </w:r>
            <w:r>
              <w:rPr>
                <w:rFonts w:hint="eastAsia" w:ascii="宋体" w:hAnsi="宋体" w:cs="宋体"/>
                <w:b/>
                <w:color w:val="auto"/>
              </w:rPr>
              <w:t>委托时必须提供，否则响应文件按无效响应处理</w:t>
            </w:r>
            <w:r>
              <w:rPr>
                <w:rFonts w:hint="eastAsia" w:ascii="宋体" w:hAnsi="宋体" w:cs="宋体"/>
                <w:color w:val="auto"/>
              </w:rPr>
              <w:t>）</w:t>
            </w:r>
          </w:p>
          <w:p>
            <w:pPr>
              <w:spacing w:line="400" w:lineRule="exact"/>
              <w:rPr>
                <w:rFonts w:ascii="宋体" w:hAnsi="宋体" w:cs="宋体"/>
                <w:color w:val="auto"/>
              </w:rPr>
            </w:pPr>
            <w:r>
              <w:rPr>
                <w:rFonts w:hint="eastAsia" w:ascii="宋体" w:hAnsi="宋体" w:cs="宋体"/>
                <w:color w:val="auto"/>
              </w:rPr>
              <w:t>4.磋商保证金提交凭证；（</w:t>
            </w:r>
            <w:r>
              <w:rPr>
                <w:rFonts w:hint="eastAsia"/>
                <w:b/>
                <w:bCs/>
                <w:color w:val="auto"/>
              </w:rPr>
              <w:t>如要求提交磋商保证金的则必须提供</w:t>
            </w:r>
            <w:r>
              <w:rPr>
                <w:rFonts w:hint="eastAsia" w:ascii="宋体" w:hAnsi="宋体" w:cs="宋体"/>
                <w:b/>
                <w:color w:val="auto"/>
              </w:rPr>
              <w:t>，否则响应文件按无效响应处理</w:t>
            </w:r>
            <w:r>
              <w:rPr>
                <w:rFonts w:hint="eastAsia" w:ascii="宋体" w:hAnsi="宋体" w:cs="宋体"/>
                <w:color w:val="auto"/>
              </w:rPr>
              <w:t>）</w:t>
            </w:r>
          </w:p>
          <w:p>
            <w:pPr>
              <w:spacing w:line="400" w:lineRule="exact"/>
              <w:rPr>
                <w:rFonts w:ascii="宋体" w:hAnsi="宋体" w:cs="宋体"/>
                <w:color w:val="auto"/>
              </w:rPr>
            </w:pPr>
            <w:r>
              <w:rPr>
                <w:rFonts w:hint="eastAsia" w:ascii="宋体" w:hAnsi="宋体" w:cs="宋体"/>
                <w:color w:val="auto"/>
              </w:rPr>
              <w:t>5.商务要求偏离表（格式后附）；（</w:t>
            </w:r>
            <w:r>
              <w:rPr>
                <w:rFonts w:hint="eastAsia" w:ascii="宋体" w:hAnsi="宋体" w:cs="宋体"/>
                <w:b/>
                <w:color w:val="auto"/>
              </w:rPr>
              <w:t>必须提供，否则响应文件按无效响应处理</w:t>
            </w:r>
            <w:r>
              <w:rPr>
                <w:rFonts w:hint="eastAsia" w:ascii="宋体" w:hAnsi="宋体" w:cs="宋体"/>
                <w:color w:val="auto"/>
              </w:rPr>
              <w:t>）</w:t>
            </w:r>
          </w:p>
          <w:p>
            <w:pPr>
              <w:spacing w:line="400" w:lineRule="exact"/>
              <w:rPr>
                <w:rFonts w:ascii="宋体" w:hAnsi="宋体" w:cs="宋体"/>
                <w:color w:val="auto"/>
              </w:rPr>
            </w:pPr>
            <w:r>
              <w:rPr>
                <w:rFonts w:hint="eastAsia" w:ascii="宋体" w:hAnsi="宋体" w:cs="宋体"/>
                <w:color w:val="auto"/>
              </w:rPr>
              <w:t>6.售后服务承诺</w:t>
            </w:r>
            <w:r>
              <w:rPr>
                <w:rFonts w:hint="eastAsia" w:ascii="宋体" w:hAnsi="宋体"/>
                <w:color w:val="auto"/>
              </w:rPr>
              <w:t>（格式自拟）</w:t>
            </w:r>
            <w:r>
              <w:rPr>
                <w:rFonts w:hint="eastAsia" w:ascii="宋体" w:hAnsi="宋体" w:cs="宋体"/>
                <w:color w:val="auto"/>
              </w:rPr>
              <w:t>；（</w:t>
            </w:r>
            <w:r>
              <w:rPr>
                <w:rFonts w:hint="eastAsia" w:ascii="宋体" w:hAnsi="宋体" w:cs="宋体"/>
                <w:b/>
                <w:color w:val="auto"/>
              </w:rPr>
              <w:t>必须提供，否则响应文件按无效响应处理</w:t>
            </w:r>
            <w:r>
              <w:rPr>
                <w:rFonts w:hint="eastAsia" w:ascii="宋体" w:hAnsi="宋体" w:cs="宋体"/>
                <w:color w:val="auto"/>
              </w:rPr>
              <w:t>）</w:t>
            </w:r>
          </w:p>
          <w:p>
            <w:pPr>
              <w:spacing w:line="400" w:lineRule="exact"/>
              <w:rPr>
                <w:rFonts w:ascii="宋体" w:hAnsi="宋体" w:cs="宋体"/>
                <w:color w:val="auto"/>
              </w:rPr>
            </w:pPr>
            <w:r>
              <w:rPr>
                <w:rFonts w:hint="eastAsia" w:ascii="宋体" w:hAnsi="宋体" w:cs="宋体"/>
                <w:color w:val="auto"/>
              </w:rPr>
              <w:t>7.技术要求偏离表（格式后附）；（</w:t>
            </w:r>
            <w:r>
              <w:rPr>
                <w:rFonts w:hint="eastAsia" w:ascii="宋体" w:hAnsi="宋体" w:cs="宋体"/>
                <w:b/>
                <w:color w:val="auto"/>
              </w:rPr>
              <w:t>必须提供，否则响应文件按无效响应处理</w:t>
            </w:r>
            <w:r>
              <w:rPr>
                <w:rFonts w:hint="eastAsia" w:ascii="宋体" w:hAnsi="宋体" w:cs="宋体"/>
                <w:color w:val="auto"/>
              </w:rPr>
              <w:t>）</w:t>
            </w:r>
          </w:p>
          <w:p>
            <w:pPr>
              <w:spacing w:line="400" w:lineRule="exact"/>
              <w:rPr>
                <w:rFonts w:ascii="宋体" w:hAnsi="宋体" w:cs="宋体"/>
                <w:color w:val="auto"/>
              </w:rPr>
            </w:pPr>
            <w:r>
              <w:rPr>
                <w:rFonts w:hint="eastAsia" w:ascii="宋体" w:hAnsi="宋体" w:cs="宋体"/>
                <w:color w:val="auto"/>
              </w:rPr>
              <w:t>8</w:t>
            </w:r>
            <w:r>
              <w:rPr>
                <w:rFonts w:ascii="宋体" w:hAnsi="宋体" w:cs="宋体"/>
                <w:color w:val="auto"/>
              </w:rPr>
              <w:t>.</w:t>
            </w:r>
            <w:r>
              <w:rPr>
                <w:rFonts w:hint="eastAsia" w:ascii="宋体" w:hAnsi="宋体" w:cs="宋体"/>
                <w:color w:val="auto"/>
              </w:rPr>
              <w:t>货物配置清单（格式后附）；（</w:t>
            </w:r>
            <w:r>
              <w:rPr>
                <w:rFonts w:hint="eastAsia" w:ascii="宋体" w:hAnsi="宋体" w:cs="宋体"/>
                <w:b/>
                <w:color w:val="auto"/>
              </w:rPr>
              <w:t>必须提供，否则响应文件按无效响应处理</w:t>
            </w:r>
            <w:r>
              <w:rPr>
                <w:rFonts w:hint="eastAsia" w:ascii="宋体" w:hAnsi="宋体" w:cs="宋体"/>
                <w:color w:val="auto"/>
              </w:rPr>
              <w:t>）</w:t>
            </w:r>
          </w:p>
          <w:p>
            <w:pPr>
              <w:spacing w:line="400" w:lineRule="exact"/>
              <w:rPr>
                <w:rFonts w:ascii="宋体" w:hAnsi="宋体" w:cs="宋体"/>
                <w:color w:val="auto"/>
              </w:rPr>
            </w:pPr>
            <w:r>
              <w:rPr>
                <w:rFonts w:hint="eastAsia" w:ascii="宋体" w:hAnsi="宋体"/>
                <w:color w:val="auto"/>
              </w:rPr>
              <w:t>9</w:t>
            </w:r>
            <w:r>
              <w:rPr>
                <w:rFonts w:ascii="宋体" w:hAnsi="宋体"/>
                <w:color w:val="auto"/>
              </w:rPr>
              <w:t>.</w:t>
            </w:r>
            <w:r>
              <w:rPr>
                <w:rFonts w:hint="eastAsia" w:ascii="宋体" w:hAnsi="宋体"/>
                <w:color w:val="auto"/>
              </w:rPr>
              <w:t>项目实施方案（格式自拟）【可以是：质量控制方案】；</w:t>
            </w:r>
          </w:p>
          <w:p>
            <w:pPr>
              <w:spacing w:line="400" w:lineRule="exact"/>
              <w:rPr>
                <w:rFonts w:ascii="宋体" w:hAnsi="宋体" w:cs="宋体"/>
                <w:color w:val="auto"/>
              </w:rPr>
            </w:pPr>
            <w:r>
              <w:rPr>
                <w:rFonts w:hint="eastAsia" w:ascii="宋体" w:hAnsi="宋体" w:cs="宋体"/>
                <w:color w:val="auto"/>
              </w:rPr>
              <w:t>10.对应采购需求的技术要求、商务要求提供的其他文件资料</w:t>
            </w:r>
            <w:r>
              <w:rPr>
                <w:rFonts w:hint="eastAsia" w:ascii="宋体" w:hAnsi="宋体"/>
                <w:color w:val="auto"/>
              </w:rPr>
              <w:t>（格式自拟）</w:t>
            </w:r>
            <w:r>
              <w:rPr>
                <w:rFonts w:hint="eastAsia" w:ascii="宋体" w:hAnsi="宋体" w:cs="宋体"/>
                <w:color w:val="auto"/>
              </w:rPr>
              <w:t>；</w:t>
            </w:r>
          </w:p>
          <w:p>
            <w:pPr>
              <w:spacing w:line="400" w:lineRule="exact"/>
              <w:rPr>
                <w:rFonts w:ascii="宋体" w:hAnsi="宋体" w:cs="宋体"/>
                <w:color w:val="auto"/>
              </w:rPr>
            </w:pPr>
            <w:r>
              <w:rPr>
                <w:rFonts w:ascii="宋体" w:hAnsi="宋体" w:cs="宋体"/>
                <w:color w:val="auto"/>
              </w:rPr>
              <w:t>1</w:t>
            </w:r>
            <w:r>
              <w:rPr>
                <w:rFonts w:hint="eastAsia" w:ascii="宋体" w:hAnsi="宋体" w:cs="宋体"/>
                <w:color w:val="auto"/>
              </w:rPr>
              <w:t>1.供应商认为需要提供的其他有关资料。</w:t>
            </w:r>
          </w:p>
          <w:p>
            <w:pPr>
              <w:snapToGrid w:val="0"/>
              <w:spacing w:line="400" w:lineRule="exact"/>
              <w:jc w:val="left"/>
              <w:rPr>
                <w:rFonts w:ascii="宋体" w:hAnsi="宋体" w:cs="宋体"/>
                <w:b/>
                <w:color w:val="auto"/>
              </w:rPr>
            </w:pPr>
            <w:r>
              <w:rPr>
                <w:rFonts w:hint="eastAsia" w:ascii="宋体" w:hAnsi="宋体" w:cs="宋体"/>
                <w:b/>
                <w:color w:val="auto"/>
              </w:rPr>
              <w:t>注：以上标明“必须提供”的材料属于复印件的，必须加盖供应商</w:t>
            </w:r>
            <w:r>
              <w:rPr>
                <w:rFonts w:hint="eastAsia" w:ascii="宋体" w:hAnsi="宋体"/>
                <w:b/>
                <w:bCs/>
                <w:color w:val="auto"/>
              </w:rPr>
              <w:t>公章</w:t>
            </w:r>
            <w:r>
              <w:rPr>
                <w:rFonts w:hint="eastAsia" w:ascii="宋体" w:hAnsi="宋体" w:cs="宋体"/>
                <w:b/>
                <w:color w:val="auto"/>
              </w:rPr>
              <w:t>，否则响应文件按无效响应处理。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15.2</w:t>
            </w:r>
          </w:p>
        </w:tc>
        <w:tc>
          <w:tcPr>
            <w:tcW w:w="7912" w:type="dxa"/>
            <w:noWrap/>
            <w:vAlign w:val="center"/>
          </w:tcPr>
          <w:p>
            <w:pPr>
              <w:snapToGrid w:val="0"/>
              <w:spacing w:line="400" w:lineRule="exact"/>
              <w:rPr>
                <w:rFonts w:ascii="宋体" w:hAnsi="宋体"/>
                <w:color w:val="auto"/>
              </w:rPr>
            </w:pPr>
            <w:r>
              <w:rPr>
                <w:rFonts w:hint="eastAsia" w:ascii="宋体" w:hAnsi="宋体"/>
                <w:color w:val="auto"/>
              </w:rPr>
              <w:t>竞标报价包括（但不限于）货款、标准附件、备品备件、专用工具、包装、运输、装卸、保险、税金、货到就位以及安装、调试、培训、保修等一切税金和费用。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16.</w:t>
            </w:r>
            <w:r>
              <w:rPr>
                <w:rFonts w:ascii="宋体" w:hAnsi="宋体" w:cs="宋体"/>
                <w:color w:val="auto"/>
              </w:rPr>
              <w:t>2</w:t>
            </w:r>
          </w:p>
        </w:tc>
        <w:tc>
          <w:tcPr>
            <w:tcW w:w="7912" w:type="dxa"/>
            <w:noWrap/>
            <w:vAlign w:val="center"/>
          </w:tcPr>
          <w:p>
            <w:pPr>
              <w:pStyle w:val="16"/>
              <w:tabs>
                <w:tab w:val="left" w:pos="720"/>
                <w:tab w:val="left" w:pos="840"/>
              </w:tabs>
              <w:snapToGrid w:val="0"/>
              <w:spacing w:line="400" w:lineRule="exact"/>
              <w:ind w:left="283" w:hanging="283" w:hangingChars="135"/>
              <w:rPr>
                <w:rFonts w:ascii="宋体" w:hAnsi="宋体" w:cs="宋体"/>
                <w:color w:val="auto"/>
              </w:rPr>
            </w:pPr>
            <w:r>
              <w:rPr>
                <w:rFonts w:hint="eastAsia" w:ascii="宋体" w:hAnsi="宋体" w:cs="宋体"/>
                <w:color w:val="auto"/>
              </w:rPr>
              <w:t>竞标有效期：自首次响应文件提交截止之日起</w:t>
            </w:r>
            <w:r>
              <w:rPr>
                <w:rFonts w:hint="eastAsia" w:ascii="宋体" w:hAnsi="宋体" w:cs="宋体"/>
                <w:color w:val="auto"/>
                <w:u w:val="single"/>
              </w:rPr>
              <w:t>120</w:t>
            </w:r>
            <w:r>
              <w:rPr>
                <w:rFonts w:hint="eastAsia" w:ascii="宋体" w:hAnsi="宋体" w:cs="宋体"/>
                <w:color w:val="auto"/>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17.1</w:t>
            </w:r>
          </w:p>
        </w:tc>
        <w:tc>
          <w:tcPr>
            <w:tcW w:w="7912" w:type="dxa"/>
            <w:noWrap/>
            <w:vAlign w:val="center"/>
          </w:tcPr>
          <w:p>
            <w:pPr>
              <w:autoSpaceDE w:val="0"/>
              <w:autoSpaceDN w:val="0"/>
              <w:snapToGrid w:val="0"/>
              <w:spacing w:line="400" w:lineRule="exact"/>
              <w:textAlignment w:val="bottom"/>
              <w:rPr>
                <w:rFonts w:ascii="宋体" w:hAnsi="宋体"/>
                <w:color w:val="auto"/>
              </w:rPr>
            </w:pPr>
            <w:r>
              <w:rPr>
                <w:rFonts w:hint="eastAsia" w:ascii="宋体" w:hAnsi="宋体"/>
                <w:color w:val="auto"/>
              </w:rPr>
              <w:t>□本项目不收取磋商保证金。</w:t>
            </w:r>
          </w:p>
          <w:p>
            <w:pPr>
              <w:snapToGrid w:val="0"/>
              <w:spacing w:line="400" w:lineRule="exact"/>
              <w:rPr>
                <w:rFonts w:ascii="宋体" w:hAnsi="宋体"/>
                <w:color w:val="auto"/>
              </w:rPr>
            </w:pPr>
            <w:r>
              <w:rPr>
                <w:rFonts w:hint="eastAsia" w:ascii="宋体" w:hAnsi="宋体"/>
                <w:color w:val="auto"/>
              </w:rPr>
              <w:t>☑本项目收取磋商保证金，具体规定如下：</w:t>
            </w:r>
          </w:p>
          <w:p>
            <w:pPr>
              <w:spacing w:line="400" w:lineRule="exact"/>
              <w:rPr>
                <w:rFonts w:ascii="宋体" w:hAnsi="宋体" w:cs="宋体"/>
                <w:color w:val="auto"/>
                <w:kern w:val="0"/>
              </w:rPr>
            </w:pPr>
            <w:r>
              <w:rPr>
                <w:rFonts w:hint="eastAsia" w:ascii="宋体" w:hAnsi="宋体" w:cs="宋体"/>
                <w:color w:val="auto"/>
                <w:kern w:val="0"/>
              </w:rPr>
              <w:t>磋商保证金人民币捌仟元整（¥8000.00）(必须足额交纳)。</w:t>
            </w:r>
          </w:p>
          <w:p>
            <w:pPr>
              <w:snapToGrid w:val="0"/>
              <w:spacing w:line="400" w:lineRule="exact"/>
              <w:rPr>
                <w:rFonts w:ascii="宋体" w:hAnsi="宋体"/>
                <w:color w:val="auto"/>
              </w:rPr>
            </w:pPr>
            <w:r>
              <w:rPr>
                <w:rFonts w:hint="eastAsia" w:ascii="宋体" w:hAnsi="宋体" w:cs="宋体"/>
                <w:color w:val="auto"/>
                <w:kern w:val="0"/>
              </w:rPr>
              <w:t>磋商保证金的交纳方式：支票、汇票、本票、网上银行或者银行、保险机构出具的保函等非现金形式。采用网上银行转账形式的，磋商供应商应于提交磋商响应文件截止时间前将磋商保证金交至以下账户：开户名称：华夏城投项目管理有限公司广西分公司；开户银行：中国建设银行股份有限公司南宁五象支行；银行账号：4505 0160 5001 0000 0030；采用支票、汇票、本票或者保函等形式的，磋商供应商应于提交磋商响应文件截止时间前递交单独密封的支票、汇票、本票或者保函原件至我公司。</w:t>
            </w:r>
          </w:p>
          <w:p>
            <w:pPr>
              <w:snapToGrid w:val="0"/>
              <w:spacing w:line="400" w:lineRule="exact"/>
              <w:rPr>
                <w:rFonts w:ascii="宋体" w:hAnsi="宋体" w:cs="宋体"/>
                <w:color w:val="auto"/>
              </w:rPr>
            </w:pPr>
            <w:r>
              <w:rPr>
                <w:rFonts w:hint="eastAsia" w:ascii="宋体" w:hAnsi="宋体" w:cs="宋体"/>
                <w:color w:val="auto"/>
              </w:rPr>
              <w:t>相关要求：</w:t>
            </w:r>
          </w:p>
          <w:p>
            <w:pPr>
              <w:snapToGrid w:val="0"/>
              <w:spacing w:line="400" w:lineRule="exact"/>
              <w:rPr>
                <w:rFonts w:ascii="宋体" w:hAnsi="宋体" w:cs="宋体"/>
                <w:color w:val="auto"/>
              </w:rPr>
            </w:pPr>
            <w:r>
              <w:rPr>
                <w:rFonts w:hint="eastAsia" w:ascii="宋体" w:hAnsi="宋体" w:cs="宋体"/>
                <w:color w:val="auto"/>
              </w:rPr>
              <w:t>1.磋商保证金采用银行转账交纳方式的，在响应文件提交截止时间前交至指定账户并且到账，供应商应将银行转账底单的复印件作为磋商保证金提交凭证，放置于商务技术文件中，</w:t>
            </w:r>
            <w:r>
              <w:rPr>
                <w:rFonts w:hint="eastAsia" w:ascii="宋体" w:hAnsi="宋体" w:cs="宋体"/>
                <w:b/>
                <w:color w:val="auto"/>
              </w:rPr>
              <w:t>否则响应文件按无效响应处理</w:t>
            </w:r>
            <w:r>
              <w:rPr>
                <w:rFonts w:hint="eastAsia" w:ascii="宋体" w:hAnsi="宋体" w:cs="宋体"/>
                <w:color w:val="auto"/>
              </w:rPr>
              <w:t>。</w:t>
            </w:r>
          </w:p>
          <w:p>
            <w:pPr>
              <w:snapToGrid w:val="0"/>
              <w:spacing w:line="400" w:lineRule="exact"/>
              <w:rPr>
                <w:rFonts w:ascii="宋体" w:hAnsi="宋体"/>
                <w:color w:val="auto"/>
              </w:rPr>
            </w:pPr>
            <w:r>
              <w:rPr>
                <w:rFonts w:hint="eastAsia" w:ascii="宋体" w:hAnsi="宋体"/>
                <w:color w:val="auto"/>
              </w:rPr>
              <w:t>2.磋商保证金采用支票、汇票、本票或者银行、保险机构出具的保函交纳方式的，供应商应将支票、汇票、本票或者银行、保险机构出具的保函的复印件作为磋商保证金提交凭证，放置于</w:t>
            </w:r>
            <w:r>
              <w:rPr>
                <w:rFonts w:hint="eastAsia" w:ascii="宋体" w:hAnsi="宋体" w:cs="宋体"/>
                <w:color w:val="auto"/>
              </w:rPr>
              <w:t>商务技术文件</w:t>
            </w:r>
            <w:r>
              <w:rPr>
                <w:rFonts w:hint="eastAsia" w:ascii="宋体" w:hAnsi="宋体"/>
                <w:color w:val="auto"/>
              </w:rPr>
              <w:t>中，</w:t>
            </w:r>
            <w:r>
              <w:rPr>
                <w:rFonts w:hint="eastAsia" w:ascii="宋体" w:hAnsi="宋体" w:cs="宋体"/>
                <w:b/>
                <w:color w:val="auto"/>
              </w:rPr>
              <w:t>否则响应文件按无效处理</w:t>
            </w:r>
            <w:r>
              <w:rPr>
                <w:rFonts w:hint="eastAsia" w:ascii="宋体" w:hAnsi="宋体"/>
                <w:color w:val="auto"/>
              </w:rPr>
              <w:t>。供应商必须</w:t>
            </w:r>
            <w:r>
              <w:rPr>
                <w:rFonts w:hint="eastAsia"/>
                <w:color w:val="auto"/>
              </w:rPr>
              <w:t>在响应文件提交截止时间前</w:t>
            </w:r>
            <w:r>
              <w:rPr>
                <w:rFonts w:hint="eastAsia" w:ascii="宋体" w:hAnsi="宋体"/>
                <w:color w:val="auto"/>
              </w:rPr>
              <w:t>将</w:t>
            </w:r>
            <w:r>
              <w:rPr>
                <w:rFonts w:hint="eastAsia" w:ascii="宋体" w:hAnsi="宋体" w:cs="宋体"/>
                <w:color w:val="auto"/>
                <w:kern w:val="0"/>
              </w:rPr>
              <w:t>单独密封的</w:t>
            </w:r>
            <w:r>
              <w:rPr>
                <w:rFonts w:hint="eastAsia" w:ascii="宋体" w:hAnsi="宋体"/>
                <w:color w:val="auto"/>
              </w:rPr>
              <w:t>支票、汇票、本票或者银行、保险机构出具的保函原件提交采购代理机构，由采购代理机构向供应商出具回执，并妥善保管。</w:t>
            </w:r>
          </w:p>
          <w:p>
            <w:pPr>
              <w:snapToGrid w:val="0"/>
              <w:spacing w:line="400" w:lineRule="exact"/>
              <w:rPr>
                <w:rFonts w:ascii="宋体" w:hAnsi="宋体" w:cs="宋体"/>
                <w:b/>
                <w:color w:val="auto"/>
              </w:rPr>
            </w:pPr>
            <w:r>
              <w:rPr>
                <w:rFonts w:hint="eastAsia" w:ascii="宋体" w:hAnsi="宋体" w:cs="宋体"/>
                <w:color w:val="auto"/>
              </w:rPr>
              <w:t>3.供应商为联合体的，可以由联合体中的一方或者多方共同交纳磋商保证金，其交纳的保证金对联合体各方均具有约束力。</w:t>
            </w:r>
          </w:p>
          <w:p>
            <w:pPr>
              <w:snapToGrid w:val="0"/>
              <w:spacing w:line="400" w:lineRule="exact"/>
              <w:rPr>
                <w:rFonts w:ascii="宋体" w:hAnsi="宋体" w:cs="宋体"/>
                <w:b/>
                <w:color w:val="auto"/>
              </w:rPr>
            </w:pPr>
            <w:r>
              <w:rPr>
                <w:rFonts w:hint="eastAsia" w:ascii="宋体" w:hAnsi="宋体" w:cs="宋体"/>
                <w:b/>
                <w:color w:val="auto"/>
              </w:rPr>
              <w:t xml:space="preserve">备注： </w:t>
            </w:r>
          </w:p>
          <w:p>
            <w:pPr>
              <w:snapToGrid w:val="0"/>
              <w:spacing w:line="400" w:lineRule="exact"/>
              <w:rPr>
                <w:rFonts w:ascii="宋体" w:hAnsi="宋体" w:cs="宋体"/>
                <w:b/>
                <w:color w:val="auto"/>
              </w:rPr>
            </w:pPr>
            <w:r>
              <w:rPr>
                <w:rFonts w:hint="eastAsia" w:ascii="宋体" w:hAnsi="宋体" w:cs="宋体"/>
                <w:b/>
                <w:color w:val="auto"/>
              </w:rPr>
              <w:t>1.磋商保证金在响应文件提交截止时间后提交的，或者不按规定交纳方式交纳的，或者未足额交纳的（包含保函额度不足的），视为无效磋商保证金。</w:t>
            </w:r>
          </w:p>
          <w:p>
            <w:pPr>
              <w:snapToGrid w:val="0"/>
              <w:spacing w:line="400" w:lineRule="exact"/>
              <w:rPr>
                <w:rFonts w:ascii="宋体" w:hAnsi="宋体" w:cs="宋体"/>
                <w:b/>
                <w:color w:val="auto"/>
              </w:rPr>
            </w:pPr>
            <w:r>
              <w:rPr>
                <w:rFonts w:hint="eastAsia" w:ascii="宋体" w:hAnsi="宋体" w:cs="宋体"/>
                <w:b/>
                <w:color w:val="auto"/>
              </w:rPr>
              <w:t>2.供应商采用现钞方式或者从个人账户（自然人竞标除外）转出的磋商保证金，视为无效磋商保证金。</w:t>
            </w:r>
          </w:p>
          <w:p>
            <w:pPr>
              <w:snapToGrid w:val="0"/>
              <w:spacing w:line="400" w:lineRule="exact"/>
              <w:rPr>
                <w:rFonts w:ascii="宋体" w:hAnsi="宋体" w:cs="宋体"/>
                <w:b/>
                <w:color w:val="auto"/>
              </w:rPr>
            </w:pPr>
            <w:r>
              <w:rPr>
                <w:rFonts w:hint="eastAsia" w:ascii="宋体" w:hAnsi="宋体" w:cs="宋体"/>
                <w:b/>
                <w:color w:val="auto"/>
              </w:rPr>
              <w:t>3.支票、汇票或者本票出现无效或者背书情形的，视为无效磋商保证金。</w:t>
            </w:r>
          </w:p>
          <w:p>
            <w:pPr>
              <w:snapToGrid w:val="0"/>
              <w:spacing w:line="400" w:lineRule="exact"/>
              <w:rPr>
                <w:rFonts w:ascii="宋体" w:hAnsi="宋体" w:cs="宋体"/>
                <w:b/>
                <w:color w:val="auto"/>
              </w:rPr>
            </w:pPr>
            <w:r>
              <w:rPr>
                <w:rFonts w:hint="eastAsia" w:ascii="宋体" w:hAnsi="宋体" w:cs="宋体"/>
                <w:b/>
                <w:color w:val="auto"/>
              </w:rPr>
              <w:t>4.保函有效期低于竞标有效期的，视为无效磋商保证金。</w:t>
            </w:r>
          </w:p>
          <w:p>
            <w:pPr>
              <w:snapToGrid w:val="0"/>
              <w:spacing w:line="400" w:lineRule="exact"/>
              <w:rPr>
                <w:color w:val="auto"/>
              </w:rPr>
            </w:pPr>
            <w:r>
              <w:rPr>
                <w:rFonts w:hint="eastAsia" w:ascii="宋体" w:hAnsi="宋体" w:cs="宋体"/>
                <w:b/>
                <w:color w:val="auto"/>
              </w:rPr>
              <w:t>5.采用银行、保险机构出具保函的，必须为无条件保函，否则视为无效磋商保证金。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ascii="宋体" w:hAnsi="宋体" w:cs="宋体"/>
                <w:color w:val="auto"/>
              </w:rPr>
              <w:t>19</w:t>
            </w:r>
          </w:p>
        </w:tc>
        <w:tc>
          <w:tcPr>
            <w:tcW w:w="7912" w:type="dxa"/>
            <w:noWrap/>
            <w:vAlign w:val="center"/>
          </w:tcPr>
          <w:p>
            <w:pPr>
              <w:spacing w:line="400" w:lineRule="exact"/>
              <w:rPr>
                <w:rFonts w:ascii="宋体" w:hAnsi="宋体" w:cs="宋体"/>
                <w:color w:val="auto"/>
              </w:rPr>
            </w:pPr>
            <w:r>
              <w:rPr>
                <w:rFonts w:hint="eastAsia" w:ascii="宋体" w:hAnsi="宋体"/>
                <w:color w:val="auto"/>
              </w:rPr>
              <w:t>本项目不接受备份响应文件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20.1</w:t>
            </w:r>
          </w:p>
        </w:tc>
        <w:tc>
          <w:tcPr>
            <w:tcW w:w="7912" w:type="dxa"/>
            <w:noWrap/>
            <w:vAlign w:val="center"/>
          </w:tcPr>
          <w:p>
            <w:pPr>
              <w:spacing w:line="400" w:lineRule="exact"/>
              <w:contextualSpacing/>
              <w:jc w:val="left"/>
              <w:rPr>
                <w:rFonts w:ascii="宋体" w:hAnsi="宋体" w:cs="宋体"/>
                <w:color w:val="auto"/>
                <w:u w:val="single"/>
              </w:rPr>
            </w:pPr>
            <w:r>
              <w:rPr>
                <w:rFonts w:hint="eastAsia" w:ascii="宋体" w:hAnsi="宋体" w:cs="宋体"/>
                <w:color w:val="auto"/>
              </w:rPr>
              <w:t>响应文件提交截止时间：详见竞争性磋商公告。</w:t>
            </w:r>
          </w:p>
          <w:p>
            <w:pPr>
              <w:spacing w:line="400" w:lineRule="exact"/>
              <w:contextualSpacing/>
              <w:jc w:val="left"/>
              <w:rPr>
                <w:rFonts w:ascii="宋体" w:hAnsi="宋体" w:cs="宋体"/>
                <w:color w:val="auto"/>
              </w:rPr>
            </w:pPr>
            <w:r>
              <w:rPr>
                <w:rFonts w:hint="eastAsia" w:ascii="宋体" w:hAnsi="宋体" w:cs="宋体"/>
                <w:color w:val="auto"/>
              </w:rPr>
              <w:t>响应文件提交地点：详见竞争性磋商公告。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24.1</w:t>
            </w:r>
          </w:p>
        </w:tc>
        <w:tc>
          <w:tcPr>
            <w:tcW w:w="7912" w:type="dxa"/>
            <w:noWrap/>
            <w:vAlign w:val="center"/>
          </w:tcPr>
          <w:p>
            <w:pPr>
              <w:snapToGrid w:val="0"/>
              <w:spacing w:line="400" w:lineRule="exact"/>
              <w:jc w:val="left"/>
              <w:rPr>
                <w:rFonts w:ascii="宋体" w:hAnsi="宋体" w:cs="宋体"/>
                <w:color w:val="auto"/>
                <w:u w:val="single"/>
              </w:rPr>
            </w:pPr>
            <w:r>
              <w:rPr>
                <w:rFonts w:hint="eastAsia" w:ascii="宋体" w:hAnsi="宋体" w:cs="宋体"/>
                <w:color w:val="auto"/>
              </w:rPr>
              <w:t>磋商小组的人数：</w:t>
            </w:r>
            <w:r>
              <w:rPr>
                <w:rFonts w:hint="eastAsia" w:ascii="宋体" w:hAnsi="宋体" w:cs="宋体"/>
                <w:color w:val="auto"/>
                <w:u w:val="single"/>
              </w:rPr>
              <w:t>3</w:t>
            </w:r>
            <w:r>
              <w:rPr>
                <w:rFonts w:hint="eastAsia" w:ascii="宋体" w:hAnsi="宋体" w:cs="宋体"/>
                <w:color w:val="auto"/>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2</w:t>
            </w:r>
            <w:r>
              <w:rPr>
                <w:rFonts w:ascii="宋体" w:hAnsi="宋体" w:cs="宋体"/>
                <w:color w:val="auto"/>
              </w:rPr>
              <w:t>5</w:t>
            </w:r>
          </w:p>
        </w:tc>
        <w:tc>
          <w:tcPr>
            <w:tcW w:w="7912" w:type="dxa"/>
            <w:noWrap/>
            <w:vAlign w:val="center"/>
          </w:tcPr>
          <w:p>
            <w:pPr>
              <w:snapToGrid w:val="0"/>
              <w:spacing w:line="400" w:lineRule="exact"/>
              <w:jc w:val="left"/>
              <w:rPr>
                <w:rFonts w:ascii="宋体" w:hAnsi="宋体" w:cs="宋体"/>
                <w:color w:val="auto"/>
              </w:rPr>
            </w:pPr>
            <w:r>
              <w:rPr>
                <w:rFonts w:hint="eastAsia" w:ascii="宋体" w:hAnsi="宋体" w:cs="宋体"/>
                <w:color w:val="auto"/>
              </w:rPr>
              <w:t>首次响应文件开启时间详见竞争性磋商公告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2</w:t>
            </w:r>
            <w:r>
              <w:rPr>
                <w:rFonts w:ascii="宋体" w:hAnsi="宋体" w:cs="宋体"/>
                <w:color w:val="auto"/>
              </w:rPr>
              <w:t>6.3</w:t>
            </w:r>
          </w:p>
        </w:tc>
        <w:tc>
          <w:tcPr>
            <w:tcW w:w="7912" w:type="dxa"/>
            <w:noWrap/>
            <w:vAlign w:val="center"/>
          </w:tcPr>
          <w:p>
            <w:pPr>
              <w:snapToGrid w:val="0"/>
              <w:spacing w:line="400" w:lineRule="exact"/>
              <w:rPr>
                <w:rFonts w:ascii="宋体" w:hAnsi="宋体" w:cs="宋体"/>
                <w:color w:val="auto"/>
              </w:rPr>
            </w:pPr>
            <w:r>
              <w:rPr>
                <w:rFonts w:hint="eastAsia" w:ascii="宋体" w:hAnsi="宋体" w:cs="宋体"/>
                <w:color w:val="auto"/>
              </w:rPr>
              <w:t>商务要求评审中允许负偏离的条款数为</w:t>
            </w:r>
            <w:r>
              <w:rPr>
                <w:rFonts w:hint="eastAsia" w:ascii="宋体" w:hAnsi="宋体" w:cs="宋体"/>
                <w:color w:val="auto"/>
                <w:u w:val="single"/>
              </w:rPr>
              <w:t>0</w:t>
            </w:r>
            <w:r>
              <w:rPr>
                <w:rFonts w:hint="eastAsia" w:ascii="宋体" w:hAnsi="宋体" w:cs="宋体"/>
                <w:color w:val="auto"/>
              </w:rPr>
              <w:t>项。</w:t>
            </w:r>
          </w:p>
          <w:p>
            <w:pPr>
              <w:snapToGrid w:val="0"/>
              <w:spacing w:line="400" w:lineRule="exact"/>
              <w:rPr>
                <w:rFonts w:ascii="宋体" w:hAnsi="宋体" w:cs="宋体"/>
                <w:color w:val="auto"/>
              </w:rPr>
            </w:pPr>
            <w:r>
              <w:rPr>
                <w:rFonts w:hint="eastAsia" w:ascii="宋体" w:hAnsi="宋体" w:cs="宋体"/>
                <w:color w:val="auto"/>
              </w:rPr>
              <w:t>技术要求评审中允许负偏离的条款数为</w:t>
            </w:r>
            <w:r>
              <w:rPr>
                <w:rFonts w:hint="eastAsia" w:ascii="宋体" w:hAnsi="宋体" w:cs="宋体"/>
                <w:color w:val="auto"/>
                <w:u w:val="single"/>
              </w:rPr>
              <w:t>0</w:t>
            </w:r>
            <w:r>
              <w:rPr>
                <w:rFonts w:hint="eastAsia" w:ascii="宋体" w:hAnsi="宋体" w:cs="宋体"/>
                <w:color w:val="auto"/>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ascii="宋体" w:hAnsi="宋体" w:cs="宋体"/>
                <w:color w:val="auto"/>
              </w:rPr>
              <w:t>28.1</w:t>
            </w:r>
          </w:p>
        </w:tc>
        <w:tc>
          <w:tcPr>
            <w:tcW w:w="7912" w:type="dxa"/>
            <w:noWrap/>
            <w:vAlign w:val="center"/>
          </w:tcPr>
          <w:p>
            <w:pPr>
              <w:autoSpaceDE w:val="0"/>
              <w:autoSpaceDN w:val="0"/>
              <w:snapToGrid w:val="0"/>
              <w:spacing w:line="400" w:lineRule="exact"/>
              <w:textAlignment w:val="bottom"/>
              <w:rPr>
                <w:rFonts w:ascii="宋体" w:hAnsi="宋体"/>
                <w:color w:val="auto"/>
              </w:rPr>
            </w:pPr>
            <w:r>
              <w:rPr>
                <w:rFonts w:hint="eastAsia" w:ascii="宋体" w:hAnsi="宋体"/>
                <w:color w:val="auto"/>
              </w:rPr>
              <w:t>□本项目不收取履约保证金。</w:t>
            </w:r>
          </w:p>
          <w:p>
            <w:pPr>
              <w:autoSpaceDE w:val="0"/>
              <w:autoSpaceDN w:val="0"/>
              <w:snapToGrid w:val="0"/>
              <w:spacing w:line="400" w:lineRule="exact"/>
              <w:textAlignment w:val="bottom"/>
              <w:rPr>
                <w:rFonts w:ascii="宋体" w:hAnsi="宋体"/>
                <w:color w:val="auto"/>
              </w:rPr>
            </w:pPr>
            <w:r>
              <w:rPr>
                <w:rFonts w:hint="eastAsia" w:ascii="宋体" w:hAnsi="宋体"/>
                <w:color w:val="auto"/>
              </w:rPr>
              <w:t>☑本项目收取履约保证金，具体规定如下：</w:t>
            </w:r>
          </w:p>
          <w:p>
            <w:pPr>
              <w:spacing w:line="400" w:lineRule="exact"/>
              <w:contextualSpacing/>
              <w:rPr>
                <w:rFonts w:ascii="宋体" w:hAnsi="宋体" w:cs="宋体"/>
                <w:color w:val="auto"/>
              </w:rPr>
            </w:pPr>
            <w:r>
              <w:rPr>
                <w:rFonts w:hint="eastAsia" w:ascii="宋体" w:hAnsi="宋体" w:cs="宋体"/>
                <w:color w:val="auto"/>
              </w:rPr>
              <w:t>履约保证金金额：按成交金额的</w:t>
            </w:r>
            <w:r>
              <w:rPr>
                <w:rFonts w:hint="eastAsia" w:ascii="宋体" w:hAnsi="宋体" w:cs="宋体"/>
                <w:color w:val="auto"/>
                <w:u w:val="single"/>
              </w:rPr>
              <w:t>2</w:t>
            </w:r>
            <w:r>
              <w:rPr>
                <w:rFonts w:hint="eastAsia" w:ascii="宋体" w:hAnsi="宋体" w:cs="宋体"/>
                <w:color w:val="auto"/>
              </w:rPr>
              <w:t>%。</w:t>
            </w:r>
          </w:p>
          <w:p>
            <w:pPr>
              <w:spacing w:line="400" w:lineRule="exact"/>
              <w:contextualSpacing/>
              <w:rPr>
                <w:rFonts w:ascii="宋体" w:hAnsi="宋体" w:cs="宋体"/>
                <w:color w:val="auto"/>
              </w:rPr>
            </w:pPr>
            <w:r>
              <w:rPr>
                <w:rFonts w:hint="eastAsia" w:ascii="宋体" w:hAnsi="宋体" w:cs="宋体"/>
                <w:color w:val="auto"/>
              </w:rPr>
              <w:t>履约保证金提交方式：银行转账。</w:t>
            </w:r>
          </w:p>
          <w:p>
            <w:pPr>
              <w:spacing w:line="400" w:lineRule="exact"/>
              <w:contextualSpacing/>
              <w:rPr>
                <w:rFonts w:ascii="宋体" w:hAnsi="宋体" w:cs="宋体"/>
                <w:color w:val="auto"/>
                <w:u w:val="single"/>
              </w:rPr>
            </w:pPr>
            <w:r>
              <w:rPr>
                <w:rFonts w:hint="eastAsia" w:ascii="宋体" w:hAnsi="宋体" w:cs="宋体"/>
                <w:color w:val="auto"/>
              </w:rPr>
              <w:t>履约保证金退付方式、时间及条件：</w:t>
            </w:r>
            <w:r>
              <w:rPr>
                <w:rFonts w:hint="eastAsia" w:ascii="宋体" w:hAnsi="宋体" w:cs="宋体"/>
                <w:color w:val="auto"/>
                <w:u w:val="single"/>
              </w:rPr>
              <w:t>成交供应商在签订合同之前向甲方提交履约保证金，否则不予签订合同。履约保证金自项目验收合格后，待成交供应商履行完质保义务后无息退还。</w:t>
            </w:r>
          </w:p>
          <w:p>
            <w:pPr>
              <w:spacing w:line="400" w:lineRule="exact"/>
              <w:contextualSpacing/>
              <w:rPr>
                <w:rFonts w:ascii="宋体" w:hAnsi="宋体" w:cs="宋体"/>
                <w:color w:val="auto"/>
              </w:rPr>
            </w:pPr>
            <w:r>
              <w:rPr>
                <w:rFonts w:hint="eastAsia" w:ascii="宋体" w:hAnsi="宋体" w:cs="宋体"/>
                <w:color w:val="auto"/>
              </w:rPr>
              <w:t>履约保证金指定账户：成交后采购人提供。</w:t>
            </w:r>
          </w:p>
          <w:p>
            <w:pPr>
              <w:spacing w:line="400" w:lineRule="exact"/>
              <w:contextualSpacing/>
              <w:rPr>
                <w:rFonts w:ascii="宋体" w:hAnsi="宋体" w:cs="宋体"/>
                <w:color w:val="auto"/>
              </w:rPr>
            </w:pPr>
            <w:r>
              <w:rPr>
                <w:rFonts w:hint="eastAsia" w:ascii="宋体" w:hAnsi="宋体" w:cs="宋体"/>
                <w:color w:val="auto"/>
              </w:rPr>
              <w:t>备注：</w:t>
            </w:r>
          </w:p>
          <w:p>
            <w:pPr>
              <w:spacing w:line="400" w:lineRule="exact"/>
              <w:contextualSpacing/>
              <w:rPr>
                <w:rFonts w:ascii="宋体" w:hAnsi="宋体" w:cs="宋体"/>
                <w:color w:val="auto"/>
              </w:rPr>
            </w:pPr>
            <w:r>
              <w:rPr>
                <w:rFonts w:hint="eastAsia" w:ascii="宋体" w:hAnsi="宋体" w:cs="宋体"/>
                <w:b/>
                <w:color w:val="auto"/>
              </w:rPr>
              <w:t>履约保证金不足额缴纳的不予签订合同。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ascii="宋体" w:hAnsi="宋体" w:cs="宋体"/>
                <w:color w:val="auto"/>
              </w:rPr>
              <w:t>29.1</w:t>
            </w:r>
          </w:p>
        </w:tc>
        <w:tc>
          <w:tcPr>
            <w:tcW w:w="7912" w:type="dxa"/>
            <w:noWrap/>
            <w:vAlign w:val="center"/>
          </w:tcPr>
          <w:p>
            <w:pPr>
              <w:autoSpaceDE w:val="0"/>
              <w:autoSpaceDN w:val="0"/>
              <w:snapToGrid w:val="0"/>
              <w:spacing w:line="400" w:lineRule="exact"/>
              <w:textAlignment w:val="bottom"/>
              <w:rPr>
                <w:rFonts w:ascii="宋体" w:hAnsi="宋体"/>
                <w:color w:val="auto"/>
              </w:rPr>
            </w:pPr>
            <w:r>
              <w:rPr>
                <w:rFonts w:hint="eastAsia" w:ascii="宋体" w:hAnsi="宋体"/>
                <w:color w:val="auto"/>
              </w:rPr>
              <w:t xml:space="preserve">签订合同携带的证明材料： </w:t>
            </w:r>
          </w:p>
          <w:p>
            <w:pPr>
              <w:autoSpaceDE w:val="0"/>
              <w:autoSpaceDN w:val="0"/>
              <w:snapToGrid w:val="0"/>
              <w:spacing w:line="400" w:lineRule="exact"/>
              <w:textAlignment w:val="bottom"/>
              <w:rPr>
                <w:rFonts w:ascii="宋体" w:hAnsi="宋体"/>
                <w:color w:val="auto"/>
              </w:rPr>
            </w:pPr>
            <w:r>
              <w:rPr>
                <w:rFonts w:hint="eastAsia" w:ascii="宋体" w:hAnsi="宋体"/>
                <w:color w:val="auto"/>
              </w:rPr>
              <w:t>委托代理人负责签订合同的，须携带授权委托书及委托代理人身份证原件等其他资格证件。</w:t>
            </w:r>
          </w:p>
          <w:p>
            <w:pPr>
              <w:snapToGrid w:val="0"/>
              <w:spacing w:line="400" w:lineRule="exact"/>
              <w:rPr>
                <w:rFonts w:ascii="宋体" w:hAnsi="宋体" w:cs="宋体"/>
                <w:color w:val="auto"/>
              </w:rPr>
            </w:pPr>
            <w:r>
              <w:rPr>
                <w:rFonts w:hint="eastAsia" w:ascii="宋体" w:hAnsi="宋体"/>
                <w:color w:val="auto"/>
              </w:rPr>
              <w:t>法定代表人负责签订合同的，须携带法定代表人</w:t>
            </w:r>
            <w:r>
              <w:rPr>
                <w:rFonts w:ascii="宋体" w:hAnsi="宋体"/>
                <w:color w:val="auto"/>
              </w:rPr>
              <w:t>身份证明原件</w:t>
            </w:r>
            <w:r>
              <w:rPr>
                <w:rFonts w:hint="eastAsia" w:ascii="宋体" w:hAnsi="宋体"/>
                <w:color w:val="auto"/>
              </w:rPr>
              <w:t>及</w:t>
            </w:r>
            <w:r>
              <w:rPr>
                <w:rFonts w:ascii="宋体" w:hAnsi="宋体"/>
                <w:color w:val="auto"/>
              </w:rPr>
              <w:t>身份证原件</w:t>
            </w:r>
            <w:r>
              <w:rPr>
                <w:rFonts w:hint="eastAsia" w:ascii="宋体" w:hAnsi="宋体"/>
                <w:color w:val="auto"/>
              </w:rPr>
              <w:t>等其他证明材料。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3</w:t>
            </w:r>
            <w:r>
              <w:rPr>
                <w:rFonts w:ascii="宋体" w:hAnsi="宋体" w:cs="宋体"/>
                <w:color w:val="auto"/>
              </w:rPr>
              <w:t>1.2</w:t>
            </w:r>
          </w:p>
        </w:tc>
        <w:tc>
          <w:tcPr>
            <w:tcW w:w="7912" w:type="dxa"/>
            <w:noWrap/>
            <w:vAlign w:val="center"/>
          </w:tcPr>
          <w:p>
            <w:pPr>
              <w:snapToGrid w:val="0"/>
              <w:spacing w:line="400" w:lineRule="exact"/>
              <w:rPr>
                <w:rFonts w:ascii="宋体" w:hAnsi="宋体" w:cs="宋体"/>
                <w:color w:val="auto"/>
              </w:rPr>
            </w:pPr>
            <w:r>
              <w:rPr>
                <w:rFonts w:hint="eastAsia" w:ascii="宋体" w:hAnsi="宋体" w:cs="宋体"/>
                <w:color w:val="auto"/>
              </w:rPr>
              <w:t>接收质疑函方式：以书面形式。</w:t>
            </w:r>
          </w:p>
          <w:p>
            <w:pPr>
              <w:snapToGrid w:val="0"/>
              <w:spacing w:line="400" w:lineRule="exact"/>
              <w:rPr>
                <w:rFonts w:ascii="宋体" w:hAnsi="宋体" w:cs="宋体"/>
                <w:color w:val="auto"/>
              </w:rPr>
            </w:pPr>
            <w:r>
              <w:rPr>
                <w:rFonts w:hint="eastAsia" w:ascii="宋体" w:hAnsi="宋体" w:cs="宋体"/>
                <w:color w:val="auto"/>
              </w:rPr>
              <w:t>质疑联系部门及联系方式：华夏城投项目管理有限公司广西分公司招标部，联系电话：0771-5382528，通讯地址：南宁市东葛路118号青秀万达写字楼银座8楼808室</w:t>
            </w:r>
          </w:p>
          <w:p>
            <w:pPr>
              <w:autoSpaceDE w:val="0"/>
              <w:autoSpaceDN w:val="0"/>
              <w:snapToGrid w:val="0"/>
              <w:spacing w:line="400" w:lineRule="exact"/>
              <w:textAlignment w:val="bottom"/>
              <w:rPr>
                <w:rFonts w:ascii="宋体" w:hAnsi="宋体"/>
                <w:color w:val="auto"/>
              </w:rPr>
            </w:pPr>
            <w:r>
              <w:rPr>
                <w:rFonts w:hint="eastAsia" w:ascii="宋体" w:hAnsi="宋体" w:cs="宋体"/>
                <w:color w:val="auto"/>
              </w:rPr>
              <w:t>现场提交质疑办理业务时间：每天9时00分到12时00分，14时30分到18时00分，业务时间以外、双休日和法定节假日不办理业务。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ascii="宋体" w:hAnsi="宋体" w:cs="宋体"/>
                <w:color w:val="auto"/>
              </w:rPr>
              <w:t>32.1</w:t>
            </w:r>
          </w:p>
        </w:tc>
        <w:tc>
          <w:tcPr>
            <w:tcW w:w="7912" w:type="dxa"/>
            <w:noWrap/>
            <w:vAlign w:val="center"/>
          </w:tcPr>
          <w:p>
            <w:pPr>
              <w:pStyle w:val="24"/>
              <w:snapToGrid w:val="0"/>
              <w:spacing w:line="400" w:lineRule="exact"/>
              <w:rPr>
                <w:rFonts w:hAnsi="宋体" w:cs="宋体"/>
                <w:color w:val="auto"/>
              </w:rPr>
            </w:pPr>
            <w:r>
              <w:rPr>
                <w:rFonts w:hint="eastAsia" w:hAnsi="宋体" w:cs="宋体"/>
                <w:color w:val="auto"/>
              </w:rPr>
              <w:t>1.采购代理费支付方式：</w:t>
            </w:r>
          </w:p>
          <w:p>
            <w:pPr>
              <w:pStyle w:val="24"/>
              <w:snapToGrid w:val="0"/>
              <w:spacing w:line="400" w:lineRule="exact"/>
              <w:rPr>
                <w:rFonts w:hAnsi="宋体" w:cs="宋体"/>
                <w:color w:val="auto"/>
              </w:rPr>
            </w:pPr>
            <w:r>
              <w:rPr>
                <w:rFonts w:hint="eastAsia" w:hAnsi="宋体" w:cs="宋体"/>
                <w:color w:val="auto"/>
              </w:rPr>
              <w:t>☑本项目代理服务费由</w:t>
            </w:r>
            <w:r>
              <w:rPr>
                <w:rFonts w:hint="eastAsia" w:hAnsi="宋体" w:cs="宋体"/>
                <w:color w:val="auto"/>
                <w:u w:val="single"/>
              </w:rPr>
              <w:t>成交供应商</w:t>
            </w:r>
            <w:r>
              <w:rPr>
                <w:rFonts w:hint="eastAsia" w:hAnsi="宋体" w:cs="宋体"/>
                <w:color w:val="auto"/>
              </w:rPr>
              <w:t>领取成交通知书前，一次性向采购代理机构支付。</w:t>
            </w:r>
          </w:p>
          <w:p>
            <w:pPr>
              <w:pStyle w:val="24"/>
              <w:snapToGrid w:val="0"/>
              <w:spacing w:line="400" w:lineRule="exact"/>
              <w:rPr>
                <w:rFonts w:hAnsi="宋体" w:cs="宋体"/>
                <w:color w:val="auto"/>
              </w:rPr>
            </w:pPr>
            <w:r>
              <w:rPr>
                <w:rFonts w:hint="eastAsia" w:hAnsi="宋体" w:cs="宋体"/>
                <w:color w:val="auto"/>
              </w:rPr>
              <w:t>□采购人支付。</w:t>
            </w:r>
          </w:p>
          <w:p>
            <w:pPr>
              <w:pStyle w:val="24"/>
              <w:snapToGrid w:val="0"/>
              <w:spacing w:line="400" w:lineRule="exact"/>
              <w:rPr>
                <w:rFonts w:hAnsi="宋体" w:cs="宋体"/>
                <w:color w:val="auto"/>
              </w:rPr>
            </w:pPr>
            <w:r>
              <w:rPr>
                <w:rFonts w:hint="eastAsia" w:hAnsi="宋体" w:cs="宋体"/>
                <w:color w:val="auto"/>
              </w:rPr>
              <w:t>2.采购代理费收取标准：</w:t>
            </w:r>
          </w:p>
          <w:p>
            <w:pPr>
              <w:pStyle w:val="24"/>
              <w:snapToGrid w:val="0"/>
              <w:spacing w:line="400" w:lineRule="exact"/>
              <w:rPr>
                <w:rFonts w:hAnsi="宋体" w:cs="宋体"/>
                <w:color w:val="auto"/>
              </w:rPr>
            </w:pPr>
            <w:r>
              <w:rPr>
                <w:rFonts w:hint="eastAsia" w:hAnsi="宋体" w:cs="宋体"/>
                <w:color w:val="auto"/>
              </w:rPr>
              <w:t>☑以分标（☑成交金额/□采购预算/□暂定成交金额/□其他）为计费额，按本须知正文第</w:t>
            </w:r>
            <w:r>
              <w:rPr>
                <w:rFonts w:hAnsi="宋体" w:cs="宋体"/>
                <w:color w:val="auto"/>
              </w:rPr>
              <w:t>32</w:t>
            </w:r>
            <w:r>
              <w:rPr>
                <w:rFonts w:hint="eastAsia" w:hAnsi="宋体" w:cs="宋体"/>
                <w:color w:val="auto"/>
              </w:rPr>
              <w:t>.</w:t>
            </w:r>
            <w:r>
              <w:rPr>
                <w:rFonts w:hAnsi="宋体" w:cs="宋体"/>
                <w:color w:val="auto"/>
              </w:rPr>
              <w:t>2</w:t>
            </w:r>
            <w:r>
              <w:rPr>
                <w:rFonts w:hint="eastAsia" w:hAnsi="宋体" w:cs="宋体"/>
                <w:color w:val="auto"/>
              </w:rPr>
              <w:t>条规定的收费计算标准（☑货物类/□服务类/□工程类）采用差额定率累进法计算出收费基准价格，采购代理收费以（□收费基准价格/☑收费基准价格下浮</w:t>
            </w:r>
            <w:r>
              <w:rPr>
                <w:rFonts w:hint="eastAsia" w:hAnsi="宋体" w:cs="宋体"/>
                <w:color w:val="auto"/>
                <w:u w:val="single"/>
              </w:rPr>
              <w:t>20%</w:t>
            </w:r>
            <w:r>
              <w:rPr>
                <w:rFonts w:hAnsi="宋体" w:cs="宋体"/>
                <w:color w:val="auto"/>
              </w:rPr>
              <w:t>/</w:t>
            </w:r>
            <w:r>
              <w:rPr>
                <w:rFonts w:hint="eastAsia" w:hAnsi="宋体" w:cs="宋体"/>
                <w:color w:val="auto"/>
              </w:rPr>
              <w:t>□收费基准价格上浮</w:t>
            </w:r>
            <w:r>
              <w:rPr>
                <w:rFonts w:hint="eastAsia" w:hAnsi="宋体" w:cs="宋体"/>
                <w:color w:val="auto"/>
                <w:u w:val="single"/>
              </w:rPr>
              <w:t>%</w:t>
            </w:r>
            <w:r>
              <w:rPr>
                <w:rFonts w:hint="eastAsia" w:hAnsi="宋体" w:cs="宋体"/>
                <w:color w:val="auto"/>
              </w:rPr>
              <w:t>）收取。</w:t>
            </w:r>
          </w:p>
          <w:p>
            <w:pPr>
              <w:pStyle w:val="24"/>
              <w:snapToGrid w:val="0"/>
              <w:spacing w:line="400" w:lineRule="exact"/>
              <w:rPr>
                <w:rFonts w:hAnsi="宋体" w:cs="宋体"/>
                <w:color w:val="auto"/>
                <w:u w:val="single"/>
              </w:rPr>
            </w:pPr>
            <w:r>
              <w:rPr>
                <w:rFonts w:hint="eastAsia" w:hAnsi="宋体" w:cs="宋体"/>
                <w:color w:val="auto"/>
              </w:rPr>
              <w:t>□固定采购代理收费</w:t>
            </w:r>
            <w:r>
              <w:rPr>
                <w:rFonts w:hint="eastAsia" w:hAnsi="宋体" w:cs="宋体"/>
                <w:color w:val="auto"/>
                <w:u w:val="single"/>
              </w:rPr>
              <w:t xml:space="preserve">              。</w:t>
            </w:r>
          </w:p>
          <w:p>
            <w:pPr>
              <w:pStyle w:val="24"/>
              <w:snapToGrid w:val="0"/>
              <w:spacing w:line="400" w:lineRule="exact"/>
              <w:rPr>
                <w:rFonts w:hAnsi="宋体" w:cs="宋体"/>
                <w:color w:val="auto"/>
              </w:rPr>
            </w:pPr>
            <w:r>
              <w:rPr>
                <w:rFonts w:hint="eastAsia" w:hAnsi="宋体" w:cs="宋体"/>
                <w:color w:val="auto"/>
              </w:rPr>
              <w:t>3. 采购代理费收取银行账户</w:t>
            </w:r>
          </w:p>
          <w:p>
            <w:pPr>
              <w:pStyle w:val="24"/>
              <w:snapToGrid w:val="0"/>
              <w:spacing w:line="400" w:lineRule="exact"/>
              <w:rPr>
                <w:rFonts w:hAnsi="宋体" w:cs="宋体"/>
                <w:color w:val="auto"/>
              </w:rPr>
            </w:pPr>
            <w:r>
              <w:rPr>
                <w:rFonts w:hint="eastAsia" w:hAnsi="宋体" w:cs="宋体"/>
                <w:color w:val="auto"/>
              </w:rPr>
              <w:t>账户名称：</w:t>
            </w:r>
            <w:r>
              <w:rPr>
                <w:rFonts w:hint="eastAsia" w:hAnsi="宋体" w:cs="宋体"/>
                <w:color w:val="auto"/>
                <w:szCs w:val="21"/>
              </w:rPr>
              <w:t>华夏城投项目管理有限公司广西分公司</w:t>
            </w:r>
          </w:p>
          <w:p>
            <w:pPr>
              <w:pStyle w:val="24"/>
              <w:snapToGrid w:val="0"/>
              <w:spacing w:line="400" w:lineRule="exact"/>
              <w:rPr>
                <w:rFonts w:hAnsi="宋体" w:cs="宋体"/>
                <w:color w:val="auto"/>
              </w:rPr>
            </w:pPr>
            <w:r>
              <w:rPr>
                <w:rFonts w:hint="eastAsia" w:hAnsi="宋体" w:cs="宋体"/>
                <w:color w:val="auto"/>
              </w:rPr>
              <w:t>开户银行：</w:t>
            </w:r>
            <w:r>
              <w:rPr>
                <w:rFonts w:hint="eastAsia" w:hAnsi="宋体" w:cs="宋体"/>
                <w:color w:val="auto"/>
                <w:szCs w:val="21"/>
              </w:rPr>
              <w:t>中国建设银行股份有限公司南宁五象支行</w:t>
            </w:r>
          </w:p>
          <w:p>
            <w:pPr>
              <w:pStyle w:val="24"/>
              <w:snapToGrid w:val="0"/>
              <w:spacing w:line="400" w:lineRule="exact"/>
              <w:rPr>
                <w:rFonts w:hAnsi="宋体" w:cs="宋体"/>
                <w:color w:val="auto"/>
              </w:rPr>
            </w:pPr>
            <w:r>
              <w:rPr>
                <w:rFonts w:hint="eastAsia" w:hAnsi="宋体" w:cs="宋体"/>
                <w:color w:val="auto"/>
              </w:rPr>
              <w:t>银行账号：</w:t>
            </w:r>
            <w:r>
              <w:rPr>
                <w:rFonts w:hint="eastAsia" w:hAnsi="宋体" w:cs="宋体"/>
                <w:color w:val="auto"/>
                <w:szCs w:val="21"/>
              </w:rPr>
              <w:t>4505 0160 5001 0000 0030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3</w:t>
            </w:r>
            <w:r>
              <w:rPr>
                <w:rFonts w:ascii="宋体" w:hAnsi="宋体" w:cs="宋体"/>
                <w:color w:val="auto"/>
              </w:rPr>
              <w:t>3.1</w:t>
            </w:r>
          </w:p>
        </w:tc>
        <w:tc>
          <w:tcPr>
            <w:tcW w:w="7912" w:type="dxa"/>
            <w:noWrap/>
            <w:vAlign w:val="center"/>
          </w:tcPr>
          <w:p>
            <w:pPr>
              <w:pStyle w:val="24"/>
              <w:snapToGrid w:val="0"/>
              <w:spacing w:line="400" w:lineRule="exact"/>
              <w:rPr>
                <w:rFonts w:hAnsi="宋体" w:cs="宋体"/>
                <w:color w:val="auto"/>
              </w:rPr>
            </w:pPr>
            <w:r>
              <w:rPr>
                <w:rFonts w:hint="eastAsia" w:hAnsi="宋体" w:cs="宋体"/>
                <w:color w:val="auto"/>
              </w:rPr>
              <w:t>解释：</w:t>
            </w:r>
            <w:r>
              <w:rPr>
                <w:rFonts w:hAnsi="宋体" w:cs="宋体"/>
                <w:color w:val="auto"/>
              </w:rPr>
              <w:t>构成本</w:t>
            </w:r>
            <w:r>
              <w:rPr>
                <w:rFonts w:hint="eastAsia" w:hAnsi="宋体" w:cs="宋体"/>
                <w:color w:val="auto"/>
              </w:rPr>
              <w:t>磋商文件</w:t>
            </w:r>
            <w:r>
              <w:rPr>
                <w:rFonts w:hAnsi="宋体" w:cs="宋体"/>
                <w:color w:val="auto"/>
              </w:rPr>
              <w:t>的各个组成文件应互为解释，互为说明；除</w:t>
            </w:r>
            <w:r>
              <w:rPr>
                <w:rFonts w:hint="eastAsia" w:hAnsi="宋体" w:cs="宋体"/>
                <w:color w:val="auto"/>
              </w:rPr>
              <w:t>磋商文件</w:t>
            </w:r>
            <w:r>
              <w:rPr>
                <w:rFonts w:hAnsi="宋体" w:cs="宋体"/>
                <w:color w:val="auto"/>
              </w:rPr>
              <w:t>中有特别规定外，仅适用于</w:t>
            </w:r>
            <w:r>
              <w:rPr>
                <w:rFonts w:hint="eastAsia" w:hAnsi="宋体" w:cs="宋体"/>
                <w:color w:val="auto"/>
              </w:rPr>
              <w:t>竞标</w:t>
            </w:r>
            <w:r>
              <w:rPr>
                <w:rFonts w:hAnsi="宋体" w:cs="宋体"/>
                <w:color w:val="auto"/>
              </w:rPr>
              <w:t>阶段的规定，按</w:t>
            </w:r>
            <w:r>
              <w:rPr>
                <w:rFonts w:hint="eastAsia" w:hAnsi="宋体" w:cs="宋体"/>
                <w:color w:val="auto"/>
              </w:rPr>
              <w:t>更正公告（澄清公告）</w:t>
            </w:r>
            <w:r>
              <w:rPr>
                <w:rFonts w:hAnsi="宋体" w:cs="宋体"/>
                <w:color w:val="auto"/>
              </w:rPr>
              <w:t>、</w:t>
            </w:r>
            <w:r>
              <w:rPr>
                <w:rFonts w:hint="eastAsia" w:hAnsi="宋体" w:cs="宋体"/>
                <w:color w:val="auto"/>
              </w:rPr>
              <w:t>竞争性磋商</w:t>
            </w:r>
            <w:r>
              <w:rPr>
                <w:rFonts w:hAnsi="宋体" w:cs="宋体"/>
                <w:color w:val="auto"/>
              </w:rPr>
              <w:t>公告、</w:t>
            </w:r>
            <w:r>
              <w:rPr>
                <w:rFonts w:hint="eastAsia" w:hAnsi="宋体" w:cs="宋体"/>
                <w:color w:val="auto"/>
              </w:rPr>
              <w:t>供应商</w:t>
            </w:r>
            <w:r>
              <w:rPr>
                <w:rFonts w:hAnsi="宋体" w:cs="宋体"/>
                <w:color w:val="auto"/>
              </w:rPr>
              <w:t>须知</w:t>
            </w:r>
            <w:r>
              <w:rPr>
                <w:rFonts w:hint="eastAsia" w:hAnsi="宋体" w:cs="宋体"/>
                <w:color w:val="auto"/>
              </w:rPr>
              <w:t>、采购需求</w:t>
            </w:r>
            <w:r>
              <w:rPr>
                <w:rFonts w:hAnsi="宋体" w:cs="宋体"/>
                <w:color w:val="auto"/>
              </w:rPr>
              <w:t>、</w:t>
            </w:r>
            <w:r>
              <w:rPr>
                <w:rFonts w:hint="eastAsia" w:hAnsi="宋体" w:cs="宋体"/>
                <w:color w:val="auto"/>
              </w:rPr>
              <w:t>评审程序、评审方法和评审标准</w:t>
            </w:r>
            <w:r>
              <w:rPr>
                <w:rFonts w:hAnsi="宋体" w:cs="宋体"/>
                <w:color w:val="auto"/>
              </w:rPr>
              <w:t>、</w:t>
            </w:r>
            <w:r>
              <w:rPr>
                <w:rFonts w:hint="eastAsia" w:hAnsi="宋体" w:cs="宋体"/>
                <w:color w:val="auto"/>
              </w:rPr>
              <w:t>响应</w:t>
            </w:r>
            <w:r>
              <w:rPr>
                <w:rFonts w:hAnsi="宋体" w:cs="宋体"/>
                <w:color w:val="auto"/>
              </w:rPr>
              <w:t>文件格式</w:t>
            </w:r>
            <w:r>
              <w:rPr>
                <w:rFonts w:hint="eastAsia" w:hAnsi="宋体" w:cs="宋体"/>
                <w:color w:val="auto"/>
              </w:rPr>
              <w:t>、合同文本</w:t>
            </w:r>
            <w:r>
              <w:rPr>
                <w:rFonts w:hAnsi="宋体" w:cs="宋体"/>
                <w:color w:val="auto"/>
              </w:rPr>
              <w:t>的先后顺序解释；同一组成文件中就同一事项的规定或者约定不一致的，以编排顺序在后者为准；同一组成文件不同版本之间有不一致的，以形成时间在后者为准；</w:t>
            </w:r>
            <w:r>
              <w:rPr>
                <w:rFonts w:hint="eastAsia" w:hAnsi="宋体" w:cs="宋体"/>
                <w:color w:val="auto"/>
              </w:rPr>
              <w:t>更正公告（澄清公告）</w:t>
            </w:r>
            <w:r>
              <w:rPr>
                <w:rFonts w:hAnsi="宋体" w:cs="宋体"/>
                <w:color w:val="auto"/>
              </w:rPr>
              <w:t>与同步更新的</w:t>
            </w:r>
            <w:r>
              <w:rPr>
                <w:rFonts w:hint="eastAsia" w:hAnsi="宋体" w:cs="宋体"/>
                <w:color w:val="auto"/>
              </w:rPr>
              <w:t>磋商文件</w:t>
            </w:r>
            <w:r>
              <w:rPr>
                <w:rFonts w:hAnsi="宋体" w:cs="宋体"/>
                <w:color w:val="auto"/>
              </w:rPr>
              <w:t>不一致时以</w:t>
            </w:r>
            <w:r>
              <w:rPr>
                <w:rFonts w:hint="eastAsia" w:hAnsi="宋体" w:cs="宋体"/>
                <w:color w:val="auto"/>
              </w:rPr>
              <w:t>更正公告（澄清公告）</w:t>
            </w:r>
            <w:r>
              <w:rPr>
                <w:rFonts w:hAnsi="宋体" w:cs="宋体"/>
                <w:color w:val="auto"/>
              </w:rPr>
              <w:t>为准。按本款前述规定仍不能形成结论的，由</w:t>
            </w:r>
            <w:r>
              <w:rPr>
                <w:rFonts w:hint="eastAsia" w:hAnsi="宋体" w:cs="宋体"/>
                <w:color w:val="auto"/>
              </w:rPr>
              <w:t>采购</w:t>
            </w:r>
            <w:r>
              <w:rPr>
                <w:rFonts w:hAnsi="宋体" w:cs="宋体"/>
                <w:color w:val="auto"/>
              </w:rPr>
              <w:t>人</w:t>
            </w:r>
            <w:r>
              <w:rPr>
                <w:rFonts w:hint="eastAsia" w:hAnsi="宋体" w:cs="宋体"/>
                <w:color w:val="auto"/>
              </w:rPr>
              <w:t>或者采购代理机构</w:t>
            </w:r>
            <w:r>
              <w:rPr>
                <w:rFonts w:hAnsi="宋体" w:cs="宋体"/>
                <w:color w:val="auto"/>
              </w:rPr>
              <w:t>负责解释。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2" w:type="dxa"/>
            <w:noWrap/>
            <w:vAlign w:val="center"/>
          </w:tcPr>
          <w:p>
            <w:pPr>
              <w:spacing w:line="400" w:lineRule="exact"/>
              <w:jc w:val="center"/>
              <w:rPr>
                <w:rFonts w:ascii="宋体" w:hAnsi="宋体" w:cs="宋体"/>
                <w:color w:val="auto"/>
              </w:rPr>
            </w:pPr>
            <w:r>
              <w:rPr>
                <w:rFonts w:hint="eastAsia" w:ascii="宋体" w:hAnsi="宋体" w:cs="宋体"/>
                <w:color w:val="auto"/>
              </w:rPr>
              <w:t>3</w:t>
            </w:r>
            <w:r>
              <w:rPr>
                <w:rFonts w:ascii="宋体" w:hAnsi="宋体" w:cs="宋体"/>
                <w:color w:val="auto"/>
              </w:rPr>
              <w:t>3.2</w:t>
            </w:r>
          </w:p>
        </w:tc>
        <w:tc>
          <w:tcPr>
            <w:tcW w:w="7912" w:type="dxa"/>
            <w:noWrap/>
            <w:vAlign w:val="center"/>
          </w:tcPr>
          <w:p>
            <w:pPr>
              <w:pStyle w:val="24"/>
              <w:snapToGrid w:val="0"/>
              <w:spacing w:line="400" w:lineRule="exact"/>
              <w:rPr>
                <w:rFonts w:hAnsi="宋体" w:cs="宋体"/>
                <w:color w:val="auto"/>
              </w:rPr>
            </w:pPr>
            <w:r>
              <w:rPr>
                <w:rFonts w:hint="eastAsia" w:hAnsi="宋体" w:cs="宋体"/>
                <w:color w:val="auto"/>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w:t>
            </w:r>
          </w:p>
          <w:p>
            <w:pPr>
              <w:pStyle w:val="24"/>
              <w:snapToGrid w:val="0"/>
              <w:spacing w:line="400" w:lineRule="exact"/>
              <w:rPr>
                <w:rFonts w:hAnsi="宋体" w:cs="宋体"/>
                <w:color w:val="auto"/>
              </w:rPr>
            </w:pPr>
            <w:r>
              <w:rPr>
                <w:rFonts w:hint="eastAsia" w:hAnsi="宋体" w:cs="宋体"/>
                <w:color w:val="auto"/>
              </w:rPr>
              <w:t>2</w:t>
            </w:r>
            <w:r>
              <w:rPr>
                <w:rFonts w:hAnsi="宋体" w:cs="宋体"/>
                <w:color w:val="auto"/>
              </w:rPr>
              <w:t>.</w:t>
            </w:r>
            <w:r>
              <w:rPr>
                <w:rFonts w:hint="eastAsia" w:hAnsi="宋体" w:cs="宋体"/>
                <w:color w:val="auto"/>
              </w:rPr>
              <w:t>本文件中描述供应商的“签字”是指供应商的法定代表人（或负责人）或被授权人亲自在磋商文件规定签署处亲笔写上个人的名字的行为，私章、签字章、印鉴、影印等其它形式均不能代替亲笔签字。</w:t>
            </w:r>
          </w:p>
          <w:p>
            <w:pPr>
              <w:pStyle w:val="24"/>
              <w:snapToGrid w:val="0"/>
              <w:spacing w:line="400" w:lineRule="exact"/>
              <w:rPr>
                <w:rFonts w:hAnsi="宋体" w:cs="宋体"/>
                <w:color w:val="auto"/>
              </w:rPr>
            </w:pPr>
            <w:r>
              <w:rPr>
                <w:rFonts w:hint="eastAsia" w:hAnsi="宋体" w:cs="宋体"/>
                <w:color w:val="auto"/>
              </w:rPr>
              <w:t>3</w:t>
            </w:r>
            <w:r>
              <w:rPr>
                <w:rFonts w:hAnsi="宋体" w:cs="宋体"/>
                <w:color w:val="auto"/>
              </w:rPr>
              <w:t>.</w:t>
            </w:r>
            <w:r>
              <w:rPr>
                <w:rFonts w:hint="eastAsia" w:hAnsi="宋体" w:cs="宋体"/>
                <w:color w:val="auto"/>
              </w:rPr>
              <w:t>本磋商文件所称的“以上”“以下”“以内”“届满”，包括本数；所称的“不满”“超过”“以外”，不包括本数。</w:t>
            </w:r>
          </w:p>
        </w:tc>
      </w:tr>
    </w:tbl>
    <w:p>
      <w:pPr>
        <w:rPr>
          <w:color w:val="auto"/>
        </w:rPr>
      </w:pPr>
      <w:r>
        <w:rPr>
          <w:rFonts w:ascii="宋体" w:hAnsi="宋体"/>
          <w:b/>
          <w:color w:val="auto"/>
          <w:sz w:val="32"/>
          <w:szCs w:val="32"/>
        </w:rPr>
        <w:br w:type="page"/>
      </w:r>
    </w:p>
    <w:p>
      <w:pPr>
        <w:spacing w:line="400" w:lineRule="exact"/>
        <w:jc w:val="center"/>
        <w:rPr>
          <w:rFonts w:ascii="宋体" w:hAnsi="宋体"/>
          <w:b/>
          <w:color w:val="auto"/>
          <w:sz w:val="32"/>
          <w:szCs w:val="32"/>
        </w:rPr>
      </w:pPr>
      <w:r>
        <w:rPr>
          <w:rFonts w:hint="eastAsia" w:ascii="宋体" w:hAnsi="宋体"/>
          <w:b/>
          <w:color w:val="auto"/>
          <w:sz w:val="32"/>
          <w:szCs w:val="32"/>
        </w:rPr>
        <w:t>供应商须知正文</w:t>
      </w:r>
    </w:p>
    <w:p>
      <w:pPr>
        <w:spacing w:line="400" w:lineRule="exact"/>
        <w:jc w:val="center"/>
        <w:rPr>
          <w:rFonts w:ascii="宋体" w:hAnsi="宋体"/>
          <w:b/>
          <w:color w:val="auto"/>
          <w:sz w:val="32"/>
          <w:szCs w:val="32"/>
        </w:rPr>
      </w:pPr>
    </w:p>
    <w:p>
      <w:pPr>
        <w:spacing w:line="400" w:lineRule="exact"/>
        <w:jc w:val="center"/>
        <w:rPr>
          <w:rFonts w:ascii="宋体" w:hAnsi="宋体"/>
          <w:b/>
          <w:color w:val="auto"/>
          <w:sz w:val="32"/>
          <w:szCs w:val="32"/>
        </w:rPr>
      </w:pPr>
      <w:r>
        <w:rPr>
          <w:rFonts w:hint="eastAsia" w:ascii="宋体" w:hAnsi="宋体"/>
          <w:b/>
          <w:color w:val="auto"/>
          <w:sz w:val="32"/>
          <w:szCs w:val="32"/>
        </w:rPr>
        <w:t>一、总则</w:t>
      </w:r>
    </w:p>
    <w:p>
      <w:pPr>
        <w:spacing w:line="400" w:lineRule="exact"/>
        <w:rPr>
          <w:rFonts w:ascii="宋体" w:hAnsi="宋体"/>
          <w:color w:val="auto"/>
        </w:rPr>
      </w:pP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1.适用范围</w:t>
      </w:r>
    </w:p>
    <w:p>
      <w:pPr>
        <w:spacing w:line="360" w:lineRule="auto"/>
        <w:ind w:firstLine="396" w:firstLineChars="200"/>
        <w:contextualSpacing/>
        <w:rPr>
          <w:rFonts w:ascii="宋体" w:hAnsi="宋体" w:cs="宋体"/>
          <w:color w:val="auto"/>
        </w:rPr>
      </w:pPr>
      <w:r>
        <w:rPr>
          <w:rFonts w:hint="eastAsia" w:ascii="宋体" w:hAnsi="宋体" w:cs="宋体"/>
          <w:color w:val="auto"/>
          <w:spacing w:val="-6"/>
        </w:rPr>
        <w:t>本竞争性磋商文件（以下简称磋商文件）适用于本项目的所有采购程序和环节（法律、法规另有规定的，从其规定）。</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2.定义</w:t>
      </w:r>
    </w:p>
    <w:p>
      <w:pPr>
        <w:spacing w:line="360" w:lineRule="auto"/>
        <w:ind w:firstLine="420" w:firstLineChars="200"/>
        <w:contextualSpacing/>
        <w:rPr>
          <w:rFonts w:ascii="宋体" w:hAnsi="宋体" w:cs="宋体"/>
          <w:color w:val="auto"/>
        </w:rPr>
      </w:pPr>
      <w:r>
        <w:rPr>
          <w:rFonts w:hint="eastAsia" w:ascii="宋体" w:hAnsi="宋体" w:cs="宋体"/>
          <w:color w:val="auto"/>
        </w:rPr>
        <w:t>2.1“采购人”是指依法进行采购的国家机关、事业单位、团体组织。</w:t>
      </w:r>
    </w:p>
    <w:p>
      <w:pPr>
        <w:spacing w:line="360" w:lineRule="auto"/>
        <w:ind w:firstLine="420" w:firstLineChars="200"/>
        <w:contextualSpacing/>
        <w:rPr>
          <w:rFonts w:ascii="宋体" w:hAnsi="宋体" w:cs="宋体"/>
          <w:color w:val="auto"/>
          <w:u w:val="single"/>
        </w:rPr>
      </w:pPr>
      <w:r>
        <w:rPr>
          <w:rFonts w:hint="eastAsia" w:ascii="宋体" w:hAnsi="宋体" w:cs="宋体"/>
          <w:color w:val="auto"/>
        </w:rPr>
        <w:t>2.2“采购代理机构”是指华夏城投项目管理有限公司。</w:t>
      </w:r>
    </w:p>
    <w:p>
      <w:pPr>
        <w:spacing w:line="360" w:lineRule="auto"/>
        <w:ind w:firstLine="420" w:firstLineChars="200"/>
        <w:contextualSpacing/>
        <w:rPr>
          <w:rFonts w:ascii="宋体" w:hAnsi="宋体" w:cs="宋体"/>
          <w:color w:val="auto"/>
        </w:rPr>
      </w:pPr>
      <w:r>
        <w:rPr>
          <w:rFonts w:hint="eastAsia" w:ascii="宋体" w:hAnsi="宋体" w:cs="宋体"/>
          <w:color w:val="auto"/>
        </w:rPr>
        <w:t>2.3“供应商”是指向采购人提供货物、工程或者服务的法人、其他组织或者自然人。</w:t>
      </w:r>
    </w:p>
    <w:p>
      <w:pPr>
        <w:spacing w:line="360" w:lineRule="auto"/>
        <w:ind w:firstLine="420" w:firstLineChars="200"/>
        <w:contextualSpacing/>
        <w:rPr>
          <w:rFonts w:ascii="宋体" w:hAnsi="宋体" w:cs="宋体"/>
          <w:color w:val="auto"/>
        </w:rPr>
      </w:pPr>
      <w:r>
        <w:rPr>
          <w:rFonts w:hint="eastAsia" w:ascii="宋体" w:hAnsi="宋体"/>
          <w:color w:val="auto"/>
        </w:rPr>
        <w:t>2.4</w:t>
      </w:r>
      <w:r>
        <w:rPr>
          <w:rFonts w:hint="eastAsia" w:ascii="宋体" w:hAnsi="宋体" w:cs="宋体"/>
          <w:color w:val="auto"/>
        </w:rPr>
        <w:t>“货物”是指各种形态和种类的物品，包括原材料、燃料、设备、产品等。</w:t>
      </w:r>
    </w:p>
    <w:p>
      <w:pPr>
        <w:spacing w:line="360" w:lineRule="auto"/>
        <w:ind w:firstLine="420" w:firstLineChars="200"/>
        <w:contextualSpacing/>
        <w:rPr>
          <w:rFonts w:ascii="宋体" w:hAnsi="宋体" w:cs="宋体"/>
          <w:color w:val="auto"/>
        </w:rPr>
      </w:pPr>
      <w:r>
        <w:rPr>
          <w:rFonts w:hint="eastAsia" w:ascii="宋体" w:hAnsi="宋体" w:cs="宋体"/>
          <w:color w:val="auto"/>
        </w:rPr>
        <w:t>2.</w:t>
      </w:r>
      <w:r>
        <w:rPr>
          <w:rFonts w:ascii="宋体" w:hAnsi="宋体" w:cs="宋体"/>
          <w:color w:val="auto"/>
        </w:rPr>
        <w:t>5</w:t>
      </w:r>
      <w:r>
        <w:rPr>
          <w:rFonts w:hint="eastAsia" w:ascii="宋体" w:hAnsi="宋体" w:cs="宋体"/>
          <w:color w:val="auto"/>
        </w:rPr>
        <w:t>“竞标”是指供应商按照本项目竞争性磋商公告规定的方式获取磋商文件、提交响应文件并希望获得标的的行为。</w:t>
      </w:r>
    </w:p>
    <w:p>
      <w:pPr>
        <w:spacing w:line="360" w:lineRule="auto"/>
        <w:ind w:firstLine="420" w:firstLineChars="200"/>
        <w:rPr>
          <w:rFonts w:ascii="宋体" w:hAnsi="宋体" w:cs="宋体"/>
          <w:color w:val="auto"/>
        </w:rPr>
      </w:pPr>
      <w:r>
        <w:rPr>
          <w:rFonts w:hint="eastAsia" w:ascii="宋体" w:hAnsi="宋体" w:cs="宋体"/>
          <w:color w:val="auto"/>
        </w:rPr>
        <w:t>2.6“售后服务” 是指包含但不限于供应商须承担的备品备件、包装、运输、装卸、保险、货到就位以及安装、调试、培训、保修和其他类似的义务。</w:t>
      </w:r>
    </w:p>
    <w:p>
      <w:pPr>
        <w:spacing w:line="360" w:lineRule="auto"/>
        <w:ind w:firstLine="420" w:firstLineChars="200"/>
        <w:contextualSpacing/>
        <w:rPr>
          <w:rFonts w:ascii="宋体" w:hAnsi="宋体" w:cs="宋体"/>
          <w:color w:val="auto"/>
        </w:rPr>
      </w:pPr>
      <w:r>
        <w:rPr>
          <w:rFonts w:hint="eastAsia" w:ascii="宋体" w:hAnsi="宋体" w:cs="宋体"/>
          <w:color w:val="auto"/>
        </w:rPr>
        <w:t>2.7“书面形式”是指合同书、信件和数据电文（包括电报、电传、传真、电子数据交换和电子邮件）等可以有形地表现所载内容的形式。</w:t>
      </w:r>
    </w:p>
    <w:p>
      <w:pPr>
        <w:spacing w:line="360" w:lineRule="auto"/>
        <w:ind w:firstLine="420" w:firstLineChars="200"/>
        <w:contextualSpacing/>
        <w:rPr>
          <w:rFonts w:ascii="宋体" w:hAnsi="宋体" w:cs="宋体"/>
          <w:color w:val="auto"/>
        </w:rPr>
      </w:pPr>
      <w:r>
        <w:rPr>
          <w:rFonts w:hint="eastAsia" w:ascii="宋体" w:hAnsi="宋体" w:cs="宋体"/>
          <w:color w:val="auto"/>
        </w:rPr>
        <w:t>2.8“响应文件”</w:t>
      </w:r>
      <w:r>
        <w:rPr>
          <w:rFonts w:hint="eastAsia" w:ascii="宋体" w:hAnsi="宋体" w:cs="宋体"/>
          <w:color w:val="auto"/>
          <w:spacing w:val="-6"/>
        </w:rPr>
        <w:t>是指：供应商根据本磋商文件要求，编制包含资格证明、报价、商务技术等所有内容的文件。</w:t>
      </w:r>
    </w:p>
    <w:p>
      <w:pPr>
        <w:spacing w:line="360" w:lineRule="auto"/>
        <w:ind w:firstLine="420" w:firstLineChars="200"/>
        <w:contextualSpacing/>
        <w:rPr>
          <w:rFonts w:ascii="宋体" w:hAnsi="宋体" w:cs="宋体"/>
          <w:color w:val="auto"/>
        </w:rPr>
      </w:pPr>
      <w:r>
        <w:rPr>
          <w:rFonts w:hint="eastAsia" w:ascii="宋体" w:hAnsi="宋体" w:cs="宋体"/>
          <w:color w:val="auto"/>
        </w:rPr>
        <w:t>2.9“实质性要求”是指磋商文件中已经指明不满足则响应文件按无效响应处理的条款，或者不能负偏离的条款，或者采购需求中带“▲”的条款。</w:t>
      </w:r>
    </w:p>
    <w:p>
      <w:pPr>
        <w:spacing w:line="360" w:lineRule="auto"/>
        <w:ind w:firstLine="420" w:firstLineChars="200"/>
        <w:contextualSpacing/>
        <w:rPr>
          <w:rFonts w:ascii="宋体" w:hAnsi="宋体" w:cs="宋体"/>
          <w:color w:val="auto"/>
        </w:rPr>
      </w:pPr>
      <w:r>
        <w:rPr>
          <w:rFonts w:hint="eastAsia" w:ascii="宋体" w:hAnsi="宋体" w:cs="宋体"/>
          <w:color w:val="auto"/>
        </w:rPr>
        <w:t>2.10“正偏离”，是指响应文件对磋商文件“采购需求”中有关条款作出的响应优于条款要求并有利于采购人的情形。</w:t>
      </w:r>
    </w:p>
    <w:p>
      <w:pPr>
        <w:spacing w:line="360" w:lineRule="auto"/>
        <w:ind w:firstLine="420" w:firstLineChars="200"/>
        <w:contextualSpacing/>
        <w:rPr>
          <w:rFonts w:ascii="宋体" w:hAnsi="宋体" w:cs="宋体"/>
          <w:color w:val="auto"/>
        </w:rPr>
      </w:pPr>
      <w:r>
        <w:rPr>
          <w:rFonts w:ascii="宋体" w:hAnsi="宋体" w:cs="宋体"/>
          <w:color w:val="auto"/>
        </w:rPr>
        <w:t>2.</w:t>
      </w:r>
      <w:r>
        <w:rPr>
          <w:rFonts w:hint="eastAsia" w:ascii="宋体" w:hAnsi="宋体" w:cs="宋体"/>
          <w:color w:val="auto"/>
        </w:rPr>
        <w:t>11“负偏离”，是指响应文件对磋商文件“采购需求”中有关条款作出的响应不满足条款要求，导致采购人要求不能得到满足的情形。</w:t>
      </w:r>
    </w:p>
    <w:p>
      <w:pPr>
        <w:spacing w:line="360" w:lineRule="auto"/>
        <w:ind w:firstLine="420" w:firstLineChars="200"/>
        <w:contextualSpacing/>
        <w:rPr>
          <w:rFonts w:ascii="宋体" w:hAnsi="宋体" w:cs="宋体"/>
          <w:color w:val="auto"/>
        </w:rPr>
      </w:pPr>
      <w:r>
        <w:rPr>
          <w:rFonts w:hint="eastAsia" w:ascii="宋体" w:hAnsi="宋体" w:cs="宋体"/>
          <w:color w:val="auto"/>
        </w:rPr>
        <w:t>2.12“允许负偏离的条款”是指采购需求中的不属于“实质性要求”的条款。</w:t>
      </w:r>
    </w:p>
    <w:p>
      <w:pPr>
        <w:spacing w:line="360" w:lineRule="auto"/>
        <w:ind w:firstLine="420" w:firstLineChars="200"/>
        <w:contextualSpacing/>
        <w:rPr>
          <w:rFonts w:ascii="宋体" w:hAnsi="宋体" w:cs="宋体"/>
          <w:color w:val="auto"/>
        </w:rPr>
      </w:pPr>
      <w:r>
        <w:rPr>
          <w:rFonts w:hint="eastAsia" w:ascii="宋体" w:hAnsi="宋体" w:cs="宋体"/>
          <w:color w:val="auto"/>
        </w:rPr>
        <w:t>2.</w:t>
      </w:r>
      <w:r>
        <w:rPr>
          <w:rFonts w:ascii="宋体" w:hAnsi="宋体" w:cs="宋体"/>
          <w:color w:val="auto"/>
        </w:rPr>
        <w:t>1</w:t>
      </w:r>
      <w:r>
        <w:rPr>
          <w:rFonts w:hint="eastAsia" w:ascii="宋体" w:hAnsi="宋体" w:cs="宋体"/>
          <w:color w:val="auto"/>
        </w:rPr>
        <w:t>3“首次报价”是指供应商提交的首次响应文件中的报价。</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3.供应商的资格条件</w:t>
      </w:r>
    </w:p>
    <w:p>
      <w:pPr>
        <w:spacing w:line="360" w:lineRule="auto"/>
        <w:ind w:firstLine="420" w:firstLineChars="200"/>
        <w:contextualSpacing/>
        <w:rPr>
          <w:rFonts w:ascii="宋体" w:hAnsi="宋体" w:cs="宋体"/>
          <w:color w:val="auto"/>
        </w:rPr>
      </w:pPr>
      <w:r>
        <w:rPr>
          <w:rFonts w:hint="eastAsia" w:ascii="宋体" w:hAnsi="宋体" w:cs="宋体"/>
          <w:color w:val="auto"/>
        </w:rPr>
        <w:t>供应商的资格条件详见“供应商须知前附表”。</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4.竞标费用</w:t>
      </w:r>
    </w:p>
    <w:p>
      <w:pPr>
        <w:spacing w:line="360" w:lineRule="auto"/>
        <w:ind w:firstLine="420" w:firstLineChars="200"/>
        <w:contextualSpacing/>
        <w:rPr>
          <w:rFonts w:ascii="宋体" w:hAnsi="宋体" w:cs="宋体"/>
          <w:color w:val="auto"/>
        </w:rPr>
      </w:pPr>
      <w:r>
        <w:rPr>
          <w:rFonts w:hint="eastAsia" w:ascii="宋体" w:hAnsi="宋体" w:cs="宋体"/>
          <w:color w:val="auto"/>
        </w:rPr>
        <w:t>供应商应承担参与本次采购活动有关的所有费用，包括但不限于获取磋商文件、勘查现场、编制和提交响应文件、参加磋商与应答、签订合同等，不论竞标结果如何，均应自行承担。</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5.联合体竞标</w:t>
      </w:r>
    </w:p>
    <w:p>
      <w:pPr>
        <w:spacing w:line="360" w:lineRule="auto"/>
        <w:ind w:firstLine="420" w:firstLineChars="200"/>
        <w:contextualSpacing/>
        <w:rPr>
          <w:rFonts w:ascii="宋体" w:hAnsi="宋体" w:cs="宋体"/>
          <w:color w:val="auto"/>
        </w:rPr>
      </w:pPr>
      <w:r>
        <w:rPr>
          <w:rFonts w:hint="eastAsia" w:ascii="宋体" w:hAnsi="宋体" w:cs="宋体"/>
          <w:color w:val="auto"/>
        </w:rPr>
        <w:t>5.1本项目是否接受联合体竞标，详见“供应商须知前附表”。</w:t>
      </w:r>
    </w:p>
    <w:p>
      <w:pPr>
        <w:spacing w:line="360" w:lineRule="auto"/>
        <w:ind w:firstLine="420" w:firstLineChars="200"/>
        <w:contextualSpacing/>
        <w:rPr>
          <w:rFonts w:ascii="宋体" w:hAnsi="宋体" w:cs="宋体"/>
          <w:color w:val="auto"/>
        </w:rPr>
      </w:pPr>
      <w:r>
        <w:rPr>
          <w:rFonts w:hint="eastAsia" w:ascii="宋体" w:hAnsi="宋体" w:cs="宋体"/>
          <w:color w:val="auto"/>
        </w:rPr>
        <w:t>5.2</w:t>
      </w:r>
      <w:r>
        <w:rPr>
          <w:rFonts w:hint="eastAsia" w:ascii="宋体" w:hAnsi="宋体"/>
          <w:color w:val="auto"/>
        </w:rPr>
        <w:t>如接受联合体竞标，</w:t>
      </w:r>
      <w:r>
        <w:rPr>
          <w:rFonts w:hint="eastAsia" w:ascii="宋体" w:hAnsi="宋体" w:cs="宋体"/>
          <w:color w:val="auto"/>
        </w:rPr>
        <w:t>联合体竞标要求详见“供应商须知前附表”。</w:t>
      </w:r>
    </w:p>
    <w:p>
      <w:pPr>
        <w:spacing w:line="360" w:lineRule="auto"/>
        <w:ind w:firstLine="420" w:firstLineChars="200"/>
        <w:contextualSpacing/>
        <w:rPr>
          <w:rFonts w:ascii="宋体" w:hAnsi="宋体" w:cs="宋体"/>
          <w:color w:val="auto"/>
        </w:rPr>
      </w:pPr>
      <w:r>
        <w:rPr>
          <w:rFonts w:hint="eastAsia" w:ascii="宋体" w:hAnsi="宋体" w:cs="宋体"/>
          <w:color w:val="auto"/>
        </w:rPr>
        <w:t>5.3</w:t>
      </w:r>
      <w:r>
        <w:rPr>
          <w:rFonts w:hint="eastAsia" w:ascii="宋体" w:hAnsi="宋体"/>
          <w:color w:val="auto"/>
        </w:rPr>
        <w:t>根据《政府采购促进中小企业发展管理办法》（财库〔2020〕46号）第九条第二款的规定，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的扣除，用扣除后的价格参加评审。</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 xml:space="preserve">6.转包与分包             </w:t>
      </w:r>
    </w:p>
    <w:p>
      <w:pPr>
        <w:spacing w:line="360" w:lineRule="auto"/>
        <w:ind w:firstLine="420" w:firstLineChars="200"/>
        <w:contextualSpacing/>
        <w:rPr>
          <w:rFonts w:ascii="宋体" w:hAnsi="宋体" w:cs="宋体"/>
          <w:color w:val="auto"/>
        </w:rPr>
      </w:pPr>
      <w:bookmarkStart w:id="33" w:name="_Toc254970532"/>
      <w:bookmarkStart w:id="34" w:name="_Toc254970673"/>
      <w:r>
        <w:rPr>
          <w:rFonts w:hint="eastAsia" w:ascii="宋体" w:hAnsi="宋体" w:cs="宋体"/>
          <w:color w:val="auto"/>
        </w:rPr>
        <w:t>6.1本项目不允许转包。</w:t>
      </w:r>
    </w:p>
    <w:p>
      <w:pPr>
        <w:spacing w:line="360" w:lineRule="auto"/>
        <w:ind w:firstLine="420" w:firstLineChars="200"/>
        <w:contextualSpacing/>
        <w:rPr>
          <w:rFonts w:ascii="宋体" w:hAnsi="宋体" w:cs="宋体"/>
          <w:color w:val="auto"/>
        </w:rPr>
      </w:pPr>
      <w:r>
        <w:rPr>
          <w:rFonts w:hint="eastAsia" w:ascii="宋体" w:hAnsi="宋体" w:cs="宋体"/>
          <w:color w:val="auto"/>
        </w:rPr>
        <w:t>6.2本项目是否允许分包详见“供应商须知前附表”，本项目不允许违法分包。允许分包的非主体、非关键性工作，根据法律法规规定承担该工作需要行政许可的，如该工作由供应商自行承担，供应商应具备相应的行政许可，如供应商不具备相应的行政许可必须采用分包的方式，但分包供应商应具备相应行政许可。</w:t>
      </w:r>
    </w:p>
    <w:p>
      <w:pPr>
        <w:spacing w:line="360" w:lineRule="auto"/>
        <w:ind w:firstLine="420" w:firstLineChars="200"/>
        <w:contextualSpacing/>
        <w:rPr>
          <w:rFonts w:ascii="宋体" w:hAnsi="宋体" w:cs="宋体"/>
          <w:color w:val="auto"/>
        </w:rPr>
      </w:pPr>
      <w:r>
        <w:rPr>
          <w:rFonts w:hint="eastAsia" w:ascii="宋体" w:hAnsi="宋体" w:cs="宋体"/>
          <w:color w:val="auto"/>
        </w:rPr>
        <w:t xml:space="preserve"> 6.3供应商根据磋商文件的规定和采购项目的实际情况，拟在成交后将成交项目的非主体、非关键性工作分包的，应当在响应文件中载明分包承担主体，分包承担主体应当具备相应资质条件且不得再次分包。</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7.特别说明</w:t>
      </w:r>
      <w:bookmarkEnd w:id="33"/>
      <w:bookmarkEnd w:id="34"/>
    </w:p>
    <w:p>
      <w:pPr>
        <w:spacing w:line="360" w:lineRule="auto"/>
        <w:ind w:firstLine="420" w:firstLineChars="200"/>
        <w:contextualSpacing/>
        <w:rPr>
          <w:rFonts w:ascii="宋体" w:hAnsi="宋体" w:cs="宋体"/>
          <w:color w:val="auto"/>
        </w:rPr>
      </w:pPr>
      <w:bookmarkStart w:id="35" w:name="_8.1提供相同品牌产品且通过资格审查、符合性审查的不同投标人参加同一合"/>
      <w:bookmarkEnd w:id="35"/>
      <w:r>
        <w:rPr>
          <w:rFonts w:hint="eastAsia" w:ascii="宋体" w:hAnsi="宋体" w:cs="宋体"/>
          <w:color w:val="auto"/>
        </w:rPr>
        <w:t>7.1提供相同品牌产品且通过资格审查、符合性审查的不同供应商参加同一合同项下竞标的，按一家供应商计算，评审后得分最高的同品牌供应商获得成交人推荐资格；评审得分相同的，由采购人或者采购人委托磋商小组按照“供应商须知前附表”规定的方式确定一个供应商获得成交人推荐资格，其他同品牌供应商不作为成交候选人。</w:t>
      </w:r>
    </w:p>
    <w:p>
      <w:pPr>
        <w:snapToGrid w:val="0"/>
        <w:spacing w:line="360" w:lineRule="auto"/>
        <w:ind w:left="2" w:leftChars="1" w:firstLine="420" w:firstLineChars="200"/>
        <w:rPr>
          <w:rFonts w:ascii="宋体" w:hAnsi="宋体"/>
          <w:color w:val="auto"/>
        </w:rPr>
      </w:pPr>
      <w:r>
        <w:rPr>
          <w:rFonts w:hint="eastAsia" w:ascii="宋体" w:hAnsi="宋体"/>
          <w:color w:val="auto"/>
        </w:rPr>
        <w:t>非单一产品采购项目，多家供应商提供的核心产品品牌相同的，按前款规定处理。</w:t>
      </w:r>
    </w:p>
    <w:p>
      <w:pPr>
        <w:spacing w:line="360" w:lineRule="auto"/>
        <w:ind w:firstLine="420" w:firstLineChars="200"/>
        <w:contextualSpacing/>
        <w:rPr>
          <w:rFonts w:ascii="宋体" w:hAnsi="宋体" w:cs="宋体"/>
          <w:color w:val="auto"/>
        </w:rPr>
      </w:pPr>
      <w:r>
        <w:rPr>
          <w:rFonts w:hint="eastAsia" w:ascii="宋体" w:hAnsi="宋体"/>
          <w:color w:val="auto"/>
        </w:rPr>
        <w:t xml:space="preserve">7.2如果本磋商文件要求提供供应商或制造商的资格、信誉、荣誉、业绩与企业认证等材料的，资格、信誉、荣誉、业绩与企业认证等必须为供应商或者制造商所拥有或自身获得 </w:t>
      </w:r>
      <w:r>
        <w:rPr>
          <w:rFonts w:hint="eastAsia" w:ascii="宋体" w:hAnsi="宋体" w:cs="宋体"/>
          <w:color w:val="auto"/>
        </w:rPr>
        <w:t>。</w:t>
      </w:r>
    </w:p>
    <w:p>
      <w:pPr>
        <w:spacing w:line="360" w:lineRule="auto"/>
        <w:ind w:firstLine="420" w:firstLineChars="200"/>
        <w:contextualSpacing/>
        <w:rPr>
          <w:rFonts w:ascii="宋体" w:hAnsi="宋体" w:cs="宋体"/>
          <w:color w:val="auto"/>
        </w:rPr>
      </w:pPr>
      <w:r>
        <w:rPr>
          <w:rFonts w:hint="eastAsia" w:ascii="宋体" w:hAnsi="宋体" w:cs="宋体"/>
          <w:color w:val="auto"/>
        </w:rPr>
        <w:t>7.3供应商应仔细阅读磋商文件的所有内容，按照磋商文件的要求提交响应文件，并对所提供的全部资料的真实性承担法律责任。</w:t>
      </w:r>
    </w:p>
    <w:p>
      <w:pPr>
        <w:spacing w:line="360" w:lineRule="auto"/>
        <w:ind w:firstLine="420" w:firstLineChars="200"/>
        <w:contextualSpacing/>
        <w:rPr>
          <w:rFonts w:ascii="宋体" w:hAnsi="宋体" w:cs="宋体"/>
          <w:color w:val="auto"/>
        </w:rPr>
      </w:pPr>
      <w:r>
        <w:rPr>
          <w:rFonts w:hint="eastAsia" w:ascii="宋体" w:hAnsi="宋体" w:cs="宋体"/>
          <w:color w:val="auto"/>
        </w:rPr>
        <w:t>7.4供应商在竞标活动中提供任何疑似虚假材料，将报监管部门查处；签订合同后发现的，成交供应商须依照《中华人民共和国消费者权益保护法》规定赔偿采购人，且民事赔偿并不免除违法供应商的行政与刑事责任。</w:t>
      </w:r>
    </w:p>
    <w:p>
      <w:pPr>
        <w:spacing w:line="360" w:lineRule="auto"/>
        <w:ind w:firstLine="420" w:firstLineChars="200"/>
        <w:contextualSpacing/>
        <w:rPr>
          <w:rFonts w:ascii="宋体" w:hAnsi="宋体" w:cs="宋体"/>
          <w:color w:val="auto"/>
        </w:rPr>
      </w:pPr>
      <w:r>
        <w:rPr>
          <w:rFonts w:hint="eastAsia" w:ascii="宋体" w:hAnsi="宋体" w:cs="宋体"/>
          <w:color w:val="auto"/>
        </w:rPr>
        <w:t>7.5在采购活动中，采购人员及相关人员与供应商有下列利害关系之一的，应当回避：</w:t>
      </w:r>
    </w:p>
    <w:p>
      <w:pPr>
        <w:spacing w:line="360" w:lineRule="auto"/>
        <w:ind w:firstLine="420" w:firstLineChars="200"/>
        <w:contextualSpacing/>
        <w:rPr>
          <w:rFonts w:ascii="宋体" w:hAnsi="宋体" w:cs="宋体"/>
          <w:color w:val="auto"/>
        </w:rPr>
      </w:pPr>
      <w:r>
        <w:rPr>
          <w:rFonts w:hint="eastAsia" w:ascii="宋体" w:hAnsi="宋体" w:cs="宋体"/>
          <w:color w:val="auto"/>
        </w:rPr>
        <w:t>（1）参加采购活动前3年内与供应商存在劳动关系；</w:t>
      </w:r>
    </w:p>
    <w:p>
      <w:pPr>
        <w:spacing w:line="360" w:lineRule="auto"/>
        <w:ind w:firstLine="420" w:firstLineChars="200"/>
        <w:contextualSpacing/>
        <w:rPr>
          <w:rFonts w:ascii="宋体" w:hAnsi="宋体" w:cs="宋体"/>
          <w:color w:val="auto"/>
        </w:rPr>
      </w:pPr>
      <w:r>
        <w:rPr>
          <w:rFonts w:hint="eastAsia" w:ascii="宋体" w:hAnsi="宋体" w:cs="宋体"/>
          <w:color w:val="auto"/>
        </w:rPr>
        <w:t>（2）参加采购活动前3年内担任供应商的董事、监事；</w:t>
      </w:r>
    </w:p>
    <w:p>
      <w:pPr>
        <w:spacing w:line="360" w:lineRule="auto"/>
        <w:ind w:firstLine="420" w:firstLineChars="200"/>
        <w:contextualSpacing/>
        <w:rPr>
          <w:rFonts w:ascii="宋体" w:hAnsi="宋体" w:cs="宋体"/>
          <w:color w:val="auto"/>
        </w:rPr>
      </w:pPr>
      <w:r>
        <w:rPr>
          <w:rFonts w:hint="eastAsia" w:ascii="宋体" w:hAnsi="宋体" w:cs="宋体"/>
          <w:color w:val="auto"/>
        </w:rPr>
        <w:t>（3）参加采购活动前3年内是供应商的控股股东或者实际控制人；</w:t>
      </w:r>
    </w:p>
    <w:p>
      <w:pPr>
        <w:spacing w:line="360" w:lineRule="auto"/>
        <w:ind w:firstLine="420" w:firstLineChars="200"/>
        <w:contextualSpacing/>
        <w:rPr>
          <w:rFonts w:ascii="宋体" w:hAnsi="宋体" w:cs="宋体"/>
          <w:color w:val="auto"/>
        </w:rPr>
      </w:pPr>
      <w:r>
        <w:rPr>
          <w:rFonts w:hint="eastAsia" w:ascii="宋体" w:hAnsi="宋体" w:cs="宋体"/>
          <w:color w:val="auto"/>
        </w:rPr>
        <w:t>（4）与供应商的法定代表人或者负责人有夫妻、直系血亲、三代以内旁系血亲或者近姻亲关系；</w:t>
      </w:r>
    </w:p>
    <w:p>
      <w:pPr>
        <w:spacing w:line="360" w:lineRule="auto"/>
        <w:ind w:firstLine="420" w:firstLineChars="200"/>
        <w:contextualSpacing/>
        <w:rPr>
          <w:rFonts w:ascii="宋体" w:hAnsi="宋体" w:cs="宋体"/>
          <w:color w:val="auto"/>
        </w:rPr>
      </w:pPr>
      <w:r>
        <w:rPr>
          <w:rFonts w:hint="eastAsia" w:ascii="宋体" w:hAnsi="宋体" w:cs="宋体"/>
          <w:color w:val="auto"/>
        </w:rPr>
        <w:t>（5）与供应商有其他可能影响采购活动公平、公正进行的关系。</w:t>
      </w:r>
    </w:p>
    <w:p>
      <w:pPr>
        <w:spacing w:line="360" w:lineRule="auto"/>
        <w:ind w:firstLine="420" w:firstLineChars="200"/>
        <w:contextualSpacing/>
        <w:rPr>
          <w:rFonts w:ascii="宋体" w:hAnsi="宋体" w:cs="宋体"/>
          <w:color w:val="auto"/>
        </w:rPr>
      </w:pPr>
      <w:r>
        <w:rPr>
          <w:rFonts w:hint="eastAsia" w:ascii="宋体" w:hAnsi="宋体" w:cs="宋体"/>
          <w:color w:val="auto"/>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spacing w:line="360" w:lineRule="auto"/>
        <w:ind w:firstLine="420" w:firstLineChars="200"/>
        <w:contextualSpacing/>
        <w:rPr>
          <w:rFonts w:ascii="宋体" w:hAnsi="宋体" w:cs="宋体"/>
          <w:color w:val="auto"/>
        </w:rPr>
      </w:pPr>
      <w:r>
        <w:rPr>
          <w:rFonts w:hint="eastAsia" w:ascii="宋体" w:hAnsi="宋体" w:cs="宋体"/>
          <w:color w:val="auto"/>
        </w:rPr>
        <w:t>7.6有下列情形之一的视为供应商相互串通竞标，响应文件将被视为无效：</w:t>
      </w:r>
    </w:p>
    <w:p>
      <w:pPr>
        <w:spacing w:line="360" w:lineRule="auto"/>
        <w:ind w:firstLine="420" w:firstLineChars="200"/>
        <w:contextualSpacing/>
        <w:rPr>
          <w:rFonts w:ascii="宋体" w:hAnsi="宋体" w:cs="宋体"/>
          <w:color w:val="auto"/>
        </w:rPr>
      </w:pPr>
      <w:r>
        <w:rPr>
          <w:rFonts w:hint="eastAsia" w:ascii="宋体" w:hAnsi="宋体" w:cs="宋体"/>
          <w:color w:val="auto"/>
        </w:rPr>
        <w:t xml:space="preserve">（1）不同供应商的响应文件由同一单位或者个人编制； </w:t>
      </w:r>
    </w:p>
    <w:p>
      <w:pPr>
        <w:spacing w:line="360" w:lineRule="auto"/>
        <w:ind w:firstLine="420" w:firstLineChars="200"/>
        <w:contextualSpacing/>
        <w:rPr>
          <w:rFonts w:ascii="宋体" w:hAnsi="宋体" w:cs="宋体"/>
          <w:color w:val="auto"/>
        </w:rPr>
      </w:pPr>
      <w:r>
        <w:rPr>
          <w:rFonts w:hint="eastAsia" w:ascii="宋体" w:hAnsi="宋体" w:cs="宋体"/>
          <w:color w:val="auto"/>
        </w:rPr>
        <w:t>（2）不同供应商委托同一单位或者个人办理竞标事宜；</w:t>
      </w:r>
    </w:p>
    <w:p>
      <w:pPr>
        <w:spacing w:line="360" w:lineRule="auto"/>
        <w:ind w:firstLine="420" w:firstLineChars="200"/>
        <w:contextualSpacing/>
        <w:rPr>
          <w:rFonts w:ascii="宋体" w:hAnsi="宋体" w:cs="宋体"/>
          <w:color w:val="auto"/>
        </w:rPr>
      </w:pPr>
      <w:r>
        <w:rPr>
          <w:rFonts w:hint="eastAsia" w:ascii="宋体" w:hAnsi="宋体" w:cs="宋体"/>
          <w:color w:val="auto"/>
        </w:rPr>
        <w:t>（3）不同的供应商的响应文件载明的项目管理员为同一个人；</w:t>
      </w:r>
    </w:p>
    <w:p>
      <w:pPr>
        <w:spacing w:line="360" w:lineRule="auto"/>
        <w:ind w:firstLine="420" w:firstLineChars="200"/>
        <w:contextualSpacing/>
        <w:rPr>
          <w:rFonts w:ascii="宋体" w:hAnsi="宋体" w:cs="宋体"/>
          <w:color w:val="auto"/>
        </w:rPr>
      </w:pPr>
      <w:r>
        <w:rPr>
          <w:rFonts w:hint="eastAsia" w:ascii="宋体" w:hAnsi="宋体" w:cs="宋体"/>
          <w:color w:val="auto"/>
        </w:rPr>
        <w:t>（4）不同供应商的响应文件异常一致或者报价呈规律性差异；</w:t>
      </w:r>
    </w:p>
    <w:p>
      <w:pPr>
        <w:spacing w:line="360" w:lineRule="auto"/>
        <w:ind w:firstLine="420" w:firstLineChars="200"/>
        <w:contextualSpacing/>
        <w:rPr>
          <w:rFonts w:ascii="宋体" w:hAnsi="宋体" w:cs="宋体"/>
          <w:color w:val="auto"/>
        </w:rPr>
      </w:pPr>
      <w:r>
        <w:rPr>
          <w:rFonts w:hint="eastAsia" w:ascii="宋体" w:hAnsi="宋体" w:cs="宋体"/>
          <w:color w:val="auto"/>
        </w:rPr>
        <w:t>（5）不同供应商的响应文件相互混装；</w:t>
      </w:r>
    </w:p>
    <w:p>
      <w:pPr>
        <w:tabs>
          <w:tab w:val="left" w:pos="6931"/>
        </w:tabs>
        <w:spacing w:line="360" w:lineRule="auto"/>
        <w:ind w:firstLine="420" w:firstLineChars="200"/>
        <w:contextualSpacing/>
        <w:rPr>
          <w:rFonts w:ascii="宋体" w:hAnsi="宋体" w:cs="宋体"/>
          <w:color w:val="auto"/>
        </w:rPr>
      </w:pPr>
      <w:r>
        <w:rPr>
          <w:rFonts w:hint="eastAsia" w:ascii="宋体" w:hAnsi="宋体" w:cs="宋体"/>
          <w:color w:val="auto"/>
        </w:rPr>
        <w:t>（6）不同供应商的磋商保证金从同一单位或者个人账户转出。</w:t>
      </w:r>
      <w:r>
        <w:rPr>
          <w:rFonts w:ascii="宋体" w:hAnsi="宋体" w:cs="宋体"/>
          <w:color w:val="auto"/>
        </w:rPr>
        <w:tab/>
      </w:r>
    </w:p>
    <w:p>
      <w:pPr>
        <w:spacing w:line="360" w:lineRule="auto"/>
        <w:ind w:firstLine="420" w:firstLineChars="200"/>
        <w:contextualSpacing/>
        <w:rPr>
          <w:rFonts w:ascii="宋体" w:hAnsi="宋体" w:cs="宋体"/>
          <w:color w:val="auto"/>
        </w:rPr>
      </w:pPr>
      <w:r>
        <w:rPr>
          <w:rFonts w:hint="eastAsia" w:ascii="宋体" w:hAnsi="宋体" w:cs="宋体"/>
          <w:color w:val="auto"/>
        </w:rPr>
        <w:t>7.7供应商有下列情形之一的，属于恶意串通行为，将报同级监督管理部门：</w:t>
      </w:r>
    </w:p>
    <w:p>
      <w:pPr>
        <w:spacing w:line="360" w:lineRule="auto"/>
        <w:ind w:firstLine="420" w:firstLineChars="200"/>
        <w:contextualSpacing/>
        <w:rPr>
          <w:rFonts w:ascii="宋体" w:hAnsi="宋体" w:cs="宋体"/>
          <w:color w:val="auto"/>
        </w:rPr>
      </w:pPr>
      <w:r>
        <w:rPr>
          <w:rFonts w:hint="eastAsia" w:ascii="宋体" w:hAnsi="宋体" w:cs="宋体"/>
          <w:color w:val="auto"/>
        </w:rPr>
        <w:t>（1）供应商直接或者间接从采购人或者采购代理机构处获得其他供应商的相关信息并修改其响应文件；</w:t>
      </w:r>
    </w:p>
    <w:p>
      <w:pPr>
        <w:spacing w:line="360" w:lineRule="auto"/>
        <w:ind w:firstLine="420" w:firstLineChars="200"/>
        <w:contextualSpacing/>
        <w:rPr>
          <w:rFonts w:ascii="宋体" w:hAnsi="宋体" w:cs="宋体"/>
          <w:color w:val="auto"/>
        </w:rPr>
      </w:pPr>
      <w:r>
        <w:rPr>
          <w:rFonts w:hint="eastAsia" w:ascii="宋体" w:hAnsi="宋体" w:cs="宋体"/>
          <w:color w:val="auto"/>
        </w:rPr>
        <w:t>（2）供应商按照采购人或者采购代理机构的授意撤换、修改响应文件；</w:t>
      </w:r>
    </w:p>
    <w:p>
      <w:pPr>
        <w:spacing w:line="360" w:lineRule="auto"/>
        <w:ind w:firstLine="420" w:firstLineChars="200"/>
        <w:contextualSpacing/>
        <w:rPr>
          <w:rFonts w:ascii="宋体" w:hAnsi="宋体" w:cs="宋体"/>
          <w:color w:val="auto"/>
        </w:rPr>
      </w:pPr>
      <w:r>
        <w:rPr>
          <w:rFonts w:hint="eastAsia" w:ascii="宋体" w:hAnsi="宋体" w:cs="宋体"/>
          <w:color w:val="auto"/>
        </w:rPr>
        <w:t>（3）供应商之间协商报价、技术方案等响应文件或者响应文件的实质性内容；</w:t>
      </w:r>
    </w:p>
    <w:p>
      <w:pPr>
        <w:spacing w:line="360" w:lineRule="auto"/>
        <w:ind w:firstLine="420" w:firstLineChars="200"/>
        <w:contextualSpacing/>
        <w:rPr>
          <w:rFonts w:ascii="宋体" w:hAnsi="宋体" w:cs="宋体"/>
          <w:color w:val="auto"/>
        </w:rPr>
      </w:pPr>
      <w:r>
        <w:rPr>
          <w:rFonts w:hint="eastAsia" w:ascii="宋体" w:hAnsi="宋体" w:cs="宋体"/>
          <w:color w:val="auto"/>
        </w:rPr>
        <w:t>（4）属于同一集团、协会、商会等组织成员的供应商按照该组织要求协同参加采购活动；</w:t>
      </w:r>
    </w:p>
    <w:p>
      <w:pPr>
        <w:spacing w:line="360" w:lineRule="auto"/>
        <w:ind w:firstLine="420" w:firstLineChars="200"/>
        <w:contextualSpacing/>
        <w:rPr>
          <w:rFonts w:ascii="宋体" w:hAnsi="宋体" w:cs="宋体"/>
          <w:color w:val="auto"/>
        </w:rPr>
      </w:pPr>
      <w:r>
        <w:rPr>
          <w:rFonts w:hint="eastAsia" w:ascii="宋体" w:hAnsi="宋体" w:cs="宋体"/>
          <w:color w:val="auto"/>
        </w:rPr>
        <w:t>（5）供应商之间事先约定一致抬高或者压低报价，或者在采购活动中事先约定轮流以高价位或者低价位成交，或者事先约定由某一特定供应商成交，然后再参加竞标；</w:t>
      </w:r>
    </w:p>
    <w:p>
      <w:pPr>
        <w:spacing w:line="360" w:lineRule="auto"/>
        <w:ind w:firstLine="420" w:firstLineChars="200"/>
        <w:contextualSpacing/>
        <w:rPr>
          <w:rFonts w:ascii="宋体" w:hAnsi="宋体" w:cs="宋体"/>
          <w:color w:val="auto"/>
        </w:rPr>
      </w:pPr>
      <w:r>
        <w:rPr>
          <w:rFonts w:hint="eastAsia" w:ascii="宋体" w:hAnsi="宋体" w:cs="宋体"/>
          <w:color w:val="auto"/>
        </w:rPr>
        <w:t>（6）供应商之间商定部分供应商放弃参加采购活动或者放弃成交；</w:t>
      </w:r>
    </w:p>
    <w:p>
      <w:pPr>
        <w:spacing w:line="360" w:lineRule="auto"/>
        <w:ind w:firstLine="420" w:firstLineChars="200"/>
        <w:contextualSpacing/>
        <w:rPr>
          <w:rFonts w:ascii="宋体" w:hAnsi="宋体" w:cs="宋体"/>
          <w:color w:val="auto"/>
        </w:rPr>
      </w:pPr>
      <w:r>
        <w:rPr>
          <w:rFonts w:hint="eastAsia" w:ascii="宋体" w:hAnsi="宋体" w:cs="宋体"/>
          <w:color w:val="auto"/>
        </w:rPr>
        <w:t>（7）供应商与采购人或者采购代理机构之间、供应商相互之间，为谋求特定供应商成交或者排斥其他供应商的其他串通行为。</w:t>
      </w:r>
    </w:p>
    <w:p>
      <w:pPr>
        <w:spacing w:line="360" w:lineRule="auto"/>
        <w:ind w:left="1" w:firstLine="417" w:firstLineChars="199"/>
        <w:contextualSpacing/>
        <w:jc w:val="center"/>
        <w:rPr>
          <w:rFonts w:ascii="宋体" w:hAnsi="宋体"/>
          <w:color w:val="auto"/>
        </w:rPr>
      </w:pPr>
      <w:bookmarkStart w:id="36" w:name="_Toc254970534"/>
      <w:bookmarkStart w:id="37" w:name="_Toc254970675"/>
    </w:p>
    <w:p>
      <w:pPr>
        <w:spacing w:line="360" w:lineRule="auto"/>
        <w:contextualSpacing/>
        <w:jc w:val="center"/>
        <w:rPr>
          <w:rFonts w:ascii="宋体" w:hAnsi="宋体"/>
          <w:b/>
          <w:bCs/>
          <w:color w:val="auto"/>
          <w:sz w:val="32"/>
          <w:szCs w:val="32"/>
        </w:rPr>
      </w:pPr>
      <w:r>
        <w:rPr>
          <w:rFonts w:hint="eastAsia" w:ascii="宋体" w:hAnsi="宋体"/>
          <w:b/>
          <w:bCs/>
          <w:color w:val="auto"/>
          <w:sz w:val="32"/>
          <w:szCs w:val="32"/>
        </w:rPr>
        <w:t>二、磋商文件</w:t>
      </w:r>
      <w:bookmarkEnd w:id="36"/>
      <w:bookmarkEnd w:id="37"/>
    </w:p>
    <w:p>
      <w:pPr>
        <w:spacing w:line="360" w:lineRule="auto"/>
        <w:contextualSpacing/>
        <w:jc w:val="center"/>
        <w:rPr>
          <w:rFonts w:ascii="宋体" w:hAnsi="宋体"/>
          <w:color w:val="auto"/>
        </w:rPr>
      </w:pP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8.磋商文件的构成</w:t>
      </w:r>
    </w:p>
    <w:p>
      <w:pPr>
        <w:spacing w:line="360" w:lineRule="auto"/>
        <w:ind w:firstLine="420" w:firstLineChars="200"/>
        <w:contextualSpacing/>
        <w:jc w:val="left"/>
        <w:rPr>
          <w:rFonts w:ascii="宋体" w:hAnsi="宋体"/>
          <w:color w:val="auto"/>
        </w:rPr>
      </w:pPr>
      <w:r>
        <w:rPr>
          <w:rFonts w:hint="eastAsia" w:ascii="宋体" w:hAnsi="宋体"/>
          <w:color w:val="auto"/>
        </w:rPr>
        <w:t>（1）竞争性磋商公告；</w:t>
      </w:r>
    </w:p>
    <w:p>
      <w:pPr>
        <w:spacing w:line="360" w:lineRule="auto"/>
        <w:ind w:firstLine="420" w:firstLineChars="200"/>
        <w:contextualSpacing/>
        <w:jc w:val="left"/>
        <w:rPr>
          <w:rFonts w:ascii="宋体" w:hAnsi="宋体"/>
          <w:color w:val="auto"/>
        </w:rPr>
      </w:pPr>
      <w:r>
        <w:rPr>
          <w:rFonts w:hint="eastAsia" w:ascii="宋体" w:hAnsi="宋体"/>
          <w:color w:val="auto"/>
        </w:rPr>
        <w:t xml:space="preserve">（2）供应商须知； </w:t>
      </w:r>
    </w:p>
    <w:p>
      <w:pPr>
        <w:spacing w:line="360" w:lineRule="auto"/>
        <w:ind w:firstLine="420" w:firstLineChars="200"/>
        <w:contextualSpacing/>
        <w:jc w:val="left"/>
        <w:rPr>
          <w:rFonts w:ascii="宋体" w:hAnsi="宋体"/>
          <w:color w:val="auto"/>
        </w:rPr>
      </w:pPr>
      <w:r>
        <w:rPr>
          <w:rFonts w:hint="eastAsia" w:ascii="宋体" w:hAnsi="宋体"/>
          <w:color w:val="auto"/>
        </w:rPr>
        <w:t>（3）采购需求；</w:t>
      </w:r>
    </w:p>
    <w:p>
      <w:pPr>
        <w:spacing w:line="360" w:lineRule="auto"/>
        <w:ind w:firstLine="420" w:firstLineChars="200"/>
        <w:contextualSpacing/>
        <w:jc w:val="left"/>
        <w:rPr>
          <w:rFonts w:ascii="宋体" w:hAnsi="宋体"/>
          <w:color w:val="auto"/>
        </w:rPr>
      </w:pPr>
      <w:r>
        <w:rPr>
          <w:rFonts w:hint="eastAsia" w:ascii="宋体" w:hAnsi="宋体"/>
          <w:color w:val="auto"/>
        </w:rPr>
        <w:t>（4）评审程序、评审方法和评审标准；</w:t>
      </w:r>
    </w:p>
    <w:p>
      <w:pPr>
        <w:spacing w:line="360" w:lineRule="auto"/>
        <w:ind w:firstLine="420" w:firstLineChars="200"/>
        <w:contextualSpacing/>
        <w:jc w:val="left"/>
        <w:rPr>
          <w:rFonts w:ascii="宋体" w:hAnsi="宋体"/>
          <w:color w:val="auto"/>
        </w:rPr>
      </w:pPr>
      <w:r>
        <w:rPr>
          <w:rFonts w:hint="eastAsia" w:ascii="宋体" w:hAnsi="宋体"/>
          <w:color w:val="auto"/>
        </w:rPr>
        <w:t>（5）响应文件格式；</w:t>
      </w:r>
    </w:p>
    <w:p>
      <w:pPr>
        <w:spacing w:line="360" w:lineRule="auto"/>
        <w:ind w:firstLine="420" w:firstLineChars="200"/>
        <w:contextualSpacing/>
        <w:jc w:val="left"/>
        <w:rPr>
          <w:rFonts w:ascii="宋体" w:hAnsi="宋体"/>
          <w:color w:val="auto"/>
        </w:rPr>
      </w:pPr>
      <w:r>
        <w:rPr>
          <w:rFonts w:hint="eastAsia" w:ascii="宋体" w:hAnsi="宋体"/>
          <w:color w:val="auto"/>
        </w:rPr>
        <w:t>（6）合同文本。</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9.供应商的询问</w:t>
      </w:r>
    </w:p>
    <w:p>
      <w:pPr>
        <w:spacing w:line="360" w:lineRule="auto"/>
        <w:ind w:firstLine="420" w:firstLineChars="200"/>
        <w:contextualSpacing/>
        <w:rPr>
          <w:rFonts w:ascii="宋体" w:hAnsi="宋体"/>
          <w:color w:val="auto"/>
        </w:rPr>
      </w:pPr>
      <w:r>
        <w:rPr>
          <w:rFonts w:hint="eastAsia" w:ascii="宋体" w:hAnsi="宋体"/>
          <w:color w:val="auto"/>
        </w:rPr>
        <w:t>供应商应认真阅读磋商文件的采购需求，如供应商对磋商文件有疑问的，如要求采购人作出澄清或者修改的，供应商尽可能在</w:t>
      </w:r>
      <w:r>
        <w:rPr>
          <w:rFonts w:ascii="宋体" w:hAnsi="宋体"/>
          <w:color w:val="auto"/>
        </w:rPr>
        <w:t>提交首次响应文件截止之日前</w:t>
      </w:r>
      <w:r>
        <w:rPr>
          <w:rFonts w:hint="eastAsia" w:ascii="宋体" w:hAnsi="宋体"/>
          <w:color w:val="auto"/>
        </w:rPr>
        <w:t>，以书面形式向</w:t>
      </w:r>
      <w:r>
        <w:rPr>
          <w:rFonts w:ascii="宋体" w:hAnsi="宋体"/>
          <w:color w:val="auto"/>
        </w:rPr>
        <w:t>采购人、采购代理机构</w:t>
      </w:r>
      <w:r>
        <w:rPr>
          <w:rFonts w:hint="eastAsia" w:ascii="宋体" w:hAnsi="宋体"/>
          <w:color w:val="auto"/>
        </w:rPr>
        <w:t>提出。</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10.磋商文件的澄清和修改</w:t>
      </w:r>
    </w:p>
    <w:p>
      <w:pPr>
        <w:spacing w:line="360" w:lineRule="auto"/>
        <w:ind w:firstLine="420" w:firstLineChars="200"/>
        <w:contextualSpacing/>
        <w:rPr>
          <w:rFonts w:ascii="宋体" w:hAnsi="宋体"/>
          <w:color w:val="auto"/>
        </w:rPr>
      </w:pPr>
      <w:r>
        <w:rPr>
          <w:rFonts w:ascii="宋体" w:hAnsi="宋体"/>
          <w:color w:val="auto"/>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或者磋商小组在提交首次响应文件截止之日3个工作日前，以书面形式通知所有</w:t>
      </w:r>
      <w:r>
        <w:rPr>
          <w:rFonts w:hint="eastAsia" w:ascii="宋体" w:hAnsi="宋体"/>
          <w:color w:val="auto"/>
        </w:rPr>
        <w:t>获取</w:t>
      </w:r>
      <w:r>
        <w:rPr>
          <w:rFonts w:ascii="宋体" w:hAnsi="宋体"/>
          <w:color w:val="auto"/>
        </w:rPr>
        <w:t>磋商文件的供应商，不足3个工作日的，应当顺延提交首次响应文件截止之日。</w:t>
      </w:r>
    </w:p>
    <w:p>
      <w:pPr>
        <w:spacing w:line="360" w:lineRule="auto"/>
        <w:contextualSpacing/>
        <w:jc w:val="center"/>
        <w:rPr>
          <w:rFonts w:ascii="宋体" w:hAnsi="宋体"/>
          <w:b/>
          <w:bCs/>
          <w:color w:val="auto"/>
        </w:rPr>
      </w:pPr>
      <w:r>
        <w:rPr>
          <w:rFonts w:hint="eastAsia" w:ascii="宋体" w:hAnsi="宋体"/>
          <w:b/>
          <w:bCs/>
          <w:color w:val="auto"/>
          <w:sz w:val="32"/>
          <w:szCs w:val="32"/>
        </w:rPr>
        <w:t>三、响应文件的编制</w:t>
      </w:r>
    </w:p>
    <w:p>
      <w:pPr>
        <w:spacing w:line="360" w:lineRule="auto"/>
        <w:contextualSpacing/>
        <w:rPr>
          <w:rFonts w:ascii="宋体" w:hAnsi="宋体"/>
          <w:color w:val="auto"/>
        </w:rPr>
      </w:pP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11.响应文件的编制原则</w:t>
      </w:r>
    </w:p>
    <w:p>
      <w:pPr>
        <w:spacing w:line="360" w:lineRule="auto"/>
        <w:ind w:firstLine="420" w:firstLineChars="200"/>
        <w:contextualSpacing/>
        <w:rPr>
          <w:rFonts w:ascii="宋体" w:hAnsi="宋体" w:cs="宋体"/>
          <w:color w:val="auto"/>
        </w:rPr>
      </w:pPr>
      <w:r>
        <w:rPr>
          <w:rFonts w:hint="eastAsia" w:ascii="宋体" w:hAnsi="宋体" w:cs="宋体"/>
          <w:color w:val="auto"/>
        </w:rPr>
        <w:t>供应商必须按照磋商文件的要求编制响应文件，并对其提交的响应文件的真实性、合法性承担法律责任。响应文件必须对磋商文件作出实质性响应。</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12.响应文件的组成</w:t>
      </w:r>
    </w:p>
    <w:p>
      <w:pPr>
        <w:spacing w:line="360" w:lineRule="auto"/>
        <w:ind w:firstLine="420" w:firstLineChars="200"/>
        <w:rPr>
          <w:rFonts w:ascii="宋体" w:hAnsi="宋体" w:cs="宋体"/>
          <w:color w:val="auto"/>
        </w:rPr>
      </w:pPr>
      <w:r>
        <w:rPr>
          <w:rFonts w:hint="eastAsia" w:ascii="宋体" w:hAnsi="宋体" w:cs="宋体"/>
          <w:color w:val="auto"/>
        </w:rPr>
        <w:t>12.1响应文件由资格证明文件、报价文件、商务技术文件三部分组成。</w:t>
      </w:r>
    </w:p>
    <w:p>
      <w:pPr>
        <w:spacing w:line="360" w:lineRule="auto"/>
        <w:ind w:left="840" w:leftChars="200" w:hanging="420" w:hangingChars="200"/>
        <w:rPr>
          <w:rFonts w:ascii="宋体" w:hAnsi="宋体" w:cs="宋体"/>
          <w:color w:val="auto"/>
        </w:rPr>
      </w:pPr>
      <w:r>
        <w:rPr>
          <w:rFonts w:hint="eastAsia" w:ascii="宋体" w:hAnsi="宋体" w:cs="宋体"/>
          <w:color w:val="auto"/>
        </w:rPr>
        <w:t>12.1.1资格证明文件：详见“供应商须知前附表”</w:t>
      </w:r>
    </w:p>
    <w:p>
      <w:pPr>
        <w:spacing w:line="360" w:lineRule="auto"/>
        <w:ind w:left="840" w:leftChars="200" w:hanging="420" w:hangingChars="200"/>
        <w:rPr>
          <w:rFonts w:ascii="宋体" w:hAnsi="宋体" w:cs="宋体"/>
          <w:color w:val="auto"/>
        </w:rPr>
      </w:pPr>
      <w:r>
        <w:rPr>
          <w:rFonts w:hint="eastAsia" w:ascii="宋体" w:hAnsi="宋体" w:cs="宋体"/>
          <w:color w:val="auto"/>
        </w:rPr>
        <w:t>12.1.2报价文件：详见“供应商须知前附表”</w:t>
      </w:r>
    </w:p>
    <w:p>
      <w:pPr>
        <w:spacing w:line="360" w:lineRule="auto"/>
        <w:ind w:left="840" w:leftChars="200" w:hanging="420" w:hangingChars="200"/>
        <w:contextualSpacing/>
        <w:rPr>
          <w:rFonts w:ascii="宋体" w:hAnsi="宋体" w:cs="宋体"/>
          <w:color w:val="auto"/>
        </w:rPr>
      </w:pPr>
      <w:r>
        <w:rPr>
          <w:rFonts w:hint="eastAsia" w:ascii="宋体" w:hAnsi="宋体" w:cs="宋体"/>
          <w:color w:val="auto"/>
        </w:rPr>
        <w:t>12.1.3商务技术文件：详见“供应商须知前附表”</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13.计量单位</w:t>
      </w:r>
    </w:p>
    <w:p>
      <w:pPr>
        <w:spacing w:line="360" w:lineRule="auto"/>
        <w:ind w:firstLine="420" w:firstLineChars="200"/>
        <w:contextualSpacing/>
        <w:rPr>
          <w:rFonts w:ascii="宋体" w:hAnsi="宋体" w:cs="宋体"/>
          <w:color w:val="auto"/>
        </w:rPr>
      </w:pPr>
      <w:r>
        <w:rPr>
          <w:rFonts w:hint="eastAsia" w:ascii="宋体" w:hAnsi="宋体" w:cs="宋体"/>
          <w:color w:val="auto"/>
        </w:rPr>
        <w:t>磋商文件已有明确规定的，使用磋商文件规定的计量单位；磋商文件没有规定的，应采用中华人民共和国法定计量单位，货币种类为人民币，否则视同未响应。</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14.竞标的风险</w:t>
      </w:r>
    </w:p>
    <w:p>
      <w:pPr>
        <w:spacing w:line="360" w:lineRule="auto"/>
        <w:ind w:firstLine="420" w:firstLineChars="200"/>
        <w:contextualSpacing/>
        <w:rPr>
          <w:rFonts w:ascii="宋体" w:hAnsi="宋体" w:cs="宋体"/>
          <w:color w:val="auto"/>
        </w:rPr>
      </w:pPr>
      <w:r>
        <w:rPr>
          <w:rFonts w:hint="eastAsia" w:ascii="宋体" w:hAnsi="宋体" w:cs="宋体"/>
          <w:color w:val="auto"/>
        </w:rPr>
        <w:t>供应商没有按照磋商文件要求提供全部资料，或者供应商没有对磋商文件在各方面作出实质性响应可能导致其响应无效，是供应商应当考虑的风险。</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15.竞标报价</w:t>
      </w:r>
    </w:p>
    <w:p>
      <w:pPr>
        <w:tabs>
          <w:tab w:val="left" w:pos="2492"/>
        </w:tabs>
        <w:spacing w:line="360" w:lineRule="auto"/>
        <w:ind w:firstLine="420" w:firstLineChars="200"/>
        <w:contextualSpacing/>
        <w:rPr>
          <w:rFonts w:ascii="宋体" w:hAnsi="宋体" w:cs="宋体"/>
          <w:color w:val="auto"/>
        </w:rPr>
      </w:pPr>
      <w:r>
        <w:rPr>
          <w:rFonts w:hint="eastAsia" w:ascii="宋体" w:hAnsi="宋体" w:cs="宋体"/>
          <w:color w:val="auto"/>
        </w:rPr>
        <w:t>15.1竞标报价应按磋商文件中“竞标报价表”格式填写。</w:t>
      </w:r>
    </w:p>
    <w:p>
      <w:pPr>
        <w:tabs>
          <w:tab w:val="left" w:pos="2492"/>
        </w:tabs>
        <w:spacing w:line="360" w:lineRule="auto"/>
        <w:ind w:firstLine="420" w:firstLineChars="200"/>
        <w:contextualSpacing/>
        <w:rPr>
          <w:rFonts w:ascii="宋体" w:hAnsi="宋体" w:cs="宋体"/>
          <w:color w:val="auto"/>
        </w:rPr>
      </w:pPr>
      <w:r>
        <w:rPr>
          <w:rFonts w:hint="eastAsia" w:ascii="宋体" w:hAnsi="宋体" w:cs="宋体"/>
          <w:color w:val="auto"/>
        </w:rPr>
        <w:t>15.2竞标报价的内容见“供应商须知前附表”。</w:t>
      </w:r>
    </w:p>
    <w:p>
      <w:pPr>
        <w:spacing w:line="360" w:lineRule="auto"/>
        <w:ind w:left="426" w:leftChars="203"/>
        <w:contextualSpacing/>
        <w:rPr>
          <w:rFonts w:ascii="宋体" w:hAnsi="宋体" w:cs="宋体"/>
          <w:color w:val="auto"/>
        </w:rPr>
      </w:pPr>
      <w:r>
        <w:rPr>
          <w:rFonts w:hint="eastAsia" w:ascii="宋体" w:hAnsi="宋体" w:cs="宋体"/>
          <w:color w:val="auto"/>
        </w:rPr>
        <w:t>15.3竞标报价要求</w:t>
      </w:r>
    </w:p>
    <w:p>
      <w:pPr>
        <w:spacing w:line="360" w:lineRule="auto"/>
        <w:ind w:firstLine="420" w:firstLineChars="200"/>
        <w:contextualSpacing/>
        <w:rPr>
          <w:rFonts w:ascii="宋体" w:hAnsi="宋体" w:cs="宋体"/>
          <w:color w:val="auto"/>
        </w:rPr>
      </w:pPr>
      <w:r>
        <w:rPr>
          <w:rFonts w:hint="eastAsia" w:ascii="宋体" w:hAnsi="宋体" w:cs="宋体"/>
          <w:color w:val="auto"/>
        </w:rPr>
        <w:t>1</w:t>
      </w:r>
      <w:r>
        <w:rPr>
          <w:rFonts w:ascii="宋体" w:hAnsi="宋体" w:cs="宋体"/>
          <w:color w:val="auto"/>
        </w:rPr>
        <w:t>5.3.1</w:t>
      </w:r>
      <w:r>
        <w:rPr>
          <w:rFonts w:hint="eastAsia" w:ascii="宋体" w:hAnsi="宋体" w:cs="宋体"/>
          <w:color w:val="auto"/>
        </w:rPr>
        <w:t>供应商的竞标报价应符合以下要求，否则响应文件按无效响应处理：</w:t>
      </w:r>
    </w:p>
    <w:p>
      <w:pPr>
        <w:spacing w:line="360" w:lineRule="auto"/>
        <w:ind w:left="420" w:leftChars="200"/>
        <w:contextualSpacing/>
        <w:rPr>
          <w:rFonts w:ascii="宋体" w:hAnsi="宋体" w:cs="宋体"/>
          <w:color w:val="auto"/>
        </w:rPr>
      </w:pPr>
      <w:r>
        <w:rPr>
          <w:rFonts w:hint="eastAsia" w:ascii="宋体" w:hAnsi="宋体" w:cs="宋体"/>
          <w:color w:val="auto"/>
        </w:rPr>
        <w:t>（1）供应商必须就“采购需求”中所竞标的每个分标的全部内容分别作完整唯一总价报价，</w:t>
      </w:r>
    </w:p>
    <w:p>
      <w:pPr>
        <w:spacing w:line="360" w:lineRule="auto"/>
        <w:contextualSpacing/>
        <w:rPr>
          <w:rFonts w:ascii="宋体" w:hAnsi="宋体" w:cs="宋体"/>
          <w:color w:val="auto"/>
        </w:rPr>
      </w:pPr>
      <w:r>
        <w:rPr>
          <w:rFonts w:hint="eastAsia" w:ascii="宋体" w:hAnsi="宋体" w:cs="宋体"/>
          <w:color w:val="auto"/>
        </w:rPr>
        <w:t>不得存在漏项报价；</w:t>
      </w:r>
    </w:p>
    <w:p>
      <w:pPr>
        <w:spacing w:line="360" w:lineRule="auto"/>
        <w:ind w:firstLine="420" w:firstLineChars="200"/>
        <w:contextualSpacing/>
        <w:rPr>
          <w:rFonts w:ascii="宋体" w:hAns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）供应商必须就所竞标的分标的单项内容作唯一报价。</w:t>
      </w:r>
    </w:p>
    <w:p>
      <w:pPr>
        <w:spacing w:line="360" w:lineRule="auto"/>
        <w:ind w:firstLine="420" w:firstLineChars="200"/>
        <w:contextualSpacing/>
        <w:rPr>
          <w:rFonts w:ascii="宋体" w:hAnsi="宋体" w:cs="宋体"/>
          <w:color w:val="auto"/>
        </w:rPr>
      </w:pPr>
      <w:r>
        <w:rPr>
          <w:rFonts w:hint="eastAsia" w:ascii="宋体" w:hAnsi="宋体" w:cs="宋体"/>
          <w:color w:val="auto"/>
        </w:rPr>
        <w:t>15.3.</w:t>
      </w:r>
      <w:r>
        <w:rPr>
          <w:rFonts w:ascii="宋体" w:hAnsi="宋体" w:cs="宋体"/>
          <w:color w:val="auto"/>
        </w:rPr>
        <w:t>2</w:t>
      </w:r>
      <w:r>
        <w:rPr>
          <w:rFonts w:hint="eastAsia" w:ascii="宋体" w:hAnsi="宋体" w:cs="宋体"/>
          <w:color w:val="auto"/>
        </w:rPr>
        <w:t>竞标报价（包含首次报价、最后报价）超过所竞标分标规定的采购预算金额或者最高限价或</w:t>
      </w:r>
      <w:r>
        <w:rPr>
          <w:rFonts w:hint="eastAsia" w:ascii="宋体" w:hAnsi="宋体"/>
          <w:color w:val="auto"/>
        </w:rPr>
        <w:t>单项最高限价（如有）</w:t>
      </w:r>
      <w:r>
        <w:rPr>
          <w:rFonts w:hint="eastAsia" w:ascii="宋体" w:hAnsi="宋体" w:cs="宋体"/>
          <w:color w:val="auto"/>
        </w:rPr>
        <w:t>的，其响应文件将按无效处理。</w:t>
      </w:r>
    </w:p>
    <w:p>
      <w:pPr>
        <w:spacing w:line="360" w:lineRule="auto"/>
        <w:ind w:firstLine="420" w:firstLineChars="200"/>
        <w:contextualSpacing/>
        <w:rPr>
          <w:rFonts w:ascii="宋体" w:hAnsi="宋体" w:cs="宋体"/>
          <w:color w:val="auto"/>
        </w:rPr>
      </w:pPr>
      <w:r>
        <w:rPr>
          <w:rFonts w:hint="eastAsia" w:ascii="宋体" w:hAnsi="宋体" w:cs="宋体"/>
          <w:color w:val="auto"/>
        </w:rPr>
        <w:t>15.3.</w:t>
      </w:r>
      <w:r>
        <w:rPr>
          <w:rFonts w:ascii="宋体" w:hAnsi="宋体" w:cs="宋体"/>
          <w:color w:val="auto"/>
        </w:rPr>
        <w:t>3</w:t>
      </w:r>
      <w:bookmarkStart w:id="38" w:name="_Hlk42592874"/>
      <w:r>
        <w:rPr>
          <w:rFonts w:hint="eastAsia" w:ascii="宋体" w:hAnsi="宋体" w:cs="宋体"/>
          <w:color w:val="auto"/>
        </w:rPr>
        <w:t>竞标报价（包含首次报价、最后报价）超过分项采购预算金额或者最高限价或</w:t>
      </w:r>
      <w:r>
        <w:rPr>
          <w:rFonts w:hint="eastAsia" w:ascii="宋体" w:hAnsi="宋体"/>
          <w:color w:val="auto"/>
        </w:rPr>
        <w:t>单项最高限价（如有）</w:t>
      </w:r>
      <w:r>
        <w:rPr>
          <w:rFonts w:hint="eastAsia" w:ascii="宋体" w:hAnsi="宋体" w:cs="宋体"/>
          <w:color w:val="auto"/>
        </w:rPr>
        <w:t>的，其响应文件将按无效处理。</w:t>
      </w:r>
    </w:p>
    <w:bookmarkEnd w:id="38"/>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16.竞标有效期</w:t>
      </w:r>
    </w:p>
    <w:p>
      <w:pPr>
        <w:spacing w:line="360" w:lineRule="auto"/>
        <w:ind w:firstLine="420" w:firstLineChars="200"/>
        <w:contextualSpacing/>
        <w:rPr>
          <w:rFonts w:ascii="宋体" w:hAnsi="宋体" w:cs="宋体"/>
          <w:color w:val="auto"/>
        </w:rPr>
      </w:pPr>
      <w:r>
        <w:rPr>
          <w:rFonts w:hint="eastAsia" w:ascii="宋体" w:hAnsi="宋体" w:cs="宋体"/>
          <w:color w:val="auto"/>
        </w:rPr>
        <w:t>16.1竞标有效期是指为保证采购人有足够的时间在提交响应文件后完成评审、确定成交供应商、合同签订等工作而要求供应商提交的响应文件在一定时间内保持有效的期限。</w:t>
      </w:r>
    </w:p>
    <w:p>
      <w:pPr>
        <w:spacing w:line="360" w:lineRule="auto"/>
        <w:ind w:firstLine="420" w:firstLineChars="200"/>
        <w:contextualSpacing/>
        <w:rPr>
          <w:rFonts w:ascii="宋体" w:hAnsi="宋体" w:cs="宋体"/>
          <w:color w:val="auto"/>
        </w:rPr>
      </w:pPr>
      <w:r>
        <w:rPr>
          <w:rFonts w:hint="eastAsia" w:ascii="宋体" w:hAnsi="宋体" w:cs="宋体"/>
          <w:color w:val="auto"/>
        </w:rPr>
        <w:t>16.2 竞标有效期应由供应商按“供应商须知前附表”规定的期限作出响应。</w:t>
      </w:r>
    </w:p>
    <w:p>
      <w:pPr>
        <w:spacing w:line="360" w:lineRule="auto"/>
        <w:ind w:firstLine="420" w:firstLineChars="200"/>
        <w:contextualSpacing/>
        <w:rPr>
          <w:rFonts w:ascii="宋体" w:hAnsi="宋体" w:cs="宋体"/>
          <w:color w:val="auto"/>
        </w:rPr>
      </w:pPr>
      <w:r>
        <w:rPr>
          <w:rFonts w:hint="eastAsia" w:ascii="宋体" w:hAnsi="宋体" w:cs="宋体"/>
          <w:color w:val="auto"/>
        </w:rPr>
        <w:t>16.3供应商的响应文件在竞标有效期内均保持有效。</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17.磋商保证金</w:t>
      </w:r>
    </w:p>
    <w:p>
      <w:pPr>
        <w:spacing w:line="360" w:lineRule="auto"/>
        <w:ind w:left="420" w:leftChars="200"/>
        <w:contextualSpacing/>
        <w:rPr>
          <w:rFonts w:ascii="宋体" w:hAnsi="宋体" w:cs="宋体"/>
          <w:color w:val="auto"/>
        </w:rPr>
      </w:pPr>
      <w:r>
        <w:rPr>
          <w:rFonts w:hint="eastAsia" w:ascii="宋体" w:hAnsi="宋体" w:cs="宋体"/>
          <w:color w:val="auto"/>
        </w:rPr>
        <w:t>17.1供应商须按“供应商须知前附表”的规定提交磋商保证金。</w:t>
      </w:r>
    </w:p>
    <w:p>
      <w:pPr>
        <w:spacing w:line="360" w:lineRule="auto"/>
        <w:ind w:left="420" w:leftChars="200"/>
        <w:contextualSpacing/>
        <w:rPr>
          <w:rFonts w:ascii="宋体" w:hAnsi="宋体" w:cs="宋体"/>
          <w:color w:val="auto"/>
        </w:rPr>
      </w:pPr>
      <w:r>
        <w:rPr>
          <w:rFonts w:hint="eastAsia" w:ascii="宋体" w:hAnsi="宋体" w:cs="宋体"/>
          <w:color w:val="auto"/>
        </w:rPr>
        <w:t>17.2磋商保证金的退还</w:t>
      </w:r>
    </w:p>
    <w:p>
      <w:pPr>
        <w:spacing w:line="360" w:lineRule="auto"/>
        <w:ind w:firstLine="420" w:firstLineChars="200"/>
        <w:contextualSpacing/>
        <w:rPr>
          <w:rFonts w:ascii="宋体" w:hAnsi="宋体" w:cs="宋体"/>
          <w:color w:val="auto"/>
        </w:rPr>
      </w:pPr>
      <w:r>
        <w:rPr>
          <w:rFonts w:hint="eastAsia" w:ascii="宋体" w:hAnsi="宋体" w:cs="宋体"/>
          <w:color w:val="auto"/>
        </w:rPr>
        <w:t>未</w:t>
      </w:r>
      <w:r>
        <w:rPr>
          <w:rFonts w:hint="eastAsia" w:ascii="宋体" w:hAnsi="宋体" w:cs="宋体"/>
          <w:color w:val="auto"/>
          <w:spacing w:val="-6"/>
        </w:rPr>
        <w:t>成交供应商的竞标保证金自成交通知书发出之日起5个工作日内退还；</w:t>
      </w:r>
      <w:r>
        <w:rPr>
          <w:rFonts w:hint="eastAsia" w:ascii="宋体" w:hAnsi="宋体" w:cs="宋体"/>
          <w:color w:val="auto"/>
        </w:rPr>
        <w:t xml:space="preserve">成交供应商的磋商保证金自签订合同之日起5个工作日内退还。 </w:t>
      </w:r>
    </w:p>
    <w:p>
      <w:pPr>
        <w:spacing w:line="360" w:lineRule="auto"/>
        <w:ind w:left="420" w:leftChars="200"/>
        <w:contextualSpacing/>
        <w:rPr>
          <w:rFonts w:ascii="宋体" w:hAnsi="宋体" w:cs="宋体"/>
          <w:color w:val="auto"/>
        </w:rPr>
      </w:pPr>
      <w:r>
        <w:rPr>
          <w:rFonts w:hint="eastAsia" w:ascii="宋体" w:hAnsi="宋体" w:cs="宋体"/>
          <w:color w:val="auto"/>
        </w:rPr>
        <w:t>17.3磋商保证金不计息。</w:t>
      </w:r>
    </w:p>
    <w:p>
      <w:pPr>
        <w:spacing w:line="360" w:lineRule="auto"/>
        <w:ind w:left="420" w:leftChars="200"/>
        <w:contextualSpacing/>
        <w:rPr>
          <w:rFonts w:ascii="宋体" w:hAnsi="宋体" w:cs="宋体"/>
          <w:color w:val="auto"/>
        </w:rPr>
      </w:pPr>
      <w:r>
        <w:rPr>
          <w:rFonts w:hint="eastAsia" w:ascii="宋体" w:hAnsi="宋体" w:cs="宋体"/>
          <w:color w:val="auto"/>
        </w:rPr>
        <w:t xml:space="preserve">17.4供应商有下列情形之一的，磋商保证金将不予退还： </w:t>
      </w:r>
    </w:p>
    <w:p>
      <w:pPr>
        <w:spacing w:line="360" w:lineRule="auto"/>
        <w:ind w:left="420" w:leftChars="200"/>
        <w:contextualSpacing/>
        <w:rPr>
          <w:rFonts w:ascii="宋体" w:hAnsi="宋体" w:cs="宋体"/>
          <w:color w:val="auto"/>
        </w:rPr>
      </w:pPr>
      <w:r>
        <w:rPr>
          <w:rFonts w:hint="eastAsia" w:ascii="宋体" w:hAnsi="宋体" w:cs="宋体"/>
          <w:color w:val="auto"/>
        </w:rPr>
        <w:t>（1）供应商在提交响应文件截止时间后撤回响应文件的；</w:t>
      </w:r>
    </w:p>
    <w:p>
      <w:pPr>
        <w:spacing w:line="360" w:lineRule="auto"/>
        <w:ind w:left="420" w:leftChars="200"/>
        <w:rPr>
          <w:rFonts w:ascii="宋体" w:hAnsi="宋体" w:cs="宋体"/>
          <w:color w:val="auto"/>
        </w:rPr>
      </w:pPr>
      <w:r>
        <w:rPr>
          <w:rFonts w:hint="eastAsia" w:ascii="宋体" w:hAnsi="宋体"/>
          <w:color w:val="auto"/>
        </w:rPr>
        <w:t>（2）未按规定提交履约保证金的；</w:t>
      </w:r>
    </w:p>
    <w:p>
      <w:pPr>
        <w:spacing w:line="360" w:lineRule="auto"/>
        <w:ind w:left="420" w:leftChars="200"/>
        <w:rPr>
          <w:rFonts w:ascii="宋体" w:hAnsi="宋体" w:cs="宋体"/>
          <w:color w:val="auto"/>
        </w:rPr>
      </w:pPr>
      <w:r>
        <w:rPr>
          <w:rFonts w:hint="eastAsia" w:ascii="宋体" w:hAnsi="宋体" w:cs="宋体"/>
          <w:color w:val="auto"/>
        </w:rPr>
        <w:t>（3）供应商在响应文件中提供虚假材料的；</w:t>
      </w:r>
    </w:p>
    <w:p>
      <w:pPr>
        <w:spacing w:line="360" w:lineRule="auto"/>
        <w:ind w:firstLine="420" w:firstLineChars="200"/>
        <w:rPr>
          <w:rFonts w:ascii="宋体" w:hAnsi="宋体" w:cs="宋体"/>
          <w:color w:val="auto"/>
        </w:rPr>
      </w:pPr>
      <w:r>
        <w:rPr>
          <w:rFonts w:hint="eastAsia" w:ascii="宋体" w:hAnsi="宋体" w:cs="宋体"/>
          <w:color w:val="auto"/>
        </w:rPr>
        <w:t>（4）除因不可抗力或者磋商文件认可的情形以外，成交供应商不与采购人签订合同的；</w:t>
      </w:r>
    </w:p>
    <w:p>
      <w:pPr>
        <w:spacing w:line="360" w:lineRule="auto"/>
        <w:ind w:left="420" w:leftChars="200"/>
        <w:rPr>
          <w:rFonts w:ascii="宋体" w:hAnsi="宋体" w:cs="宋体"/>
          <w:color w:val="auto"/>
        </w:rPr>
      </w:pPr>
      <w:r>
        <w:rPr>
          <w:rFonts w:hint="eastAsia" w:ascii="宋体" w:hAnsi="宋体" w:cs="宋体"/>
          <w:color w:val="auto"/>
        </w:rPr>
        <w:t>（5）供应商与采购人、其他供应商或者采购代理机构恶意串通的；</w:t>
      </w:r>
    </w:p>
    <w:p>
      <w:pPr>
        <w:spacing w:line="360" w:lineRule="auto"/>
        <w:ind w:left="420" w:leftChars="200"/>
        <w:contextualSpacing/>
        <w:rPr>
          <w:rFonts w:ascii="宋体" w:hAnsi="宋体" w:cs="宋体"/>
          <w:color w:val="auto"/>
        </w:rPr>
      </w:pPr>
      <w:r>
        <w:rPr>
          <w:rFonts w:hint="eastAsia" w:ascii="宋体" w:hAnsi="宋体" w:cs="宋体"/>
          <w:color w:val="auto"/>
        </w:rPr>
        <w:t>（6）法律法规规定的其他情形。</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18.响应文件编制的要求</w:t>
      </w:r>
    </w:p>
    <w:p>
      <w:pPr>
        <w:spacing w:line="360" w:lineRule="auto"/>
        <w:ind w:firstLine="420" w:firstLineChars="200"/>
        <w:rPr>
          <w:rFonts w:ascii="宋体" w:hAnsi="宋体" w:cs="宋体"/>
          <w:color w:val="auto"/>
        </w:rPr>
      </w:pPr>
      <w:r>
        <w:rPr>
          <w:rFonts w:hint="eastAsia" w:ascii="宋体" w:hAnsi="宋体" w:cs="宋体"/>
          <w:color w:val="auto"/>
        </w:rPr>
        <w:t>18.1磋商供应商应按本竞争性磋商文件规定的格式和顺序编制并标注页码，响应文件内容不完整、编排混乱导致响应文件被误读、漏读或者查找不到相关内容的后果由磋商供应商承担。</w:t>
      </w:r>
    </w:p>
    <w:p>
      <w:pPr>
        <w:spacing w:line="360" w:lineRule="auto"/>
        <w:ind w:firstLine="420" w:firstLineChars="200"/>
        <w:rPr>
          <w:rFonts w:ascii="宋体" w:hAnsi="宋体" w:cs="宋体"/>
          <w:color w:val="auto"/>
        </w:rPr>
      </w:pPr>
      <w:r>
        <w:rPr>
          <w:rFonts w:hint="eastAsia" w:ascii="宋体" w:hAnsi="宋体" w:cs="宋体"/>
          <w:color w:val="auto"/>
        </w:rPr>
        <w:t>18.2响应文件须由磋商供应商在规定位置盖章并由法定代表人或法定代表人的授权委托人签署，磋商供应商应写全称。</w:t>
      </w:r>
    </w:p>
    <w:p>
      <w:pPr>
        <w:spacing w:line="360" w:lineRule="auto"/>
        <w:ind w:firstLine="420" w:firstLineChars="200"/>
        <w:rPr>
          <w:rFonts w:ascii="宋体" w:hAnsi="宋体" w:cs="宋体"/>
          <w:color w:val="auto"/>
        </w:rPr>
      </w:pPr>
      <w:r>
        <w:rPr>
          <w:rFonts w:hint="eastAsia" w:ascii="宋体" w:hAnsi="宋体" w:cs="宋体"/>
          <w:color w:val="auto"/>
        </w:rPr>
        <w:t>18.3响应文件不得涂改，若有修改错漏处，须加盖单位公章或者法定代表人或授权委托人签字或盖章。响应文件因扫描不清晰或乱码或表达不清所引起的后果由磋商供应商负责。</w:t>
      </w:r>
    </w:p>
    <w:p>
      <w:pPr>
        <w:spacing w:line="360" w:lineRule="auto"/>
        <w:ind w:firstLine="420" w:firstLineChars="200"/>
        <w:rPr>
          <w:rFonts w:ascii="宋体" w:hAnsi="宋体" w:cs="宋体"/>
          <w:color w:val="auto"/>
        </w:rPr>
      </w:pPr>
      <w:r>
        <w:rPr>
          <w:rFonts w:hint="eastAsia" w:ascii="宋体" w:hAnsi="宋体" w:cs="宋体"/>
          <w:color w:val="auto"/>
        </w:rPr>
        <w:t>18.4竞争性磋商响应文件的组成：竞争性磋商响应文件应分为</w:t>
      </w:r>
      <w:r>
        <w:rPr>
          <w:rFonts w:hint="eastAsia" w:ascii="宋体" w:hAnsi="宋体" w:cs="宋体"/>
          <w:color w:val="auto"/>
          <w:lang w:eastAsia="zh-CN"/>
        </w:rPr>
        <w:t>报价</w:t>
      </w:r>
      <w:r>
        <w:rPr>
          <w:rFonts w:hint="eastAsia" w:ascii="宋体" w:hAnsi="宋体" w:cs="宋体"/>
          <w:color w:val="auto"/>
        </w:rPr>
        <w:t>文件、资格证明文件和商务技术文件三个部分组成（要求装订成一本）。详见“供应商须知前附表”</w:t>
      </w:r>
    </w:p>
    <w:p>
      <w:pPr>
        <w:spacing w:line="360" w:lineRule="auto"/>
        <w:ind w:firstLine="420" w:firstLineChars="200"/>
        <w:rPr>
          <w:rFonts w:ascii="宋体" w:hAnsi="宋体" w:cs="宋体"/>
          <w:color w:val="auto"/>
        </w:rPr>
      </w:pPr>
      <w:r>
        <w:rPr>
          <w:rFonts w:hint="eastAsia" w:ascii="宋体" w:hAnsi="宋体" w:cs="宋体"/>
          <w:color w:val="auto"/>
        </w:rPr>
        <w:t>18.5响应文件中标注的供应商名称应与主体资格证明（如营业执照或者事业单位法人证书或者执业许可证或者登记证书等）及公章一致，供应商为自然人的，标注的供应商名称应与身份证姓名及签名一致，否则其响应文件按无效响应处理。</w:t>
      </w:r>
    </w:p>
    <w:p>
      <w:pPr>
        <w:spacing w:line="360" w:lineRule="auto"/>
        <w:ind w:firstLine="482" w:firstLineChars="200"/>
        <w:rPr>
          <w:rFonts w:ascii="黑体" w:hAnsi="黑体" w:eastAsia="黑体"/>
          <w:color w:val="auto"/>
          <w:sz w:val="24"/>
        </w:rPr>
      </w:pPr>
      <w:r>
        <w:rPr>
          <w:rFonts w:hint="eastAsia" w:ascii="黑体" w:hAnsi="黑体" w:eastAsia="黑体" w:cs="宋体"/>
          <w:b/>
          <w:bCs/>
          <w:color w:val="auto"/>
          <w:sz w:val="24"/>
        </w:rPr>
        <w:t>19.</w:t>
      </w:r>
      <w:r>
        <w:rPr>
          <w:rFonts w:hint="eastAsia" w:ascii="黑体" w:hAnsi="黑体" w:eastAsia="黑体"/>
          <w:b/>
          <w:color w:val="auto"/>
          <w:sz w:val="24"/>
        </w:rPr>
        <w:t>响应文件</w:t>
      </w:r>
    </w:p>
    <w:p>
      <w:pPr>
        <w:spacing w:line="360" w:lineRule="auto"/>
        <w:ind w:firstLine="420" w:firstLineChars="200"/>
        <w:contextualSpacing/>
        <w:rPr>
          <w:rFonts w:ascii="宋体" w:hAnsi="宋体" w:cs="宋体"/>
          <w:color w:val="auto"/>
        </w:rPr>
      </w:pPr>
      <w:r>
        <w:rPr>
          <w:rFonts w:hint="eastAsia" w:hAnsi="宋体"/>
          <w:bCs/>
          <w:color w:val="auto"/>
        </w:rPr>
        <w:t>详见在“供应商须知前附表”。</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20.响应文件的提交</w:t>
      </w:r>
    </w:p>
    <w:p>
      <w:pPr>
        <w:spacing w:line="360" w:lineRule="auto"/>
        <w:ind w:firstLine="420" w:firstLineChars="200"/>
        <w:rPr>
          <w:rFonts w:hAnsi="宋体"/>
          <w:bCs/>
          <w:color w:val="auto"/>
        </w:rPr>
      </w:pPr>
      <w:r>
        <w:rPr>
          <w:rFonts w:hint="eastAsia" w:hAnsi="宋体"/>
          <w:bCs/>
          <w:color w:val="auto"/>
        </w:rPr>
        <w:t>20.1供应商必须按“供应商须知前附表”规定的</w:t>
      </w:r>
      <w:r>
        <w:rPr>
          <w:rFonts w:hint="eastAsia" w:ascii="宋体" w:hAnsi="宋体" w:cs="宋体"/>
          <w:color w:val="auto"/>
        </w:rPr>
        <w:t>时间</w:t>
      </w:r>
      <w:r>
        <w:rPr>
          <w:rFonts w:hint="eastAsia" w:ascii="宋体" w:hAnsi="宋体"/>
          <w:color w:val="auto"/>
        </w:rPr>
        <w:t>及</w:t>
      </w:r>
      <w:r>
        <w:rPr>
          <w:rFonts w:hint="eastAsia" w:hAnsi="宋体"/>
          <w:bCs/>
          <w:color w:val="auto"/>
        </w:rPr>
        <w:t>地点提交响应文件</w:t>
      </w:r>
    </w:p>
    <w:p>
      <w:pPr>
        <w:spacing w:line="360" w:lineRule="auto"/>
        <w:ind w:firstLine="422" w:firstLineChars="200"/>
        <w:contextualSpacing/>
        <w:rPr>
          <w:rFonts w:ascii="宋体" w:hAnsi="宋体"/>
          <w:b/>
          <w:color w:val="auto"/>
        </w:rPr>
      </w:pPr>
      <w:r>
        <w:rPr>
          <w:rFonts w:hint="eastAsia" w:ascii="宋体" w:hAnsi="宋体"/>
          <w:b/>
          <w:color w:val="auto"/>
        </w:rPr>
        <w:t>20.</w:t>
      </w:r>
      <w:r>
        <w:rPr>
          <w:rFonts w:ascii="宋体" w:hAnsi="宋体"/>
          <w:b/>
          <w:color w:val="auto"/>
        </w:rPr>
        <w:t>2</w:t>
      </w:r>
      <w:r>
        <w:rPr>
          <w:rFonts w:hint="eastAsia" w:ascii="宋体" w:hAnsi="宋体"/>
          <w:b/>
          <w:color w:val="auto"/>
        </w:rPr>
        <w:t>未在规定时间内提交或者未按照磋商文件要求密封的响应文件，采购人或采购代理机构将拒收。</w:t>
      </w:r>
    </w:p>
    <w:p>
      <w:pPr>
        <w:spacing w:line="440" w:lineRule="exact"/>
        <w:ind w:firstLine="420" w:firstLineChars="200"/>
        <w:rPr>
          <w:rFonts w:ascii="宋体" w:hAnsi="宋体"/>
          <w:color w:val="auto"/>
        </w:rPr>
      </w:pPr>
      <w:r>
        <w:rPr>
          <w:rFonts w:hint="eastAsia" w:ascii="宋体" w:hAnsi="宋体"/>
          <w:color w:val="auto"/>
        </w:rPr>
        <w:t>20.3竞争性磋商响应文件的份数和封装</w:t>
      </w:r>
    </w:p>
    <w:p>
      <w:pPr>
        <w:pStyle w:val="24"/>
        <w:spacing w:line="440" w:lineRule="exact"/>
        <w:ind w:firstLine="420"/>
        <w:rPr>
          <w:rFonts w:hAnsi="宋体"/>
          <w:color w:val="auto"/>
        </w:rPr>
      </w:pPr>
      <w:r>
        <w:rPr>
          <w:rFonts w:hint="eastAsia" w:hAnsi="宋体"/>
          <w:color w:val="auto"/>
        </w:rPr>
        <w:t>20.3.1供应商应将竞争性磋商响应文件中“</w:t>
      </w:r>
      <w:r>
        <w:rPr>
          <w:rFonts w:hint="eastAsia" w:hAnsi="宋体"/>
          <w:color w:val="auto"/>
          <w:lang w:eastAsia="zh-CN"/>
        </w:rPr>
        <w:t>报价</w:t>
      </w:r>
      <w:r>
        <w:rPr>
          <w:rFonts w:hint="eastAsia" w:hAnsi="宋体"/>
          <w:color w:val="auto"/>
        </w:rPr>
        <w:t>文件”和“资格证明文件”、“商务技术文件”装订成一本（三文件相隔之间用封面标识，封面写明“</w:t>
      </w:r>
      <w:r>
        <w:rPr>
          <w:rFonts w:hint="eastAsia" w:hAnsi="宋体"/>
          <w:color w:val="auto"/>
          <w:lang w:eastAsia="zh-CN"/>
        </w:rPr>
        <w:t>报价</w:t>
      </w:r>
      <w:r>
        <w:rPr>
          <w:rFonts w:hint="eastAsia" w:hAnsi="宋体"/>
          <w:color w:val="auto"/>
        </w:rPr>
        <w:t>文件”、“资格证明文件”、“商务技术文件”字样）。</w:t>
      </w:r>
    </w:p>
    <w:p>
      <w:pPr>
        <w:pStyle w:val="24"/>
        <w:spacing w:line="440" w:lineRule="exact"/>
        <w:ind w:firstLine="420"/>
        <w:rPr>
          <w:rFonts w:hAnsi="宋体"/>
          <w:color w:val="auto"/>
        </w:rPr>
      </w:pPr>
      <w:r>
        <w:rPr>
          <w:rFonts w:hint="eastAsia" w:hAnsi="宋体"/>
          <w:color w:val="auto"/>
        </w:rPr>
        <w:t xml:space="preserve">供应商将竞争性磋商响应文件按正、副本分别装订成册，在每个正、副本封面上标明“正本”或“副本”，以及项目名称、项目编号、供应商名称、供应商地址等内容。 </w:t>
      </w:r>
    </w:p>
    <w:p>
      <w:pPr>
        <w:pStyle w:val="24"/>
        <w:spacing w:line="440" w:lineRule="exact"/>
        <w:ind w:firstLine="420"/>
        <w:rPr>
          <w:rFonts w:hAnsi="宋体"/>
          <w:color w:val="auto"/>
        </w:rPr>
      </w:pPr>
      <w:r>
        <w:rPr>
          <w:rFonts w:hint="eastAsia" w:hAnsi="宋体"/>
          <w:color w:val="auto"/>
        </w:rPr>
        <w:t>20.3.2供应商应将竞争性磋商响应文件正、副本（正本一份，副本四份）并附竞争性磋商响应文件电子版U盘1份(U盘封面请注明项目名称、项目编号及磋商供应商名称)装入到一个竞争性磋商响应文件袋内，封装并加以密封（要求竞争性磋商响应文件袋无明显缝隙露出袋内文件）；</w:t>
      </w:r>
    </w:p>
    <w:p>
      <w:pPr>
        <w:pStyle w:val="24"/>
        <w:spacing w:line="440" w:lineRule="exact"/>
        <w:ind w:firstLine="420"/>
        <w:rPr>
          <w:rFonts w:hAnsi="宋体"/>
          <w:color w:val="auto"/>
        </w:rPr>
      </w:pPr>
      <w:r>
        <w:rPr>
          <w:rFonts w:hint="eastAsia" w:hAnsi="宋体"/>
          <w:color w:val="auto"/>
        </w:rPr>
        <w:t>文件袋外层封面上应写明：</w:t>
      </w:r>
    </w:p>
    <w:p>
      <w:pPr>
        <w:pStyle w:val="24"/>
        <w:spacing w:line="440" w:lineRule="exact"/>
        <w:ind w:firstLine="420"/>
        <w:rPr>
          <w:rFonts w:hAnsi="宋体"/>
          <w:color w:val="auto"/>
        </w:rPr>
      </w:pPr>
      <w:r>
        <w:rPr>
          <w:rFonts w:hint="eastAsia" w:hAnsi="宋体"/>
          <w:color w:val="auto"/>
        </w:rPr>
        <w:t>1）项目名称：</w:t>
      </w:r>
    </w:p>
    <w:p>
      <w:pPr>
        <w:pStyle w:val="24"/>
        <w:spacing w:line="440" w:lineRule="exact"/>
        <w:ind w:firstLine="420"/>
        <w:rPr>
          <w:rFonts w:hAnsi="宋体"/>
          <w:color w:val="auto"/>
        </w:rPr>
      </w:pPr>
      <w:r>
        <w:rPr>
          <w:rFonts w:hint="eastAsia" w:hAnsi="宋体"/>
          <w:color w:val="auto"/>
        </w:rPr>
        <w:t>2）项目编号：</w:t>
      </w:r>
    </w:p>
    <w:p>
      <w:pPr>
        <w:pStyle w:val="24"/>
        <w:spacing w:line="440" w:lineRule="exact"/>
        <w:ind w:firstLine="420"/>
        <w:rPr>
          <w:rFonts w:hAnsi="宋体"/>
          <w:color w:val="auto"/>
        </w:rPr>
      </w:pPr>
      <w:r>
        <w:rPr>
          <w:rFonts w:hint="eastAsia" w:hAnsi="宋体"/>
          <w:color w:val="auto"/>
        </w:rPr>
        <w:t>3）分标号：</w:t>
      </w:r>
    </w:p>
    <w:p>
      <w:pPr>
        <w:pStyle w:val="24"/>
        <w:spacing w:line="440" w:lineRule="exact"/>
        <w:ind w:firstLine="420"/>
        <w:rPr>
          <w:rFonts w:hAnsi="宋体"/>
          <w:color w:val="auto"/>
        </w:rPr>
      </w:pPr>
      <w:r>
        <w:rPr>
          <w:rFonts w:hint="eastAsia" w:hAnsi="宋体"/>
          <w:color w:val="auto"/>
        </w:rPr>
        <w:t>4）供应商名称：</w:t>
      </w:r>
    </w:p>
    <w:p>
      <w:pPr>
        <w:pStyle w:val="24"/>
        <w:spacing w:line="440" w:lineRule="exact"/>
        <w:ind w:firstLine="420"/>
        <w:rPr>
          <w:rFonts w:hAnsi="宋体"/>
          <w:bCs/>
          <w:color w:val="auto"/>
        </w:rPr>
      </w:pPr>
      <w:r>
        <w:rPr>
          <w:rFonts w:hint="eastAsia" w:hAnsi="宋体"/>
          <w:color w:val="auto"/>
        </w:rPr>
        <w:t>5）（截标时才能启封）</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21.首次响应文件的补充、修改与撤回</w:t>
      </w:r>
    </w:p>
    <w:p>
      <w:pPr>
        <w:spacing w:line="360" w:lineRule="auto"/>
        <w:ind w:firstLine="420" w:firstLineChars="200"/>
        <w:contextualSpacing/>
        <w:rPr>
          <w:rFonts w:ascii="宋体" w:hAnsi="宋体" w:cs="宋体"/>
          <w:color w:val="auto"/>
        </w:rPr>
      </w:pPr>
      <w:bookmarkStart w:id="39" w:name="_Hlk45702405"/>
      <w:r>
        <w:rPr>
          <w:rFonts w:hint="eastAsia" w:ascii="宋体" w:hAnsi="宋体" w:cs="宋体"/>
          <w:color w:val="auto"/>
        </w:rPr>
        <w:t>供应商应当在截止时间前完成响应文件的提交，并可以补充、修改或者撤回响应文件。补充或者修改响应文件的，应当先行撤回原文件，补充、修改后重新递交。截止时间前未递交的，视为撤回响应文件。截止时间后递交的响应文件，采购代理机构将予以拒收。截止时间后，供应商不得撤回、修改响应文件。</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22.响应文件的退回</w:t>
      </w:r>
    </w:p>
    <w:p>
      <w:pPr>
        <w:spacing w:line="360" w:lineRule="auto"/>
        <w:ind w:firstLine="420" w:firstLineChars="200"/>
        <w:contextualSpacing/>
        <w:rPr>
          <w:rFonts w:ascii="宋体" w:hAnsi="宋体" w:cs="宋体"/>
          <w:color w:val="auto"/>
        </w:rPr>
      </w:pPr>
      <w:r>
        <w:rPr>
          <w:rFonts w:hint="eastAsia" w:ascii="宋体" w:hAnsi="宋体" w:cs="宋体"/>
          <w:color w:val="auto"/>
        </w:rPr>
        <w:t>采购人和采购代理机构对已提交的响应文件概不退回。</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23.截止时间后的撤回</w:t>
      </w:r>
    </w:p>
    <w:p>
      <w:pPr>
        <w:spacing w:line="360" w:lineRule="auto"/>
        <w:ind w:firstLine="420" w:firstLineChars="200"/>
        <w:contextualSpacing/>
        <w:rPr>
          <w:rFonts w:ascii="宋体" w:hAnsi="宋体" w:cs="宋体"/>
          <w:color w:val="auto"/>
        </w:rPr>
      </w:pPr>
      <w:r>
        <w:rPr>
          <w:rFonts w:hint="eastAsia" w:ascii="宋体" w:hAnsi="宋体" w:cs="宋体"/>
          <w:color w:val="auto"/>
        </w:rPr>
        <w:t>供应商在响应文件提交截止时间后向采购人、采购代理机构书面申请撤回响应文件的，将根据本须知正文17.4的规定不予退还其磋商保证金。</w:t>
      </w:r>
    </w:p>
    <w:bookmarkEnd w:id="39"/>
    <w:p>
      <w:pPr>
        <w:spacing w:line="360" w:lineRule="auto"/>
        <w:contextualSpacing/>
        <w:rPr>
          <w:rFonts w:ascii="宋体" w:hAnsi="宋体"/>
          <w:color w:val="auto"/>
        </w:rPr>
      </w:pPr>
    </w:p>
    <w:p>
      <w:pPr>
        <w:spacing w:line="360" w:lineRule="auto"/>
        <w:ind w:left="420" w:firstLine="420"/>
        <w:contextualSpacing/>
        <w:jc w:val="center"/>
        <w:rPr>
          <w:rFonts w:ascii="宋体" w:hAnsi="宋体"/>
          <w:b/>
          <w:bCs/>
          <w:color w:val="auto"/>
          <w:sz w:val="32"/>
          <w:szCs w:val="32"/>
        </w:rPr>
      </w:pPr>
      <w:r>
        <w:rPr>
          <w:rFonts w:hint="eastAsia" w:ascii="宋体" w:hAnsi="宋体"/>
          <w:b/>
          <w:bCs/>
          <w:color w:val="auto"/>
          <w:sz w:val="32"/>
          <w:szCs w:val="32"/>
        </w:rPr>
        <w:t>四、评审及磋商</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24.磋商小组成立</w:t>
      </w:r>
    </w:p>
    <w:p>
      <w:pPr>
        <w:spacing w:line="360" w:lineRule="auto"/>
        <w:ind w:firstLine="420" w:firstLineChars="200"/>
        <w:contextualSpacing/>
        <w:rPr>
          <w:rFonts w:ascii="宋体" w:hAnsi="宋体" w:cs="宋体"/>
          <w:color w:val="auto"/>
        </w:rPr>
      </w:pPr>
      <w:r>
        <w:rPr>
          <w:rFonts w:hint="eastAsia" w:ascii="宋体" w:hAnsi="宋体" w:cs="宋体"/>
          <w:color w:val="auto"/>
        </w:rPr>
        <w:t>24.1</w:t>
      </w:r>
      <w:bookmarkStart w:id="40" w:name="_Hlk71302993"/>
      <w:r>
        <w:rPr>
          <w:rFonts w:hint="eastAsia" w:ascii="宋体" w:hAnsi="宋体" w:cs="宋体"/>
          <w:color w:val="auto"/>
        </w:rPr>
        <w:t>磋商小组</w:t>
      </w:r>
      <w:bookmarkEnd w:id="40"/>
      <w:r>
        <w:rPr>
          <w:rFonts w:hint="eastAsia" w:ascii="宋体" w:hAnsi="宋体" w:cs="宋体"/>
          <w:color w:val="auto"/>
        </w:rPr>
        <w:t>由采购人代表和评审专家共3人以上单数组成，具体人数见“供应商须知前附表”，其中评审专家人数不得少于磋商小组成员总数的2/3。采购人代表不得以评审专家身份参加本部门或者本单位采购项目的评审。采购代理机构人员不得参加本机构代理的采购项目的评审。达到公开招标数额标准的货物或者服务采购项目，或者达到公开招标规模标准的政府采购工程，经批准采用竞争性磋商方式采购的，磋商小组由5人以上单数组成。</w:t>
      </w:r>
    </w:p>
    <w:p>
      <w:pPr>
        <w:spacing w:line="360" w:lineRule="auto"/>
        <w:ind w:firstLine="420" w:firstLineChars="200"/>
        <w:contextualSpacing/>
        <w:rPr>
          <w:rFonts w:ascii="宋体" w:hAnsi="宋体" w:cs="宋体"/>
          <w:color w:val="auto"/>
        </w:rPr>
      </w:pPr>
      <w:r>
        <w:rPr>
          <w:rFonts w:hint="eastAsia" w:ascii="宋体" w:hAnsi="宋体" w:cs="宋体"/>
          <w:color w:val="auto"/>
        </w:rPr>
        <w:t>24.2评审专家应当从政府采购评审专家库内相关专业的专家名单中随机抽取。市场竞争不充分的科研项目，以及需要扶持的科技成果转化项目，以及情况特殊、通过随机方式难以确定合适的评审专家的项目，经主管预算单位同意，可以自行选定评审专家。技术复杂、专业性强的采购项目，评审专家中应当包含1名法律专家。</w:t>
      </w:r>
    </w:p>
    <w:p>
      <w:pPr>
        <w:spacing w:line="360" w:lineRule="auto"/>
        <w:ind w:firstLine="482" w:firstLineChars="200"/>
        <w:rPr>
          <w:rFonts w:ascii="黑体" w:hAnsi="黑体" w:eastAsia="黑体" w:cs="宋体"/>
          <w:b/>
          <w:bCs/>
          <w:color w:val="auto"/>
          <w:sz w:val="24"/>
        </w:rPr>
      </w:pPr>
      <w:r>
        <w:rPr>
          <w:rFonts w:ascii="黑体" w:hAnsi="黑体" w:eastAsia="黑体" w:cs="宋体"/>
          <w:b/>
          <w:bCs/>
          <w:color w:val="auto"/>
          <w:sz w:val="24"/>
        </w:rPr>
        <w:t>25.</w:t>
      </w:r>
      <w:r>
        <w:rPr>
          <w:rFonts w:hint="eastAsia" w:ascii="黑体" w:hAnsi="黑体" w:eastAsia="黑体" w:cs="宋体"/>
          <w:b/>
          <w:bCs/>
          <w:color w:val="auto"/>
          <w:sz w:val="24"/>
        </w:rPr>
        <w:t>首次响应文件的开启</w:t>
      </w:r>
    </w:p>
    <w:p>
      <w:pPr>
        <w:spacing w:line="360" w:lineRule="auto"/>
        <w:ind w:firstLine="420" w:firstLineChars="200"/>
        <w:contextualSpacing/>
        <w:rPr>
          <w:rFonts w:ascii="宋体" w:hAnsi="宋体" w:cs="宋体"/>
          <w:color w:val="auto"/>
        </w:rPr>
      </w:pPr>
      <w:r>
        <w:rPr>
          <w:rFonts w:hint="eastAsia" w:hAnsi="宋体"/>
          <w:bCs/>
          <w:color w:val="auto"/>
        </w:rPr>
        <w:t>采购代理机构将在“供应商须知前附表”规定的时</w:t>
      </w:r>
      <w:r>
        <w:rPr>
          <w:rFonts w:hint="eastAsia" w:hAnsi="宋体"/>
          <w:color w:val="auto"/>
        </w:rPr>
        <w:t>间组织响应文件开启</w:t>
      </w:r>
      <w:r>
        <w:rPr>
          <w:b/>
          <w:color w:val="auto"/>
        </w:rPr>
        <w:t>。</w:t>
      </w:r>
    </w:p>
    <w:p>
      <w:pPr>
        <w:spacing w:line="360" w:lineRule="auto"/>
        <w:ind w:firstLine="482" w:firstLineChars="200"/>
        <w:contextualSpacing/>
        <w:rPr>
          <w:rFonts w:ascii="黑体" w:hAnsi="黑体" w:eastAsia="黑体" w:cs="宋体"/>
          <w:b/>
          <w:bCs/>
          <w:color w:val="auto"/>
          <w:sz w:val="24"/>
        </w:rPr>
      </w:pPr>
      <w:r>
        <w:rPr>
          <w:rFonts w:ascii="黑体" w:hAnsi="黑体" w:eastAsia="黑体" w:cs="宋体"/>
          <w:b/>
          <w:bCs/>
          <w:color w:val="auto"/>
          <w:sz w:val="24"/>
        </w:rPr>
        <w:t>26</w:t>
      </w:r>
      <w:r>
        <w:rPr>
          <w:rFonts w:hint="eastAsia" w:ascii="黑体" w:hAnsi="黑体" w:eastAsia="黑体" w:cs="宋体"/>
          <w:b/>
          <w:bCs/>
          <w:color w:val="auto"/>
          <w:sz w:val="24"/>
        </w:rPr>
        <w:t>.评审程序、评审方法和评审标准</w:t>
      </w:r>
    </w:p>
    <w:p>
      <w:pPr>
        <w:spacing w:line="360" w:lineRule="auto"/>
        <w:ind w:firstLine="420" w:firstLineChars="200"/>
        <w:contextualSpacing/>
        <w:rPr>
          <w:rFonts w:ascii="宋体" w:hAnsi="宋体" w:cs="宋体"/>
          <w:color w:val="auto"/>
        </w:rPr>
      </w:pPr>
      <w:r>
        <w:rPr>
          <w:rFonts w:hint="eastAsia" w:ascii="宋体" w:hAnsi="宋体" w:cs="宋体"/>
          <w:color w:val="auto"/>
        </w:rPr>
        <w:t>2</w:t>
      </w:r>
      <w:r>
        <w:rPr>
          <w:rFonts w:ascii="宋体" w:hAnsi="宋体" w:cs="宋体"/>
          <w:color w:val="auto"/>
        </w:rPr>
        <w:t>6</w:t>
      </w:r>
      <w:r>
        <w:rPr>
          <w:rFonts w:hint="eastAsia" w:ascii="宋体" w:hAnsi="宋体" w:cs="宋体"/>
          <w:color w:val="auto"/>
        </w:rPr>
        <w:t>.1本项目的评审方法为综合评分法。</w:t>
      </w:r>
    </w:p>
    <w:p>
      <w:pPr>
        <w:spacing w:line="360" w:lineRule="auto"/>
        <w:ind w:firstLine="420" w:firstLineChars="200"/>
        <w:contextualSpacing/>
        <w:rPr>
          <w:rFonts w:ascii="宋体" w:hAnsi="宋体" w:cs="宋体"/>
          <w:color w:val="auto"/>
        </w:rPr>
      </w:pPr>
      <w:r>
        <w:rPr>
          <w:rFonts w:ascii="宋体" w:hAnsi="宋体" w:cs="宋体"/>
          <w:color w:val="auto"/>
        </w:rPr>
        <w:t>26.2</w:t>
      </w:r>
      <w:r>
        <w:rPr>
          <w:rFonts w:hint="eastAsia" w:ascii="宋体" w:hAnsi="宋体" w:cs="宋体"/>
          <w:color w:val="auto"/>
        </w:rPr>
        <w:t>磋商小组</w:t>
      </w:r>
      <w:r>
        <w:rPr>
          <w:rFonts w:ascii="宋体" w:hAnsi="宋体" w:cs="宋体"/>
          <w:color w:val="auto"/>
        </w:rPr>
        <w:t>按照</w:t>
      </w:r>
      <w:r>
        <w:rPr>
          <w:rFonts w:hint="eastAsia" w:ascii="宋体" w:hAnsi="宋体" w:cs="宋体"/>
          <w:color w:val="auto"/>
        </w:rPr>
        <w:t>“第四章 评审程序、评审方法和评审标准”</w:t>
      </w:r>
      <w:r>
        <w:rPr>
          <w:rFonts w:ascii="宋体" w:hAnsi="宋体" w:cs="宋体"/>
          <w:color w:val="auto"/>
        </w:rPr>
        <w:t>规定的方法、评审因素、标准和程序对</w:t>
      </w:r>
      <w:r>
        <w:rPr>
          <w:rFonts w:hint="eastAsia" w:ascii="宋体" w:hAnsi="宋体" w:cs="宋体"/>
          <w:color w:val="auto"/>
        </w:rPr>
        <w:t>响应</w:t>
      </w:r>
      <w:r>
        <w:rPr>
          <w:rFonts w:ascii="宋体" w:hAnsi="宋体" w:cs="宋体"/>
          <w:color w:val="auto"/>
        </w:rPr>
        <w:t>文件进行评审。</w:t>
      </w:r>
    </w:p>
    <w:p>
      <w:pPr>
        <w:spacing w:line="360" w:lineRule="auto"/>
        <w:ind w:firstLine="420" w:firstLineChars="200"/>
        <w:rPr>
          <w:rFonts w:ascii="宋体" w:hAnsi="宋体"/>
          <w:color w:val="auto"/>
        </w:rPr>
      </w:pPr>
      <w:r>
        <w:rPr>
          <w:rFonts w:hint="eastAsia" w:ascii="宋体" w:hAnsi="宋体"/>
          <w:color w:val="auto"/>
        </w:rPr>
        <w:t>2</w:t>
      </w:r>
      <w:r>
        <w:rPr>
          <w:rFonts w:ascii="宋体" w:hAnsi="宋体"/>
          <w:color w:val="auto"/>
        </w:rPr>
        <w:t xml:space="preserve">6.3 </w:t>
      </w:r>
      <w:r>
        <w:rPr>
          <w:rFonts w:hint="eastAsia" w:ascii="宋体" w:hAnsi="宋体"/>
          <w:color w:val="auto"/>
        </w:rPr>
        <w:t>商务/技术要求允许负偏离的条款数详见“供应商须知前附表”。</w:t>
      </w:r>
    </w:p>
    <w:p>
      <w:pPr>
        <w:spacing w:line="360" w:lineRule="auto"/>
        <w:ind w:firstLine="420" w:firstLineChars="200"/>
        <w:rPr>
          <w:rFonts w:ascii="宋体" w:hAnsi="宋体"/>
          <w:color w:val="auto"/>
        </w:rPr>
      </w:pPr>
      <w:r>
        <w:rPr>
          <w:rFonts w:hint="eastAsia" w:ascii="宋体" w:hAnsi="宋体" w:cs="宋体"/>
          <w:color w:val="auto"/>
        </w:rPr>
        <w:t>26.</w:t>
      </w:r>
      <w:r>
        <w:rPr>
          <w:rFonts w:ascii="宋体" w:hAnsi="宋体" w:cs="宋体"/>
          <w:color w:val="auto"/>
        </w:rPr>
        <w:t>4</w:t>
      </w:r>
      <w:r>
        <w:rPr>
          <w:rFonts w:hint="eastAsia" w:ascii="宋体" w:hAnsi="宋体" w:cs="宋体"/>
          <w:color w:val="auto"/>
        </w:rPr>
        <w:t>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pPr>
        <w:spacing w:line="360" w:lineRule="auto"/>
        <w:ind w:firstLine="482" w:firstLineChars="200"/>
        <w:contextualSpacing/>
        <w:rPr>
          <w:rFonts w:ascii="黑体" w:hAnsi="黑体" w:eastAsia="黑体" w:cs="宋体"/>
          <w:b/>
          <w:bCs/>
          <w:color w:val="auto"/>
          <w:sz w:val="24"/>
        </w:rPr>
      </w:pPr>
      <w:r>
        <w:rPr>
          <w:rFonts w:ascii="黑体" w:hAnsi="黑体" w:eastAsia="黑体" w:cs="宋体"/>
          <w:b/>
          <w:bCs/>
          <w:color w:val="auto"/>
          <w:sz w:val="24"/>
        </w:rPr>
        <w:t>27</w:t>
      </w:r>
      <w:r>
        <w:rPr>
          <w:rFonts w:hint="eastAsia" w:ascii="黑体" w:hAnsi="黑体" w:eastAsia="黑体" w:cs="宋体"/>
          <w:b/>
          <w:bCs/>
          <w:color w:val="auto"/>
          <w:sz w:val="24"/>
        </w:rPr>
        <w:t>.确定成交供应商及结果公告</w:t>
      </w:r>
    </w:p>
    <w:p>
      <w:pPr>
        <w:spacing w:line="360" w:lineRule="auto"/>
        <w:ind w:firstLine="420" w:firstLineChars="200"/>
        <w:contextualSpacing/>
        <w:rPr>
          <w:rFonts w:ascii="宋体" w:hAnsi="宋体" w:cs="宋体"/>
          <w:color w:val="auto"/>
        </w:rPr>
      </w:pPr>
      <w:r>
        <w:rPr>
          <w:rFonts w:ascii="宋体" w:hAnsi="宋体" w:cs="宋体"/>
          <w:color w:val="auto"/>
        </w:rPr>
        <w:t>27</w:t>
      </w:r>
      <w:r>
        <w:rPr>
          <w:rFonts w:hint="eastAsia" w:ascii="宋体" w:hAnsi="宋体" w:cs="宋体"/>
          <w:color w:val="auto"/>
        </w:rPr>
        <w:t>.1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ind w:firstLine="420" w:firstLineChars="200"/>
        <w:contextualSpacing/>
        <w:rPr>
          <w:rFonts w:ascii="宋体" w:hAnsi="宋体" w:cs="Courier New"/>
          <w:color w:val="auto"/>
        </w:rPr>
      </w:pPr>
      <w:r>
        <w:rPr>
          <w:rFonts w:ascii="宋体" w:hAnsi="宋体" w:cs="宋体"/>
          <w:color w:val="auto"/>
        </w:rPr>
        <w:t>27</w:t>
      </w:r>
      <w:r>
        <w:rPr>
          <w:rFonts w:hint="eastAsia" w:ascii="宋体" w:hAnsi="宋体" w:cs="宋体"/>
          <w:color w:val="auto"/>
        </w:rPr>
        <w:t>.2采购代理机构应当在</w:t>
      </w:r>
      <w:r>
        <w:rPr>
          <w:rFonts w:hint="eastAsia" w:ascii="宋体" w:hAnsi="宋体" w:cs="宋体"/>
          <w:color w:val="auto"/>
          <w:kern w:val="0"/>
        </w:rPr>
        <w:t>成交</w:t>
      </w:r>
      <w:r>
        <w:rPr>
          <w:rFonts w:hint="eastAsia" w:ascii="宋体" w:hAnsi="宋体" w:cs="宋体"/>
          <w:color w:val="auto"/>
        </w:rPr>
        <w:t>供应商确定后2个工作日内，在指定的媒体上公告成交结果，同时向成交供应商发出成交通知书。采购人或者采购代理机构发出成交通知书前，应当对成交供应商信用进行查询，对列入失信被执行人、重大税收违法案件当事人名单、政府采购严重违法失信行为记录名单及其他不符合《中华人民共和国政府采购法》第二十二条规定条件的供应商，取消其成交资格，并确定排名第二的成交候选人为成交供应商。排名第二的成交候选人因上述规定的同样原因被取消成交资格的，采购人可以确定排名第三的成交候选人为成交供应商，以此类推。以上信息查询记录及相关证据与磋商文件一并保存。</w:t>
      </w:r>
      <w:r>
        <w:rPr>
          <w:rFonts w:hint="eastAsia" w:ascii="宋体" w:hAnsi="宋体" w:cs="Courier New"/>
          <w:color w:val="auto"/>
        </w:rPr>
        <w:t>成交供应商享受《政府采购促进中小企业发展管理办法》（财库〔2020〕46号）规定的中小企业扶持政策的，采购人、采购代理机构应当随成交结果公开成交供应商的《中小企业声明函》。</w:t>
      </w:r>
    </w:p>
    <w:p>
      <w:pPr>
        <w:spacing w:line="360" w:lineRule="auto"/>
        <w:ind w:firstLine="420" w:firstLineChars="200"/>
        <w:contextualSpacing/>
        <w:rPr>
          <w:rFonts w:ascii="宋体" w:hAnsi="宋体" w:cs="Courier New"/>
          <w:color w:val="auto"/>
        </w:rPr>
      </w:pPr>
      <w:r>
        <w:rPr>
          <w:rFonts w:hint="eastAsia" w:ascii="宋体" w:hAnsi="宋体" w:cs="Courier New"/>
          <w:color w:val="auto"/>
        </w:rPr>
        <w:t>27.3出现下列情形之一的，采购人或者采购代理机构应当终止竞争性磋商采购活动，发布项目终止公告并说明原因，重新开展采购活动：</w:t>
      </w:r>
    </w:p>
    <w:p>
      <w:pPr>
        <w:spacing w:line="360" w:lineRule="auto"/>
        <w:ind w:firstLine="420" w:firstLineChars="200"/>
        <w:contextualSpacing/>
        <w:rPr>
          <w:rFonts w:ascii="宋体" w:hAnsi="宋体" w:cs="Courier New"/>
          <w:color w:val="auto"/>
        </w:rPr>
      </w:pPr>
      <w:r>
        <w:rPr>
          <w:rFonts w:hint="eastAsia" w:ascii="宋体" w:hAnsi="宋体" w:cs="Courier New"/>
          <w:color w:val="auto"/>
        </w:rPr>
        <w:t>（1）因情况变化，不再符合规定的竞争性磋商采购方式适用情形的；</w:t>
      </w:r>
    </w:p>
    <w:p>
      <w:pPr>
        <w:spacing w:line="360" w:lineRule="auto"/>
        <w:ind w:firstLine="420" w:firstLineChars="200"/>
        <w:contextualSpacing/>
        <w:rPr>
          <w:rFonts w:ascii="宋体" w:hAnsi="宋体" w:cs="Courier New"/>
          <w:color w:val="auto"/>
        </w:rPr>
      </w:pPr>
      <w:r>
        <w:rPr>
          <w:rFonts w:hint="eastAsia" w:ascii="宋体" w:hAnsi="宋体" w:cs="Courier New"/>
          <w:color w:val="auto"/>
        </w:rPr>
        <w:t>（2）出现影响采购公正的违法、违规行为的；</w:t>
      </w:r>
    </w:p>
    <w:p>
      <w:pPr>
        <w:spacing w:line="360" w:lineRule="auto"/>
        <w:ind w:firstLine="420" w:firstLineChars="200"/>
        <w:contextualSpacing/>
        <w:rPr>
          <w:rFonts w:ascii="宋体" w:hAnsi="宋体" w:cs="Courier New"/>
          <w:color w:val="auto"/>
        </w:rPr>
      </w:pPr>
      <w:r>
        <w:rPr>
          <w:rFonts w:hint="eastAsia" w:ascii="宋体" w:hAnsi="宋体" w:cs="Courier New"/>
          <w:color w:val="auto"/>
        </w:rPr>
        <w:t>（3）除“第四章 评审程序、评审方法和评审标准”第4.3条规定的情形外，在采购过程中符合要求的供应商或者报价未超过采购预算的供应商不足3家的。</w:t>
      </w:r>
    </w:p>
    <w:p>
      <w:pPr>
        <w:spacing w:line="360" w:lineRule="auto"/>
        <w:ind w:firstLine="420" w:firstLineChars="200"/>
        <w:contextualSpacing/>
        <w:rPr>
          <w:rFonts w:ascii="宋体" w:hAnsi="宋体" w:cs="Courier New"/>
          <w:color w:val="auto"/>
        </w:rPr>
      </w:pPr>
      <w:r>
        <w:rPr>
          <w:rFonts w:hint="eastAsia" w:ascii="宋体" w:hAnsi="宋体" w:cs="Courier New"/>
          <w:color w:val="auto"/>
        </w:rPr>
        <w:t>27.4 在采购活动中因重大变故，采购任务取消的，采购人或者采购代理机构应当终止采购活动，通知所有参加采购活动的供应商，并将项目实施情况和采购任务取消原因报送监督部门。</w:t>
      </w:r>
    </w:p>
    <w:p>
      <w:pPr>
        <w:spacing w:line="360" w:lineRule="auto"/>
        <w:ind w:firstLine="482" w:firstLineChars="200"/>
        <w:contextualSpacing/>
        <w:rPr>
          <w:rFonts w:ascii="黑体" w:hAnsi="黑体" w:eastAsia="黑体" w:cs="宋体"/>
          <w:b/>
          <w:bCs/>
          <w:color w:val="auto"/>
          <w:sz w:val="24"/>
        </w:rPr>
      </w:pPr>
      <w:r>
        <w:rPr>
          <w:rFonts w:ascii="黑体" w:hAnsi="黑体" w:eastAsia="黑体" w:cs="宋体"/>
          <w:b/>
          <w:bCs/>
          <w:color w:val="auto"/>
          <w:sz w:val="24"/>
        </w:rPr>
        <w:t>28</w:t>
      </w:r>
      <w:r>
        <w:rPr>
          <w:rFonts w:hint="eastAsia" w:ascii="黑体" w:hAnsi="黑体" w:eastAsia="黑体" w:cs="宋体"/>
          <w:b/>
          <w:bCs/>
          <w:color w:val="auto"/>
          <w:sz w:val="24"/>
        </w:rPr>
        <w:t>.履约保证金</w:t>
      </w:r>
    </w:p>
    <w:p>
      <w:pPr>
        <w:spacing w:line="360" w:lineRule="auto"/>
        <w:ind w:firstLine="424" w:firstLineChars="202"/>
        <w:contextualSpacing/>
        <w:rPr>
          <w:rFonts w:ascii="宋体" w:hAnsi="宋体" w:cs="宋体"/>
          <w:color w:val="auto"/>
        </w:rPr>
      </w:pPr>
      <w:r>
        <w:rPr>
          <w:rFonts w:ascii="宋体" w:hAnsi="宋体" w:cs="宋体"/>
          <w:color w:val="auto"/>
        </w:rPr>
        <w:t>28</w:t>
      </w:r>
      <w:r>
        <w:rPr>
          <w:rFonts w:hint="eastAsia" w:ascii="宋体" w:hAnsi="宋体" w:cs="宋体"/>
          <w:color w:val="auto"/>
        </w:rPr>
        <w:t>.1履约保证金的金额、提交方式、退付的时间和条件详见 “供应商须知前附表”。成交供应商未按规定提交履约保证金的，视为拒绝</w:t>
      </w:r>
      <w:r>
        <w:rPr>
          <w:rFonts w:ascii="宋体" w:hAnsi="宋体"/>
          <w:color w:val="auto"/>
        </w:rPr>
        <w:t>与采购人</w:t>
      </w:r>
      <w:r>
        <w:rPr>
          <w:rFonts w:hint="eastAsia" w:ascii="宋体" w:hAnsi="宋体" w:cs="宋体"/>
          <w:color w:val="auto"/>
        </w:rPr>
        <w:t>签订合同。</w:t>
      </w:r>
    </w:p>
    <w:p>
      <w:pPr>
        <w:spacing w:line="360" w:lineRule="auto"/>
        <w:ind w:firstLine="424" w:firstLineChars="202"/>
        <w:contextualSpacing/>
        <w:rPr>
          <w:rFonts w:ascii="宋体" w:hAnsi="宋体" w:cs="宋体"/>
          <w:color w:val="auto"/>
        </w:rPr>
      </w:pPr>
      <w:r>
        <w:rPr>
          <w:rFonts w:ascii="宋体" w:hAnsi="宋体" w:cs="宋体"/>
          <w:color w:val="auto"/>
        </w:rPr>
        <w:t>28</w:t>
      </w:r>
      <w:r>
        <w:rPr>
          <w:rFonts w:hint="eastAsia" w:ascii="宋体" w:hAnsi="宋体" w:cs="宋体"/>
          <w:color w:val="auto"/>
        </w:rPr>
        <w:t>.2在履约保证金退还日期前，若成交供应商的开户名称、开户银行、帐号有变动的，请以书面形式通知履约保证金收取单位，否则由此产生的后果由成交供应商自行承担。</w:t>
      </w:r>
    </w:p>
    <w:p>
      <w:pPr>
        <w:spacing w:line="360" w:lineRule="auto"/>
        <w:ind w:firstLine="482" w:firstLineChars="200"/>
        <w:contextualSpacing/>
        <w:rPr>
          <w:rFonts w:ascii="黑体" w:hAnsi="黑体" w:eastAsia="黑体" w:cs="宋体"/>
          <w:b/>
          <w:bCs/>
          <w:color w:val="auto"/>
          <w:sz w:val="24"/>
        </w:rPr>
      </w:pPr>
      <w:r>
        <w:rPr>
          <w:rFonts w:ascii="黑体" w:hAnsi="黑体" w:eastAsia="黑体" w:cs="宋体"/>
          <w:b/>
          <w:bCs/>
          <w:color w:val="auto"/>
          <w:sz w:val="24"/>
        </w:rPr>
        <w:t>29</w:t>
      </w:r>
      <w:r>
        <w:rPr>
          <w:rFonts w:hint="eastAsia" w:ascii="黑体" w:hAnsi="黑体" w:eastAsia="黑体" w:cs="宋体"/>
          <w:b/>
          <w:bCs/>
          <w:color w:val="auto"/>
          <w:sz w:val="24"/>
        </w:rPr>
        <w:t>.签订合同</w:t>
      </w:r>
    </w:p>
    <w:p>
      <w:pPr>
        <w:spacing w:line="360" w:lineRule="auto"/>
        <w:ind w:firstLine="424" w:firstLineChars="202"/>
        <w:rPr>
          <w:rFonts w:ascii="宋体" w:hAnsi="宋体" w:cs="宋体"/>
          <w:color w:val="auto"/>
        </w:rPr>
      </w:pPr>
      <w:r>
        <w:rPr>
          <w:rFonts w:hint="eastAsia" w:ascii="宋体" w:hAnsi="宋体" w:cs="宋体"/>
          <w:color w:val="auto"/>
        </w:rPr>
        <w:t>29.1签订采购合同：成交供应商领取成交通知书后，在</w:t>
      </w:r>
      <w:r>
        <w:rPr>
          <w:rFonts w:hint="eastAsia" w:ascii="宋体" w:hAnsi="宋体" w:cs="宋体"/>
          <w:color w:val="auto"/>
          <w:lang w:val="zh-CN"/>
        </w:rPr>
        <w:t>规定的日期、时间、地点，由法定代表人或其授权代表与采购人代表签订采购合同。如成交供应商为联合体的，由联合体成员各方法定代表人或其授权代表与采购人代表签订合同。</w:t>
      </w:r>
    </w:p>
    <w:p>
      <w:pPr>
        <w:spacing w:line="360" w:lineRule="auto"/>
        <w:ind w:firstLine="424" w:firstLineChars="202"/>
        <w:rPr>
          <w:rFonts w:ascii="宋体" w:hAnsi="宋体" w:cs="宋体"/>
          <w:color w:val="auto"/>
        </w:rPr>
      </w:pPr>
      <w:r>
        <w:rPr>
          <w:rFonts w:hint="eastAsia" w:ascii="宋体" w:hAnsi="宋体" w:cs="宋体"/>
          <w:color w:val="auto"/>
        </w:rPr>
        <w:t>29.2签订合同时间：按成交通知书规定的时间与采购人签订合同。</w:t>
      </w:r>
    </w:p>
    <w:p>
      <w:pPr>
        <w:spacing w:line="360" w:lineRule="auto"/>
        <w:ind w:firstLine="424" w:firstLineChars="202"/>
        <w:rPr>
          <w:rFonts w:ascii="宋体" w:hAnsi="宋体" w:cs="宋体"/>
          <w:color w:val="auto"/>
        </w:rPr>
      </w:pPr>
      <w:r>
        <w:rPr>
          <w:rFonts w:hint="eastAsia" w:ascii="宋体" w:hAnsi="宋体" w:cs="宋体"/>
          <w:color w:val="auto"/>
        </w:rPr>
        <w:t>29.</w:t>
      </w:r>
      <w:r>
        <w:rPr>
          <w:rFonts w:ascii="宋体" w:hAnsi="宋体" w:cs="宋体"/>
          <w:color w:val="auto"/>
        </w:rPr>
        <w:t>3</w:t>
      </w:r>
      <w:r>
        <w:rPr>
          <w:rFonts w:hint="eastAsia" w:ascii="宋体" w:hAnsi="宋体" w:cs="宋体"/>
          <w:color w:val="auto"/>
        </w:rPr>
        <w:t>成交供应商拒绝签订采购合同（包括但不限于放弃成交、因不可抗力不能履行合同而放弃签订合同），采购人可以按照评审报告推荐的成交候选人名单排序，确定下一候选人为成交供应商，也可以重新开展政府采购活动。如采购人无正当理由拒签合同的，给成交供应商造成损失的，成交供应商可追究采购人承担相应的法律责任。</w:t>
      </w:r>
    </w:p>
    <w:p>
      <w:pPr>
        <w:spacing w:line="360" w:lineRule="auto"/>
        <w:ind w:firstLine="424" w:firstLineChars="202"/>
        <w:rPr>
          <w:rFonts w:ascii="宋体" w:hAnsi="宋体" w:cs="宋体"/>
          <w:color w:val="auto"/>
        </w:rPr>
      </w:pPr>
      <w:r>
        <w:rPr>
          <w:rFonts w:hint="eastAsia" w:ascii="宋体" w:hAnsi="宋体" w:cs="宋体"/>
          <w:color w:val="auto"/>
        </w:rPr>
        <w:t>29.4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pPr>
        <w:spacing w:line="360" w:lineRule="auto"/>
        <w:ind w:firstLine="424" w:firstLineChars="202"/>
        <w:rPr>
          <w:rFonts w:ascii="宋体" w:hAnsi="宋体" w:cs="宋体"/>
          <w:color w:val="auto"/>
        </w:rPr>
      </w:pPr>
      <w:r>
        <w:rPr>
          <w:rFonts w:hint="eastAsia" w:ascii="宋体" w:hAnsi="宋体" w:cs="宋体"/>
          <w:color w:val="auto"/>
        </w:rPr>
        <w:t>29.5采购人或成交供应商不得单方面向合同另一方提出任何磋商文件没有约定的条件或不合理的要求，作为签订合同的条件；也不得协商另行订立背离磋商文件和合同实质性内容的协议。</w:t>
      </w:r>
    </w:p>
    <w:p>
      <w:pPr>
        <w:spacing w:line="360" w:lineRule="auto"/>
        <w:ind w:firstLine="424" w:firstLineChars="202"/>
        <w:rPr>
          <w:rFonts w:ascii="宋体" w:hAnsi="宋体" w:cs="宋体"/>
          <w:color w:val="auto"/>
        </w:rPr>
      </w:pPr>
      <w:r>
        <w:rPr>
          <w:rFonts w:hint="eastAsia" w:ascii="宋体" w:hAnsi="宋体" w:cs="宋体"/>
          <w:color w:val="auto"/>
        </w:rPr>
        <w:t>29.6如签订合同并生效后，供应商无故拒绝或延期，除按照合同条款处理外，将承担相应的法律责任。</w:t>
      </w:r>
    </w:p>
    <w:p>
      <w:pPr>
        <w:spacing w:line="360" w:lineRule="auto"/>
        <w:ind w:firstLine="424" w:firstLineChars="202"/>
        <w:contextualSpacing/>
        <w:rPr>
          <w:rFonts w:ascii="宋体" w:hAnsi="宋体" w:cs="宋体"/>
          <w:color w:val="auto"/>
        </w:rPr>
      </w:pPr>
      <w:r>
        <w:rPr>
          <w:rFonts w:hint="eastAsia" w:ascii="宋体" w:hAnsi="宋体" w:cs="宋体"/>
          <w:color w:val="auto"/>
        </w:rPr>
        <w:t>29.7采购合同履行中，采购人需追加与合同标的相同的货物、工程或者服务的，在不改变合同其他条款的前提下，可以与供应商协商签订补充合同，但所有补充合同的采购金额不得超过原合同采购金额的10%。</w:t>
      </w:r>
    </w:p>
    <w:p>
      <w:pPr>
        <w:spacing w:line="360" w:lineRule="auto"/>
        <w:ind w:firstLine="482" w:firstLineChars="200"/>
        <w:contextualSpacing/>
        <w:rPr>
          <w:rFonts w:ascii="黑体" w:hAnsi="黑体" w:eastAsia="黑体" w:cs="宋体"/>
          <w:b/>
          <w:bCs/>
          <w:color w:val="auto"/>
          <w:sz w:val="24"/>
        </w:rPr>
      </w:pPr>
      <w:r>
        <w:rPr>
          <w:rFonts w:ascii="黑体" w:hAnsi="黑体" w:eastAsia="黑体" w:cs="宋体"/>
          <w:b/>
          <w:bCs/>
          <w:color w:val="auto"/>
          <w:sz w:val="24"/>
        </w:rPr>
        <w:t>31</w:t>
      </w:r>
      <w:r>
        <w:rPr>
          <w:rFonts w:hint="eastAsia" w:ascii="黑体" w:hAnsi="黑体" w:eastAsia="黑体" w:cs="宋体"/>
          <w:b/>
          <w:bCs/>
          <w:color w:val="auto"/>
          <w:sz w:val="24"/>
        </w:rPr>
        <w:t>. 询问、质疑和投诉</w:t>
      </w:r>
    </w:p>
    <w:p>
      <w:pPr>
        <w:spacing w:line="360" w:lineRule="auto"/>
        <w:ind w:firstLine="420" w:firstLineChars="200"/>
        <w:contextualSpacing/>
        <w:rPr>
          <w:rFonts w:ascii="宋体" w:hAnsi="宋体" w:cs="宋体"/>
          <w:color w:val="auto"/>
        </w:rPr>
      </w:pPr>
      <w:r>
        <w:rPr>
          <w:rFonts w:hint="eastAsia" w:ascii="宋体" w:hAnsi="宋体" w:cs="宋体"/>
          <w:color w:val="auto"/>
        </w:rPr>
        <w:t>3</w:t>
      </w:r>
      <w:r>
        <w:rPr>
          <w:rFonts w:ascii="宋体" w:hAnsi="宋体" w:cs="宋体"/>
          <w:color w:val="auto"/>
        </w:rPr>
        <w:t>1</w:t>
      </w:r>
      <w:r>
        <w:rPr>
          <w:rFonts w:hint="eastAsia" w:ascii="宋体" w:hAnsi="宋体" w:cs="宋体"/>
          <w:color w:val="auto"/>
        </w:rPr>
        <w:t>.1供应商对采购活动事项有疑问的，可以向采购人、采购代理机构提出询问，采购人或者采购代理机构应当在3个工作日内对供应商依法提出的询问作出答复。</w:t>
      </w:r>
    </w:p>
    <w:p>
      <w:pPr>
        <w:spacing w:line="360" w:lineRule="auto"/>
        <w:ind w:firstLine="420" w:firstLineChars="200"/>
        <w:contextualSpacing/>
        <w:rPr>
          <w:rFonts w:ascii="宋体" w:hAnsi="宋体" w:cs="宋体"/>
          <w:color w:val="auto"/>
        </w:rPr>
      </w:pPr>
      <w:r>
        <w:rPr>
          <w:rFonts w:hint="eastAsia" w:ascii="宋体" w:hAnsi="宋体" w:cs="宋体"/>
          <w:color w:val="auto"/>
        </w:rPr>
        <w:t>3</w:t>
      </w:r>
      <w:r>
        <w:rPr>
          <w:rFonts w:ascii="宋体" w:hAnsi="宋体" w:cs="宋体"/>
          <w:color w:val="auto"/>
        </w:rPr>
        <w:t>1</w:t>
      </w:r>
      <w:r>
        <w:rPr>
          <w:rFonts w:hint="eastAsia" w:ascii="宋体" w:hAnsi="宋体" w:cs="宋体"/>
          <w:color w:val="auto"/>
        </w:rPr>
        <w:t>.2供应商认为磋商文件、采购过程或者成交结果使自己的合法权益受到损害的，应当在知道或者应知其权益受到损害之日起7个工作日内，以书面形式向采购人、采购代理机构提出质疑，</w:t>
      </w:r>
      <w:r>
        <w:rPr>
          <w:rFonts w:ascii="宋体" w:hAnsi="宋体" w:cs="Arial"/>
          <w:color w:val="auto"/>
          <w:shd w:val="clear" w:color="auto" w:fill="FFFFFF"/>
        </w:rPr>
        <w:t>接收质疑函的方式、联系部门、联系电话和通讯地址等信息</w:t>
      </w:r>
      <w:r>
        <w:rPr>
          <w:rFonts w:hint="eastAsia" w:ascii="宋体" w:hAnsi="宋体" w:cs="Arial"/>
          <w:color w:val="auto"/>
          <w:shd w:val="clear" w:color="auto" w:fill="FFFFFF"/>
        </w:rPr>
        <w:t>详见</w:t>
      </w:r>
      <w:r>
        <w:rPr>
          <w:rFonts w:hint="eastAsia" w:ascii="宋体" w:hAnsi="宋体" w:cs="宋体"/>
          <w:color w:val="auto"/>
        </w:rPr>
        <w:t>“供应商须知前附表”。具体质疑起算时间如下：</w:t>
      </w:r>
    </w:p>
    <w:p>
      <w:pPr>
        <w:spacing w:line="360" w:lineRule="auto"/>
        <w:ind w:firstLine="420" w:firstLineChars="200"/>
        <w:contextualSpacing/>
        <w:rPr>
          <w:rFonts w:ascii="宋体" w:hAnsi="宋体" w:cs="宋体"/>
          <w:color w:val="auto"/>
        </w:rPr>
      </w:pPr>
      <w:r>
        <w:rPr>
          <w:rFonts w:hint="eastAsia" w:ascii="宋体" w:hAnsi="宋体" w:cs="宋体"/>
          <w:color w:val="auto"/>
        </w:rPr>
        <w:t>（1）对可以质疑的磋商文件提出质疑的，为收到磋商文件之日或者</w:t>
      </w:r>
      <w:r>
        <w:rPr>
          <w:rFonts w:hint="eastAsia" w:ascii="宋体" w:hAnsi="宋体"/>
          <w:color w:val="auto"/>
        </w:rPr>
        <w:t>竞争性磋商公告期限届满之日</w:t>
      </w:r>
      <w:r>
        <w:rPr>
          <w:rFonts w:hint="eastAsia" w:ascii="宋体" w:hAnsi="宋体" w:cs="宋体"/>
          <w:color w:val="auto"/>
        </w:rPr>
        <w:t>；</w:t>
      </w:r>
    </w:p>
    <w:p>
      <w:pPr>
        <w:spacing w:line="360" w:lineRule="auto"/>
        <w:ind w:firstLine="420" w:firstLineChars="200"/>
        <w:contextualSpacing/>
        <w:rPr>
          <w:rFonts w:ascii="宋体" w:hAnsi="宋体" w:cs="宋体"/>
          <w:color w:val="auto"/>
        </w:rPr>
      </w:pPr>
      <w:r>
        <w:rPr>
          <w:rFonts w:hint="eastAsia" w:ascii="宋体" w:hAnsi="宋体" w:cs="宋体"/>
          <w:color w:val="auto"/>
        </w:rPr>
        <w:t>（2）对采购过程提出质疑的，为各采购程序环节结束之日；</w:t>
      </w:r>
    </w:p>
    <w:p>
      <w:pPr>
        <w:spacing w:line="360" w:lineRule="auto"/>
        <w:ind w:firstLine="420" w:firstLineChars="200"/>
        <w:contextualSpacing/>
        <w:rPr>
          <w:rFonts w:ascii="宋体" w:hAnsi="宋体" w:cs="宋体"/>
          <w:color w:val="auto"/>
        </w:rPr>
      </w:pPr>
      <w:r>
        <w:rPr>
          <w:rFonts w:hint="eastAsia" w:ascii="宋体" w:hAnsi="宋体" w:cs="宋体"/>
          <w:color w:val="auto"/>
        </w:rPr>
        <w:t>（3）对成交结果提出质疑的，为成交结果公告期限届满之日。</w:t>
      </w:r>
    </w:p>
    <w:p>
      <w:pPr>
        <w:spacing w:line="360" w:lineRule="auto"/>
        <w:ind w:firstLine="420" w:firstLineChars="200"/>
        <w:contextualSpacing/>
        <w:rPr>
          <w:rFonts w:ascii="宋体" w:hAnsi="宋体" w:cs="宋体"/>
          <w:color w:val="auto"/>
        </w:rPr>
      </w:pPr>
      <w:r>
        <w:rPr>
          <w:rFonts w:hint="eastAsia" w:ascii="宋体" w:hAnsi="宋体" w:cs="宋体"/>
          <w:color w:val="auto"/>
        </w:rPr>
        <w:t>3</w:t>
      </w:r>
      <w:r>
        <w:rPr>
          <w:rFonts w:ascii="宋体" w:hAnsi="宋体" w:cs="宋体"/>
          <w:color w:val="auto"/>
        </w:rPr>
        <w:t>1</w:t>
      </w:r>
      <w:r>
        <w:rPr>
          <w:rFonts w:hint="eastAsia" w:ascii="宋体" w:hAnsi="宋体" w:cs="宋体"/>
          <w:color w:val="auto"/>
        </w:rPr>
        <w:t>.3供应商提出的询问或者质疑超出采购人对采购代理机构委托授权范围的，采购代理机构应当告知供应商向采购人提出。政府采购评审专家应当配合采购人或者采购代理机构答复供应商的询问和质疑。</w:t>
      </w:r>
    </w:p>
    <w:p>
      <w:pPr>
        <w:spacing w:line="360" w:lineRule="auto"/>
        <w:ind w:firstLine="420" w:firstLineChars="200"/>
        <w:contextualSpacing/>
        <w:rPr>
          <w:rFonts w:ascii="宋体" w:hAnsi="宋体" w:cs="宋体"/>
          <w:color w:val="auto"/>
        </w:rPr>
      </w:pPr>
      <w:r>
        <w:rPr>
          <w:rFonts w:hint="eastAsia" w:ascii="宋体" w:hAnsi="宋体" w:cs="宋体"/>
          <w:color w:val="auto"/>
        </w:rPr>
        <w:t>3</w:t>
      </w:r>
      <w:r>
        <w:rPr>
          <w:rFonts w:ascii="宋体" w:hAnsi="宋体" w:cs="宋体"/>
          <w:color w:val="auto"/>
        </w:rPr>
        <w:t>1</w:t>
      </w:r>
      <w:r>
        <w:rPr>
          <w:rFonts w:hint="eastAsia" w:ascii="宋体" w:hAnsi="宋体" w:cs="宋体"/>
          <w:color w:val="auto"/>
        </w:rPr>
        <w:t>.4 供应商提出质疑应当提交质疑函和必要的证明材料，针对同一采购程序环节的质疑必须在法定质疑期内一次性提出。质疑函应当包括下列内容</w:t>
      </w:r>
      <w:r>
        <w:rPr>
          <w:rFonts w:hint="eastAsia" w:hAnsi="宋体"/>
          <w:bCs/>
          <w:color w:val="auto"/>
        </w:rPr>
        <w:t>（质疑函格式后附）</w:t>
      </w:r>
      <w:r>
        <w:rPr>
          <w:rFonts w:hint="eastAsia" w:ascii="宋体" w:hAnsi="宋体" w:cs="宋体"/>
          <w:color w:val="auto"/>
        </w:rPr>
        <w:t>：</w:t>
      </w:r>
    </w:p>
    <w:p>
      <w:pPr>
        <w:spacing w:line="360" w:lineRule="auto"/>
        <w:ind w:firstLine="420" w:firstLineChars="200"/>
        <w:contextualSpacing/>
        <w:rPr>
          <w:rFonts w:ascii="宋体" w:hAnsi="宋体" w:cs="宋体"/>
          <w:color w:val="auto"/>
        </w:rPr>
      </w:pPr>
      <w:r>
        <w:rPr>
          <w:rFonts w:hint="eastAsia" w:ascii="宋体" w:hAnsi="宋体" w:cs="宋体"/>
          <w:color w:val="auto"/>
        </w:rPr>
        <w:t>（1）供应商的姓名或者名称、地址、邮编、联系人及联系电话；</w:t>
      </w:r>
    </w:p>
    <w:p>
      <w:pPr>
        <w:spacing w:line="360" w:lineRule="auto"/>
        <w:ind w:firstLine="420" w:firstLineChars="200"/>
        <w:contextualSpacing/>
        <w:rPr>
          <w:rFonts w:ascii="宋体" w:hAnsi="宋体" w:cs="宋体"/>
          <w:color w:val="auto"/>
        </w:rPr>
      </w:pPr>
      <w:r>
        <w:rPr>
          <w:rFonts w:hint="eastAsia" w:ascii="宋体" w:hAnsi="宋体" w:cs="宋体"/>
          <w:color w:val="auto"/>
        </w:rPr>
        <w:t>（2）质疑项目的名称、编号；</w:t>
      </w:r>
    </w:p>
    <w:p>
      <w:pPr>
        <w:spacing w:line="360" w:lineRule="auto"/>
        <w:ind w:firstLine="420" w:firstLineChars="200"/>
        <w:contextualSpacing/>
        <w:rPr>
          <w:rFonts w:ascii="宋体" w:hAnsi="宋体" w:cs="宋体"/>
          <w:color w:val="auto"/>
        </w:rPr>
      </w:pPr>
      <w:r>
        <w:rPr>
          <w:rFonts w:hint="eastAsia" w:ascii="宋体" w:hAnsi="宋体" w:cs="宋体"/>
          <w:color w:val="auto"/>
        </w:rPr>
        <w:t>（3）具体、明确的质疑事项和与质疑事项相关的请求；</w:t>
      </w:r>
    </w:p>
    <w:p>
      <w:pPr>
        <w:spacing w:line="360" w:lineRule="auto"/>
        <w:ind w:firstLine="420" w:firstLineChars="200"/>
        <w:contextualSpacing/>
        <w:rPr>
          <w:rFonts w:ascii="宋体" w:hAnsi="宋体" w:cs="宋体"/>
          <w:color w:val="auto"/>
        </w:rPr>
      </w:pPr>
      <w:r>
        <w:rPr>
          <w:rFonts w:hint="eastAsia" w:ascii="宋体" w:hAnsi="宋体" w:cs="宋体"/>
          <w:color w:val="auto"/>
        </w:rPr>
        <w:t>（4）事实依据；</w:t>
      </w:r>
    </w:p>
    <w:p>
      <w:pPr>
        <w:spacing w:line="360" w:lineRule="auto"/>
        <w:ind w:firstLine="420" w:firstLineChars="200"/>
        <w:contextualSpacing/>
        <w:rPr>
          <w:rFonts w:ascii="宋体" w:hAnsi="宋体" w:cs="宋体"/>
          <w:color w:val="auto"/>
        </w:rPr>
      </w:pPr>
      <w:r>
        <w:rPr>
          <w:rFonts w:hint="eastAsia" w:ascii="宋体" w:hAnsi="宋体" w:cs="宋体"/>
          <w:color w:val="auto"/>
        </w:rPr>
        <w:t>（5）必要的法律依据；</w:t>
      </w:r>
    </w:p>
    <w:p>
      <w:pPr>
        <w:spacing w:line="360" w:lineRule="auto"/>
        <w:ind w:firstLine="420" w:firstLineChars="200"/>
        <w:contextualSpacing/>
        <w:rPr>
          <w:rFonts w:ascii="宋体" w:hAnsi="宋体" w:cs="宋体"/>
          <w:color w:val="auto"/>
        </w:rPr>
      </w:pPr>
      <w:r>
        <w:rPr>
          <w:rFonts w:hint="eastAsia" w:ascii="宋体" w:hAnsi="宋体" w:cs="宋体"/>
          <w:color w:val="auto"/>
        </w:rPr>
        <w:t>（6）提出质疑的日期。</w:t>
      </w:r>
    </w:p>
    <w:p>
      <w:pPr>
        <w:spacing w:line="360" w:lineRule="auto"/>
        <w:ind w:firstLine="420" w:firstLineChars="200"/>
        <w:contextualSpacing/>
        <w:rPr>
          <w:rFonts w:ascii="宋体" w:hAnsi="宋体" w:cs="宋体"/>
          <w:color w:val="auto"/>
        </w:rPr>
      </w:pPr>
      <w:r>
        <w:rPr>
          <w:rFonts w:hint="eastAsia" w:ascii="宋体" w:hAnsi="宋体" w:cs="宋体"/>
          <w:color w:val="auto"/>
        </w:rPr>
        <w:t>供应商为自然人的，应当由本人签字；供应商为法人或者其他组织的，应当由法定代表人、主要负责人，或者其委托代理人签字或者盖章，并加盖公章。</w:t>
      </w:r>
    </w:p>
    <w:p>
      <w:pPr>
        <w:spacing w:line="360" w:lineRule="auto"/>
        <w:ind w:firstLine="420" w:firstLineChars="200"/>
        <w:contextualSpacing/>
        <w:rPr>
          <w:rFonts w:ascii="宋体" w:hAnsi="宋体" w:cs="宋体"/>
          <w:color w:val="auto"/>
        </w:rPr>
      </w:pPr>
      <w:r>
        <w:rPr>
          <w:rFonts w:hint="eastAsia" w:ascii="宋体" w:hAnsi="宋体" w:cs="宋体"/>
          <w:color w:val="auto"/>
        </w:rPr>
        <w:t>3</w:t>
      </w:r>
      <w:r>
        <w:rPr>
          <w:rFonts w:ascii="宋体" w:hAnsi="宋体" w:cs="宋体"/>
          <w:color w:val="auto"/>
        </w:rPr>
        <w:t>1.5</w:t>
      </w:r>
      <w:r>
        <w:rPr>
          <w:rFonts w:hint="eastAsia" w:ascii="宋体" w:hAnsi="宋体" w:cs="宋体"/>
          <w:color w:val="auto"/>
        </w:rPr>
        <w:t>采购人、采购代理机构认为供应商质疑不成立，或者成立但未对成交结果构成影响的，继续开展采购活动；认为供应商质疑成立且影响或者可能影响成交结果的，按照下列情况处理：</w:t>
      </w:r>
    </w:p>
    <w:p>
      <w:pPr>
        <w:spacing w:line="360" w:lineRule="auto"/>
        <w:ind w:firstLine="420" w:firstLineChars="200"/>
        <w:contextualSpacing/>
        <w:rPr>
          <w:rFonts w:ascii="宋体" w:hAnsi="宋体" w:cs="宋体"/>
          <w:color w:val="auto"/>
        </w:rPr>
      </w:pPr>
      <w:r>
        <w:rPr>
          <w:rFonts w:hint="eastAsia" w:ascii="宋体" w:hAnsi="宋体" w:cs="宋体"/>
          <w:color w:val="auto"/>
        </w:rPr>
        <w:t>（一）对采购文件提出的质疑，依法通过澄清或者修改可以继续开展采购活动的，澄清或者修改采购文件后继续开展采购活动；否则应当修改采购文件后重新开展采购活动。</w:t>
      </w:r>
    </w:p>
    <w:p>
      <w:pPr>
        <w:spacing w:line="360" w:lineRule="auto"/>
        <w:ind w:firstLine="420" w:firstLineChars="200"/>
        <w:contextualSpacing/>
        <w:rPr>
          <w:rFonts w:ascii="宋体" w:hAnsi="宋体" w:cs="宋体"/>
          <w:color w:val="auto"/>
        </w:rPr>
      </w:pPr>
      <w:r>
        <w:rPr>
          <w:rFonts w:hint="eastAsia" w:ascii="宋体" w:hAnsi="宋体" w:cs="宋体"/>
          <w:color w:val="auto"/>
        </w:rPr>
        <w:t>（二）对采购过程或者成交结果提出的质疑，合格供应商符合法定数量时，可以从合格的成交候选人中另行确定成交供应商的，应当依法另行确定成交供应商；否则应当重新开展采购活动。</w:t>
      </w:r>
    </w:p>
    <w:p>
      <w:pPr>
        <w:spacing w:line="360" w:lineRule="auto"/>
        <w:ind w:firstLine="420" w:firstLineChars="200"/>
        <w:contextualSpacing/>
        <w:rPr>
          <w:rFonts w:ascii="宋体" w:hAnsi="宋体" w:cs="宋体"/>
          <w:color w:val="auto"/>
        </w:rPr>
      </w:pPr>
      <w:r>
        <w:rPr>
          <w:rFonts w:hint="eastAsia" w:ascii="宋体" w:hAnsi="宋体" w:cs="宋体"/>
          <w:color w:val="auto"/>
        </w:rPr>
        <w:t>质疑答复导致成交结果改变的，采购人或者采购代理机构应当将有关情况书面报告监督部门。</w:t>
      </w:r>
    </w:p>
    <w:p>
      <w:pPr>
        <w:spacing w:line="360" w:lineRule="auto"/>
        <w:ind w:firstLine="420" w:firstLineChars="200"/>
        <w:contextualSpacing/>
        <w:rPr>
          <w:rFonts w:ascii="宋体" w:hAnsi="宋体" w:cs="宋体"/>
          <w:color w:val="auto"/>
        </w:rPr>
      </w:pPr>
      <w:r>
        <w:rPr>
          <w:rFonts w:ascii="宋体" w:hAnsi="宋体" w:cs="宋体"/>
          <w:color w:val="auto"/>
        </w:rPr>
        <w:t>31</w:t>
      </w:r>
      <w:r>
        <w:rPr>
          <w:rFonts w:hint="eastAsia" w:ascii="宋体" w:hAnsi="宋体" w:cs="宋体"/>
          <w:color w:val="auto"/>
        </w:rPr>
        <w:t>.</w:t>
      </w:r>
      <w:r>
        <w:rPr>
          <w:rFonts w:ascii="宋体" w:hAnsi="宋体" w:cs="宋体"/>
          <w:color w:val="auto"/>
        </w:rPr>
        <w:t>6</w:t>
      </w:r>
      <w:r>
        <w:rPr>
          <w:rFonts w:hint="eastAsia" w:ascii="宋体" w:hAnsi="宋体" w:cs="宋体"/>
          <w:color w:val="auto"/>
        </w:rPr>
        <w:t>质疑供应商对采购人、采购代理机构的答复不满意，或者采购人、采购代理机构未在规定时间内作出答复的，可以在答复期满后15个工作日内向监督部门提起投诉（投诉书格式后附）。</w:t>
      </w:r>
    </w:p>
    <w:p>
      <w:pPr>
        <w:spacing w:line="360" w:lineRule="auto"/>
        <w:ind w:firstLine="482" w:firstLineChars="200"/>
        <w:contextualSpacing/>
        <w:rPr>
          <w:rFonts w:ascii="黑体" w:hAnsi="黑体" w:eastAsia="黑体" w:cs="宋体"/>
          <w:b/>
          <w:bCs/>
          <w:color w:val="auto"/>
          <w:sz w:val="24"/>
        </w:rPr>
      </w:pPr>
      <w:r>
        <w:rPr>
          <w:rFonts w:ascii="黑体" w:hAnsi="黑体" w:eastAsia="黑体" w:cs="宋体"/>
          <w:b/>
          <w:bCs/>
          <w:color w:val="auto"/>
          <w:sz w:val="24"/>
        </w:rPr>
        <w:t>32</w:t>
      </w:r>
      <w:r>
        <w:rPr>
          <w:rFonts w:hint="eastAsia" w:ascii="黑体" w:hAnsi="黑体" w:eastAsia="黑体" w:cs="宋体"/>
          <w:b/>
          <w:bCs/>
          <w:color w:val="auto"/>
          <w:sz w:val="24"/>
        </w:rPr>
        <w:t>.其他内容</w:t>
      </w:r>
    </w:p>
    <w:p>
      <w:pPr>
        <w:tabs>
          <w:tab w:val="left" w:pos="2835"/>
        </w:tabs>
        <w:spacing w:line="360" w:lineRule="auto"/>
        <w:ind w:firstLine="420" w:firstLineChars="200"/>
        <w:contextualSpacing/>
        <w:rPr>
          <w:rFonts w:ascii="宋体" w:hAnsi="宋体" w:cs="宋体"/>
          <w:color w:val="auto"/>
        </w:rPr>
      </w:pPr>
      <w:r>
        <w:rPr>
          <w:rFonts w:ascii="宋体" w:hAnsi="宋体" w:cs="宋体"/>
          <w:color w:val="auto"/>
        </w:rPr>
        <w:t>32</w:t>
      </w:r>
      <w:r>
        <w:rPr>
          <w:rFonts w:hint="eastAsia" w:ascii="宋体" w:hAnsi="宋体" w:cs="宋体"/>
          <w:color w:val="auto"/>
        </w:rPr>
        <w:t>.1代理服务收取标准及缴费账户详见“供应商须知前附表”，供应商为联合体的，可以由联合体中的一方或者多方共同交纳代理服务费。</w:t>
      </w:r>
    </w:p>
    <w:p>
      <w:pPr>
        <w:tabs>
          <w:tab w:val="left" w:pos="2835"/>
        </w:tabs>
        <w:spacing w:line="360" w:lineRule="auto"/>
        <w:ind w:firstLine="420" w:firstLineChars="200"/>
        <w:contextualSpacing/>
        <w:rPr>
          <w:rFonts w:ascii="宋体" w:hAnsi="宋体" w:cs="宋体"/>
          <w:color w:val="auto"/>
        </w:rPr>
      </w:pPr>
      <w:r>
        <w:rPr>
          <w:rFonts w:ascii="宋体" w:hAnsi="宋体" w:cs="宋体"/>
          <w:color w:val="auto"/>
        </w:rPr>
        <w:t>32.2</w:t>
      </w:r>
      <w:r>
        <w:rPr>
          <w:rFonts w:hint="eastAsia" w:ascii="宋体" w:hAnsi="宋体" w:cs="宋体"/>
          <w:color w:val="auto"/>
        </w:rPr>
        <w:t>代理服务费收费计算标准：</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2"/>
        <w:gridCol w:w="1806"/>
        <w:gridCol w:w="1669"/>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tcBorders>
              <w:tl2br w:val="single" w:color="auto" w:sz="4" w:space="0"/>
            </w:tcBorders>
            <w:noWrap/>
          </w:tcPr>
          <w:p>
            <w:pPr>
              <w:spacing w:line="360" w:lineRule="auto"/>
              <w:contextualSpacing/>
              <w:rPr>
                <w:rFonts w:ascii="宋体" w:hAnsi="宋体" w:cs="宋体"/>
                <w:color w:val="auto"/>
              </w:rPr>
            </w:pPr>
            <w:r>
              <w:rPr>
                <w:rFonts w:hint="eastAsia" w:ascii="宋体" w:hAnsi="宋体" w:cs="宋体"/>
                <w:color w:val="auto"/>
              </w:rPr>
              <w:t xml:space="preserve">               费率</w:t>
            </w:r>
          </w:p>
          <w:p>
            <w:pPr>
              <w:spacing w:line="360" w:lineRule="auto"/>
              <w:contextualSpacing/>
              <w:rPr>
                <w:rFonts w:ascii="宋体" w:hAnsi="宋体" w:cs="宋体"/>
                <w:color w:val="auto"/>
              </w:rPr>
            </w:pPr>
            <w:r>
              <w:rPr>
                <w:rFonts w:hint="eastAsia" w:ascii="宋体" w:hAnsi="宋体" w:cs="宋体"/>
                <w:color w:val="auto"/>
              </w:rPr>
              <w:t>金额</w:t>
            </w:r>
          </w:p>
        </w:tc>
        <w:tc>
          <w:tcPr>
            <w:tcW w:w="1806" w:type="dxa"/>
            <w:noWrap/>
            <w:vAlign w:val="center"/>
          </w:tcPr>
          <w:p>
            <w:pPr>
              <w:spacing w:line="360" w:lineRule="auto"/>
              <w:ind w:firstLine="105" w:firstLineChars="50"/>
              <w:contextualSpacing/>
              <w:jc w:val="center"/>
              <w:rPr>
                <w:rFonts w:ascii="宋体" w:hAnsi="宋体" w:cs="宋体"/>
                <w:color w:val="auto"/>
              </w:rPr>
            </w:pPr>
            <w:r>
              <w:rPr>
                <w:rFonts w:hint="eastAsia" w:ascii="宋体" w:hAnsi="宋体" w:cs="宋体"/>
                <w:color w:val="auto"/>
              </w:rPr>
              <w:t>货物类</w:t>
            </w:r>
          </w:p>
        </w:tc>
        <w:tc>
          <w:tcPr>
            <w:tcW w:w="1669" w:type="dxa"/>
            <w:noWrap/>
            <w:vAlign w:val="center"/>
          </w:tcPr>
          <w:p>
            <w:pPr>
              <w:spacing w:line="360" w:lineRule="auto"/>
              <w:contextualSpacing/>
              <w:jc w:val="center"/>
              <w:rPr>
                <w:rFonts w:ascii="宋体" w:hAnsi="宋体" w:cs="宋体"/>
                <w:color w:val="auto"/>
              </w:rPr>
            </w:pPr>
            <w:r>
              <w:rPr>
                <w:rFonts w:hint="eastAsia" w:ascii="宋体" w:hAnsi="宋体" w:cs="宋体"/>
                <w:color w:val="auto"/>
              </w:rPr>
              <w:t>服务类</w:t>
            </w:r>
          </w:p>
        </w:tc>
        <w:tc>
          <w:tcPr>
            <w:tcW w:w="1685" w:type="dxa"/>
            <w:noWrap/>
            <w:vAlign w:val="center"/>
          </w:tcPr>
          <w:p>
            <w:pPr>
              <w:spacing w:line="360" w:lineRule="auto"/>
              <w:contextualSpacing/>
              <w:jc w:val="center"/>
              <w:rPr>
                <w:rFonts w:ascii="宋体" w:hAnsi="宋体" w:cs="宋体"/>
                <w:color w:val="auto"/>
              </w:rPr>
            </w:pPr>
            <w:r>
              <w:rPr>
                <w:rFonts w:hint="eastAsia" w:ascii="宋体" w:hAnsi="宋体" w:cs="宋体"/>
                <w:color w:val="auto"/>
              </w:rPr>
              <w:t>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100万元以下</w:t>
            </w:r>
          </w:p>
        </w:tc>
        <w:tc>
          <w:tcPr>
            <w:tcW w:w="1806" w:type="dxa"/>
            <w:noWrap/>
          </w:tcPr>
          <w:p>
            <w:pPr>
              <w:spacing w:line="360" w:lineRule="auto"/>
              <w:contextualSpacing/>
              <w:rPr>
                <w:rFonts w:ascii="宋体" w:hAnsi="宋体" w:cs="宋体"/>
                <w:color w:val="auto"/>
              </w:rPr>
            </w:pPr>
            <w:r>
              <w:rPr>
                <w:rFonts w:hint="eastAsia" w:ascii="宋体" w:hAnsi="宋体" w:cs="宋体"/>
                <w:color w:val="auto"/>
                <w:kern w:val="0"/>
              </w:rPr>
              <w:t xml:space="preserve">  1.5%                </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1.5%</w:t>
            </w:r>
          </w:p>
        </w:tc>
        <w:tc>
          <w:tcPr>
            <w:tcW w:w="1685"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100～500万元</w:t>
            </w:r>
          </w:p>
        </w:tc>
        <w:tc>
          <w:tcPr>
            <w:tcW w:w="1806"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 xml:space="preserve">1.1%                 </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0.8%</w:t>
            </w:r>
          </w:p>
        </w:tc>
        <w:tc>
          <w:tcPr>
            <w:tcW w:w="1685"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 xml:space="preserve">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500～1000万元</w:t>
            </w:r>
          </w:p>
        </w:tc>
        <w:tc>
          <w:tcPr>
            <w:tcW w:w="1806" w:type="dxa"/>
            <w:noWrap/>
          </w:tcPr>
          <w:p>
            <w:pPr>
              <w:spacing w:line="360" w:lineRule="auto"/>
              <w:contextualSpacing/>
              <w:rPr>
                <w:rFonts w:ascii="宋体" w:hAnsi="宋体" w:cs="宋体"/>
                <w:color w:val="auto"/>
              </w:rPr>
            </w:pPr>
            <w:r>
              <w:rPr>
                <w:rFonts w:hint="eastAsia" w:ascii="宋体" w:hAnsi="宋体" w:cs="宋体"/>
                <w:color w:val="auto"/>
                <w:kern w:val="0"/>
              </w:rPr>
              <w:t xml:space="preserve">  0.8%                </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0.45%</w:t>
            </w:r>
          </w:p>
        </w:tc>
        <w:tc>
          <w:tcPr>
            <w:tcW w:w="1685"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1000～5000万元</w:t>
            </w:r>
          </w:p>
        </w:tc>
        <w:tc>
          <w:tcPr>
            <w:tcW w:w="1806"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 xml:space="preserve">0.5%                </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0.25%</w:t>
            </w:r>
          </w:p>
        </w:tc>
        <w:tc>
          <w:tcPr>
            <w:tcW w:w="1685"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 xml:space="preserve">0.35%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5000万元～1亿元</w:t>
            </w:r>
          </w:p>
        </w:tc>
        <w:tc>
          <w:tcPr>
            <w:tcW w:w="1806"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 xml:space="preserve">0.25%                 </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0.1%</w:t>
            </w:r>
          </w:p>
        </w:tc>
        <w:tc>
          <w:tcPr>
            <w:tcW w:w="1685" w:type="dxa"/>
            <w:noWrap/>
          </w:tcPr>
          <w:p>
            <w:pPr>
              <w:spacing w:line="360" w:lineRule="auto"/>
              <w:ind w:firstLine="210" w:firstLineChars="100"/>
              <w:contextualSpacing/>
              <w:rPr>
                <w:rFonts w:ascii="宋体" w:hAnsi="宋体" w:cs="宋体"/>
                <w:color w:val="auto"/>
              </w:rPr>
            </w:pPr>
            <w:r>
              <w:rPr>
                <w:rFonts w:hint="eastAsia" w:ascii="宋体" w:hAnsi="宋体" w:cs="宋体"/>
                <w:color w:val="auto"/>
                <w:kern w:val="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1～5亿元</w:t>
            </w:r>
          </w:p>
        </w:tc>
        <w:tc>
          <w:tcPr>
            <w:tcW w:w="1806" w:type="dxa"/>
            <w:noWrap/>
          </w:tcPr>
          <w:p>
            <w:pPr>
              <w:spacing w:line="360" w:lineRule="auto"/>
              <w:ind w:firstLine="210" w:firstLineChars="100"/>
              <w:contextualSpacing/>
              <w:rPr>
                <w:rFonts w:ascii="宋体" w:hAnsi="宋体" w:cs="宋体"/>
                <w:color w:val="auto"/>
              </w:rPr>
            </w:pPr>
            <w:r>
              <w:rPr>
                <w:rFonts w:hint="eastAsia" w:ascii="宋体" w:hAnsi="宋体" w:cs="宋体"/>
                <w:color w:val="auto"/>
              </w:rPr>
              <w:t>0.05%</w:t>
            </w:r>
          </w:p>
        </w:tc>
        <w:tc>
          <w:tcPr>
            <w:tcW w:w="1669" w:type="dxa"/>
            <w:noWrap/>
          </w:tcPr>
          <w:p>
            <w:pPr>
              <w:spacing w:line="360" w:lineRule="auto"/>
              <w:contextualSpacing/>
              <w:rPr>
                <w:rFonts w:ascii="宋体" w:hAnsi="宋体" w:cs="宋体"/>
                <w:color w:val="auto"/>
              </w:rPr>
            </w:pPr>
            <w:r>
              <w:rPr>
                <w:rFonts w:hint="eastAsia" w:ascii="宋体" w:hAnsi="宋体" w:cs="宋体"/>
                <w:color w:val="auto"/>
              </w:rPr>
              <w:t xml:space="preserve">  0.05%</w:t>
            </w:r>
          </w:p>
        </w:tc>
        <w:tc>
          <w:tcPr>
            <w:tcW w:w="1685" w:type="dxa"/>
            <w:noWrap/>
          </w:tcPr>
          <w:p>
            <w:pPr>
              <w:spacing w:line="360" w:lineRule="auto"/>
              <w:contextualSpacing/>
              <w:rPr>
                <w:rFonts w:ascii="宋体" w:hAnsi="宋体" w:cs="宋体"/>
                <w:color w:val="auto"/>
              </w:rPr>
            </w:pPr>
            <w:r>
              <w:rPr>
                <w:rFonts w:hint="eastAsia" w:ascii="宋体" w:hAnsi="宋体" w:cs="宋体"/>
                <w:color w:val="auto"/>
              </w:rPr>
              <w:t xml:space="preserve">  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5～10亿元</w:t>
            </w:r>
          </w:p>
        </w:tc>
        <w:tc>
          <w:tcPr>
            <w:tcW w:w="1806" w:type="dxa"/>
            <w:noWrap/>
          </w:tcPr>
          <w:p>
            <w:pPr>
              <w:spacing w:line="360" w:lineRule="auto"/>
              <w:ind w:firstLine="105" w:firstLineChars="50"/>
              <w:contextualSpacing/>
              <w:rPr>
                <w:rFonts w:ascii="宋体" w:hAnsi="宋体" w:cs="宋体"/>
                <w:color w:val="auto"/>
              </w:rPr>
            </w:pPr>
            <w:r>
              <w:rPr>
                <w:rFonts w:hint="eastAsia" w:ascii="宋体" w:hAnsi="宋体" w:cs="宋体"/>
                <w:color w:val="auto"/>
              </w:rPr>
              <w:t>0.035%</w:t>
            </w:r>
          </w:p>
        </w:tc>
        <w:tc>
          <w:tcPr>
            <w:tcW w:w="1669" w:type="dxa"/>
            <w:noWrap/>
          </w:tcPr>
          <w:p>
            <w:pPr>
              <w:spacing w:line="360" w:lineRule="auto"/>
              <w:contextualSpacing/>
              <w:rPr>
                <w:rFonts w:ascii="宋体" w:hAnsi="宋体" w:cs="宋体"/>
                <w:color w:val="auto"/>
              </w:rPr>
            </w:pPr>
            <w:r>
              <w:rPr>
                <w:rFonts w:hint="eastAsia" w:ascii="宋体" w:hAnsi="宋体" w:cs="宋体"/>
                <w:color w:val="auto"/>
              </w:rPr>
              <w:t xml:space="preserve">  0.035%</w:t>
            </w:r>
          </w:p>
        </w:tc>
        <w:tc>
          <w:tcPr>
            <w:tcW w:w="1685" w:type="dxa"/>
            <w:noWrap/>
          </w:tcPr>
          <w:p>
            <w:pPr>
              <w:spacing w:line="360" w:lineRule="auto"/>
              <w:ind w:firstLine="105" w:firstLineChars="50"/>
              <w:contextualSpacing/>
              <w:rPr>
                <w:rFonts w:ascii="宋体" w:hAnsi="宋体" w:cs="宋体"/>
                <w:color w:val="auto"/>
              </w:rPr>
            </w:pPr>
            <w:r>
              <w:rPr>
                <w:rFonts w:hint="eastAsia" w:ascii="宋体" w:hAnsi="宋体" w:cs="宋体"/>
                <w:color w:val="auto"/>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10～50亿元</w:t>
            </w:r>
          </w:p>
        </w:tc>
        <w:tc>
          <w:tcPr>
            <w:tcW w:w="1806" w:type="dxa"/>
            <w:noWrap/>
          </w:tcPr>
          <w:p>
            <w:pPr>
              <w:spacing w:line="360" w:lineRule="auto"/>
              <w:ind w:firstLine="105" w:firstLineChars="50"/>
              <w:contextualSpacing/>
              <w:rPr>
                <w:rFonts w:ascii="宋体" w:hAnsi="宋体" w:cs="宋体"/>
                <w:color w:val="auto"/>
              </w:rPr>
            </w:pPr>
            <w:r>
              <w:rPr>
                <w:rFonts w:hint="eastAsia" w:ascii="宋体" w:hAnsi="宋体" w:cs="宋体"/>
                <w:color w:val="auto"/>
              </w:rPr>
              <w:t>0.008%</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rPr>
              <w:t>0.008%</w:t>
            </w:r>
          </w:p>
        </w:tc>
        <w:tc>
          <w:tcPr>
            <w:tcW w:w="1685" w:type="dxa"/>
            <w:noWrap/>
          </w:tcPr>
          <w:p>
            <w:pPr>
              <w:spacing w:line="360" w:lineRule="auto"/>
              <w:ind w:firstLine="105" w:firstLineChars="50"/>
              <w:contextualSpacing/>
              <w:rPr>
                <w:rFonts w:ascii="宋体" w:hAnsi="宋体" w:cs="宋体"/>
                <w:color w:val="auto"/>
              </w:rPr>
            </w:pPr>
            <w:r>
              <w:rPr>
                <w:rFonts w:hint="eastAsia" w:ascii="宋体" w:hAnsi="宋体" w:cs="宋体"/>
                <w:color w:val="auto"/>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50～100亿元</w:t>
            </w:r>
          </w:p>
        </w:tc>
        <w:tc>
          <w:tcPr>
            <w:tcW w:w="1806" w:type="dxa"/>
            <w:noWrap/>
          </w:tcPr>
          <w:p>
            <w:pPr>
              <w:spacing w:line="360" w:lineRule="auto"/>
              <w:contextualSpacing/>
              <w:rPr>
                <w:rFonts w:ascii="宋体" w:hAnsi="宋体" w:cs="宋体"/>
                <w:color w:val="auto"/>
              </w:rPr>
            </w:pPr>
            <w:r>
              <w:rPr>
                <w:rFonts w:hint="eastAsia" w:ascii="宋体" w:hAnsi="宋体" w:cs="宋体"/>
                <w:color w:val="auto"/>
              </w:rPr>
              <w:t xml:space="preserve"> 0.006%</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rPr>
              <w:t>0.006%</w:t>
            </w:r>
          </w:p>
        </w:tc>
        <w:tc>
          <w:tcPr>
            <w:tcW w:w="1685" w:type="dxa"/>
            <w:noWrap/>
          </w:tcPr>
          <w:p>
            <w:pPr>
              <w:spacing w:line="360" w:lineRule="auto"/>
              <w:ind w:firstLine="105" w:firstLineChars="50"/>
              <w:contextualSpacing/>
              <w:rPr>
                <w:rFonts w:ascii="宋体" w:hAnsi="宋体" w:cs="宋体"/>
                <w:color w:val="auto"/>
              </w:rPr>
            </w:pPr>
            <w:r>
              <w:rPr>
                <w:rFonts w:hint="eastAsia" w:ascii="宋体" w:hAnsi="宋体" w:cs="宋体"/>
                <w:color w:val="auto"/>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2" w:type="dxa"/>
            <w:noWrap/>
          </w:tcPr>
          <w:p>
            <w:pPr>
              <w:spacing w:line="360" w:lineRule="auto"/>
              <w:contextualSpacing/>
              <w:rPr>
                <w:rFonts w:ascii="宋体" w:hAnsi="宋体" w:cs="宋体"/>
                <w:color w:val="auto"/>
              </w:rPr>
            </w:pPr>
            <w:r>
              <w:rPr>
                <w:rFonts w:hint="eastAsia" w:ascii="宋体" w:hAnsi="宋体" w:cs="宋体"/>
                <w:color w:val="auto"/>
              </w:rPr>
              <w:t>100亿以上</w:t>
            </w:r>
          </w:p>
        </w:tc>
        <w:tc>
          <w:tcPr>
            <w:tcW w:w="1806" w:type="dxa"/>
            <w:noWrap/>
          </w:tcPr>
          <w:p>
            <w:pPr>
              <w:spacing w:line="360" w:lineRule="auto"/>
              <w:contextualSpacing/>
              <w:rPr>
                <w:rFonts w:ascii="宋体" w:hAnsi="宋体" w:cs="宋体"/>
                <w:color w:val="auto"/>
              </w:rPr>
            </w:pPr>
            <w:r>
              <w:rPr>
                <w:rFonts w:hint="eastAsia" w:ascii="宋体" w:hAnsi="宋体" w:cs="宋体"/>
                <w:color w:val="auto"/>
              </w:rPr>
              <w:t xml:space="preserve"> 0.004%</w:t>
            </w:r>
          </w:p>
        </w:tc>
        <w:tc>
          <w:tcPr>
            <w:tcW w:w="1669" w:type="dxa"/>
            <w:noWrap/>
          </w:tcPr>
          <w:p>
            <w:pPr>
              <w:spacing w:line="360" w:lineRule="auto"/>
              <w:ind w:firstLine="210" w:firstLineChars="100"/>
              <w:contextualSpacing/>
              <w:rPr>
                <w:rFonts w:ascii="宋体" w:hAnsi="宋体" w:cs="宋体"/>
                <w:color w:val="auto"/>
              </w:rPr>
            </w:pPr>
            <w:r>
              <w:rPr>
                <w:rFonts w:hint="eastAsia" w:ascii="宋体" w:hAnsi="宋体" w:cs="宋体"/>
                <w:color w:val="auto"/>
              </w:rPr>
              <w:t>0.004%</w:t>
            </w:r>
          </w:p>
        </w:tc>
        <w:tc>
          <w:tcPr>
            <w:tcW w:w="1685" w:type="dxa"/>
            <w:noWrap/>
          </w:tcPr>
          <w:p>
            <w:pPr>
              <w:spacing w:line="360" w:lineRule="auto"/>
              <w:ind w:firstLine="105" w:firstLineChars="50"/>
              <w:contextualSpacing/>
              <w:rPr>
                <w:rFonts w:ascii="宋体" w:hAnsi="宋体" w:cs="宋体"/>
                <w:color w:val="auto"/>
              </w:rPr>
            </w:pPr>
            <w:r>
              <w:rPr>
                <w:rFonts w:hint="eastAsia" w:ascii="宋体" w:hAnsi="宋体" w:cs="宋体"/>
                <w:color w:val="auto"/>
              </w:rPr>
              <w:t>0.004%</w:t>
            </w:r>
          </w:p>
        </w:tc>
      </w:tr>
    </w:tbl>
    <w:p>
      <w:pPr>
        <w:spacing w:line="360" w:lineRule="auto"/>
        <w:ind w:firstLine="420" w:firstLineChars="200"/>
        <w:contextualSpacing/>
        <w:rPr>
          <w:rFonts w:ascii="宋体" w:hAnsi="宋体" w:cs="宋体"/>
          <w:color w:val="auto"/>
        </w:rPr>
      </w:pPr>
      <w:r>
        <w:rPr>
          <w:rFonts w:ascii="宋体" w:hAnsi="宋体" w:cs="宋体"/>
          <w:color w:val="auto"/>
        </w:rPr>
        <w:t>注：</w:t>
      </w:r>
    </w:p>
    <w:p>
      <w:pPr>
        <w:spacing w:line="360" w:lineRule="auto"/>
        <w:ind w:firstLine="420" w:firstLineChars="200"/>
        <w:contextualSpacing/>
        <w:rPr>
          <w:rFonts w:ascii="宋体" w:hAnsi="宋体" w:cs="宋体"/>
          <w:color w:val="auto"/>
        </w:rPr>
      </w:pPr>
      <w:r>
        <w:rPr>
          <w:rFonts w:hint="eastAsia" w:ascii="宋体" w:hAnsi="宋体" w:cs="宋体"/>
          <w:color w:val="auto"/>
        </w:rPr>
        <w:t>（1）</w:t>
      </w:r>
      <w:r>
        <w:rPr>
          <w:rFonts w:ascii="宋体" w:hAnsi="宋体" w:cs="宋体"/>
          <w:color w:val="auto"/>
        </w:rPr>
        <w:t>按本表费率计算的收费为</w:t>
      </w:r>
      <w:r>
        <w:rPr>
          <w:rFonts w:hint="eastAsia" w:ascii="宋体" w:hAnsi="宋体" w:cs="宋体"/>
          <w:color w:val="auto"/>
        </w:rPr>
        <w:t>采购</w:t>
      </w:r>
      <w:r>
        <w:rPr>
          <w:rFonts w:ascii="宋体" w:hAnsi="宋体" w:cs="宋体"/>
          <w:color w:val="auto"/>
        </w:rPr>
        <w:t>代理的收费基准价格</w:t>
      </w:r>
      <w:r>
        <w:rPr>
          <w:rFonts w:hint="eastAsia" w:ascii="宋体" w:hAnsi="宋体" w:cs="宋体"/>
          <w:color w:val="auto"/>
        </w:rPr>
        <w:t>；</w:t>
      </w:r>
    </w:p>
    <w:p>
      <w:pPr>
        <w:spacing w:line="360" w:lineRule="auto"/>
        <w:ind w:firstLine="420" w:firstLineChars="200"/>
        <w:contextualSpacing/>
        <w:rPr>
          <w:rFonts w:ascii="宋体" w:hAnsi="宋体" w:cs="宋体"/>
          <w:color w:val="auto"/>
        </w:rPr>
      </w:pPr>
      <w:r>
        <w:rPr>
          <w:rFonts w:hint="eastAsia" w:ascii="宋体" w:hAnsi="宋体" w:cs="宋体"/>
          <w:color w:val="auto"/>
        </w:rPr>
        <w:t>（2）采购</w:t>
      </w:r>
      <w:r>
        <w:rPr>
          <w:rFonts w:ascii="宋体" w:hAnsi="宋体" w:cs="宋体"/>
          <w:color w:val="auto"/>
        </w:rPr>
        <w:t>代理收费按差额定率累进法计算。</w:t>
      </w:r>
    </w:p>
    <w:p>
      <w:pPr>
        <w:spacing w:line="360" w:lineRule="auto"/>
        <w:ind w:firstLine="482" w:firstLineChars="200"/>
        <w:contextualSpacing/>
        <w:rPr>
          <w:rFonts w:ascii="黑体" w:hAnsi="黑体" w:eastAsia="黑体" w:cs="宋体"/>
          <w:b/>
          <w:bCs/>
          <w:color w:val="auto"/>
          <w:sz w:val="24"/>
        </w:rPr>
      </w:pPr>
      <w:r>
        <w:rPr>
          <w:rFonts w:hint="eastAsia" w:ascii="黑体" w:hAnsi="黑体" w:eastAsia="黑体" w:cs="宋体"/>
          <w:b/>
          <w:bCs/>
          <w:color w:val="auto"/>
          <w:sz w:val="24"/>
        </w:rPr>
        <w:t>3</w:t>
      </w:r>
      <w:r>
        <w:rPr>
          <w:rFonts w:ascii="黑体" w:hAnsi="黑体" w:eastAsia="黑体" w:cs="宋体"/>
          <w:b/>
          <w:bCs/>
          <w:color w:val="auto"/>
          <w:sz w:val="24"/>
        </w:rPr>
        <w:t>3.需要补充的其他内容</w:t>
      </w:r>
    </w:p>
    <w:p>
      <w:pPr>
        <w:spacing w:line="360" w:lineRule="auto"/>
        <w:ind w:firstLine="420" w:firstLineChars="200"/>
        <w:contextualSpacing/>
        <w:rPr>
          <w:rFonts w:ascii="宋体" w:hAnsi="宋体" w:cs="宋体"/>
          <w:color w:val="auto"/>
        </w:rPr>
      </w:pPr>
      <w:r>
        <w:rPr>
          <w:rFonts w:hint="eastAsia" w:ascii="宋体" w:hAnsi="宋体" w:cs="宋体"/>
          <w:color w:val="auto"/>
        </w:rPr>
        <w:t>3</w:t>
      </w:r>
      <w:r>
        <w:rPr>
          <w:rFonts w:ascii="宋体" w:hAnsi="宋体" w:cs="宋体"/>
          <w:color w:val="auto"/>
        </w:rPr>
        <w:t>3.1</w:t>
      </w:r>
      <w:r>
        <w:rPr>
          <w:rFonts w:hint="eastAsia" w:ascii="宋体" w:hAnsi="宋体" w:cs="宋体"/>
          <w:color w:val="auto"/>
        </w:rPr>
        <w:t>本磋商文件解释规则详见“供应商须知前附表”。</w:t>
      </w:r>
    </w:p>
    <w:p>
      <w:pPr>
        <w:spacing w:line="360" w:lineRule="auto"/>
        <w:ind w:firstLine="420" w:firstLineChars="200"/>
        <w:contextualSpacing/>
        <w:rPr>
          <w:rFonts w:ascii="宋体" w:hAnsi="宋体" w:cs="宋体"/>
          <w:color w:val="auto"/>
        </w:rPr>
      </w:pPr>
      <w:r>
        <w:rPr>
          <w:rFonts w:ascii="宋体" w:hAnsi="宋体" w:cs="宋体"/>
          <w:color w:val="auto"/>
        </w:rPr>
        <w:t>33.2</w:t>
      </w:r>
      <w:r>
        <w:rPr>
          <w:rFonts w:hint="eastAsia" w:ascii="宋体" w:hAnsi="宋体" w:cs="宋体"/>
          <w:color w:val="auto"/>
        </w:rPr>
        <w:t xml:space="preserve"> 其他事项详见“供应商须知前附表”。</w:t>
      </w:r>
    </w:p>
    <w:p>
      <w:pPr>
        <w:pStyle w:val="24"/>
        <w:spacing w:line="360" w:lineRule="auto"/>
        <w:ind w:firstLine="420" w:firstLineChars="200"/>
        <w:contextualSpacing/>
        <w:rPr>
          <w:rFonts w:hAnsi="宋体"/>
          <w:color w:val="auto"/>
        </w:rPr>
      </w:pPr>
      <w:r>
        <w:rPr>
          <w:rFonts w:hint="eastAsia" w:hAnsi="宋体" w:cs="宋体"/>
          <w:color w:val="auto"/>
        </w:rPr>
        <w:t>3</w:t>
      </w:r>
      <w:r>
        <w:rPr>
          <w:rFonts w:hAnsi="宋体" w:cs="宋体"/>
          <w:color w:val="auto"/>
        </w:rPr>
        <w:t>3.3</w:t>
      </w:r>
      <w:bookmarkStart w:id="41" w:name="_Hlk65857140"/>
      <w:r>
        <w:rPr>
          <w:rFonts w:hint="eastAsia" w:hAnsi="宋体"/>
          <w:color w:val="auto"/>
        </w:rPr>
        <w:t>本磋商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磋商文件规定的中小企业扶持政策：</w:t>
      </w:r>
    </w:p>
    <w:p>
      <w:pPr>
        <w:pStyle w:val="24"/>
        <w:spacing w:line="360" w:lineRule="auto"/>
        <w:ind w:firstLine="420" w:firstLineChars="200"/>
        <w:contextualSpacing/>
        <w:rPr>
          <w:rFonts w:hAnsi="宋体"/>
          <w:color w:val="auto"/>
        </w:rPr>
      </w:pPr>
      <w:r>
        <w:rPr>
          <w:rFonts w:hint="eastAsia" w:hAnsi="宋体"/>
          <w:color w:val="auto"/>
        </w:rPr>
        <w:t>（1）在货物采购项目中，货物由中小企业制造，即货物由中小企业生产且使用该中小企业商号或者注册商标，不对其中涉及的工程承建商和服务的承接商作出要求；</w:t>
      </w:r>
    </w:p>
    <w:p>
      <w:pPr>
        <w:pStyle w:val="24"/>
        <w:spacing w:line="360" w:lineRule="auto"/>
        <w:ind w:firstLine="420" w:firstLineChars="200"/>
        <w:contextualSpacing/>
        <w:rPr>
          <w:rFonts w:hAnsi="宋体"/>
          <w:color w:val="auto"/>
        </w:rPr>
      </w:pPr>
      <w:r>
        <w:rPr>
          <w:rFonts w:hint="eastAsia" w:hAnsi="宋体"/>
          <w:color w:val="auto"/>
        </w:rPr>
        <w:t>（2）在工程采购项目中，工程由中小企业承建，即工程施工单位为中小企业，不对其中涉及的货物的制造商和服务的承接商作出要求；</w:t>
      </w:r>
    </w:p>
    <w:p>
      <w:pPr>
        <w:pStyle w:val="24"/>
        <w:spacing w:line="360" w:lineRule="auto"/>
        <w:ind w:firstLine="420" w:firstLineChars="200"/>
        <w:contextualSpacing/>
        <w:rPr>
          <w:rFonts w:hAnsi="宋体"/>
          <w:color w:val="auto"/>
        </w:rPr>
      </w:pPr>
      <w:r>
        <w:rPr>
          <w:rFonts w:hint="eastAsia" w:hAnsi="宋体"/>
          <w:color w:val="auto"/>
        </w:rPr>
        <w:t>（3）在服务采购项目中，服务由中小企业承接，即提供服务的人员为中小企业依照《中华人民共和国劳动合同法》订立劳动合同的从业人员，不对其中涉及的货物的制造商和工程承建商作出要求。</w:t>
      </w:r>
    </w:p>
    <w:p>
      <w:pPr>
        <w:pStyle w:val="24"/>
        <w:spacing w:line="360" w:lineRule="auto"/>
        <w:ind w:firstLine="420" w:firstLineChars="200"/>
        <w:contextualSpacing/>
        <w:rPr>
          <w:rFonts w:hAnsi="宋体"/>
          <w:color w:val="auto"/>
        </w:rPr>
      </w:pPr>
      <w:r>
        <w:rPr>
          <w:rFonts w:hint="eastAsia" w:hAnsi="宋体"/>
          <w:color w:val="auto"/>
        </w:rPr>
        <w:t>在货物采购项目中，供应商提供的货物既有中小企业制造货物，也有大型企业制造货物的，不享受本磋商文件规定的中小企业扶持政策。以联合体形式参加政府采购活动，联合体各方均为中小企业的，联合体视同中小企业。其中，联合体各方均为小微企业的，联合体视同小微企业。</w:t>
      </w:r>
    </w:p>
    <w:p>
      <w:pPr>
        <w:spacing w:line="500" w:lineRule="exact"/>
        <w:rPr>
          <w:rFonts w:ascii="宋体" w:hAnsi="宋体"/>
          <w:b/>
          <w:bCs/>
          <w:color w:val="auto"/>
          <w:sz w:val="32"/>
          <w:szCs w:val="32"/>
        </w:rPr>
      </w:pPr>
      <w:r>
        <w:rPr>
          <w:rFonts w:hint="eastAsia" w:hAnsi="宋体"/>
          <w:color w:val="auto"/>
        </w:rPr>
        <w:t>依据本磋商文件规定享受扶持政策获得采购合同的，小微企业不得将合同分包给大中型企业，中型企业不得将合同分包给大型企业。</w:t>
      </w:r>
      <w:bookmarkEnd w:id="41"/>
      <w:r>
        <w:rPr>
          <w:rFonts w:hint="eastAsia" w:ascii="宋体" w:hAnsi="宋体"/>
          <w:b/>
          <w:bCs/>
          <w:color w:val="auto"/>
          <w:sz w:val="32"/>
          <w:szCs w:val="32"/>
        </w:rPr>
        <w:br w:type="page"/>
      </w:r>
    </w:p>
    <w:p>
      <w:pPr>
        <w:pStyle w:val="5"/>
        <w:jc w:val="center"/>
        <w:rPr>
          <w:rFonts w:ascii="宋体" w:hAnsi="宋体"/>
          <w:color w:val="auto"/>
        </w:rPr>
      </w:pPr>
      <w:bookmarkStart w:id="42" w:name="_Toc24436"/>
      <w:bookmarkStart w:id="43" w:name="_Toc5851"/>
      <w:bookmarkStart w:id="44" w:name="_Toc23574"/>
      <w:bookmarkStart w:id="45" w:name="_Toc14321"/>
      <w:r>
        <w:rPr>
          <w:rFonts w:hint="eastAsia" w:ascii="宋体" w:hAnsi="宋体"/>
          <w:color w:val="auto"/>
        </w:rPr>
        <w:t>第三章  采购需求</w:t>
      </w:r>
      <w:bookmarkEnd w:id="42"/>
      <w:bookmarkEnd w:id="43"/>
      <w:bookmarkEnd w:id="44"/>
      <w:bookmarkEnd w:id="45"/>
    </w:p>
    <w:p>
      <w:pPr>
        <w:spacing w:line="360" w:lineRule="auto"/>
        <w:jc w:val="left"/>
        <w:rPr>
          <w:rFonts w:ascii="宋体" w:hAnsi="宋体" w:cs="宋体"/>
          <w:b/>
          <w:color w:val="auto"/>
        </w:rPr>
      </w:pPr>
      <w:r>
        <w:rPr>
          <w:rFonts w:hint="eastAsia" w:ascii="宋体" w:hAnsi="宋体" w:cs="宋体"/>
          <w:b/>
          <w:color w:val="auto"/>
        </w:rPr>
        <w:t>说明：</w:t>
      </w:r>
    </w:p>
    <w:p>
      <w:pPr>
        <w:spacing w:line="360" w:lineRule="exact"/>
        <w:ind w:left="-10" w:leftChars="-5" w:right="2" w:rightChars="1" w:firstLine="422" w:firstLineChars="200"/>
        <w:rPr>
          <w:rFonts w:ascii="宋体" w:hAnsi="宋体" w:cs="宋体"/>
          <w:b/>
          <w:bCs/>
          <w:color w:val="auto"/>
        </w:rPr>
      </w:pPr>
      <w:r>
        <w:rPr>
          <w:rFonts w:hint="eastAsia" w:ascii="宋体" w:hAnsi="宋体" w:cs="宋体"/>
          <w:b/>
          <w:bCs/>
          <w:color w:val="auto"/>
        </w:rPr>
        <w:t>1、采购需求中如出现品牌、型号或者生产厂家等均仅起参考作用，不属于指定品牌、型号或者生产厂家的情形，供应商可参照或者选用其他相当的品牌、型号或者生产供应商替代。但供应商的产品实质上应相当于或优于本需求中的技术要求。</w:t>
      </w:r>
    </w:p>
    <w:p>
      <w:pPr>
        <w:spacing w:line="360" w:lineRule="exact"/>
        <w:ind w:left="-10" w:leftChars="-5" w:right="2" w:rightChars="1" w:firstLine="422" w:firstLineChars="200"/>
        <w:rPr>
          <w:rFonts w:ascii="宋体" w:hAnsi="宋体" w:cs="宋体"/>
          <w:b/>
          <w:bCs/>
          <w:color w:val="auto"/>
        </w:rPr>
      </w:pPr>
      <w:r>
        <w:rPr>
          <w:rFonts w:hint="eastAsia" w:ascii="宋体" w:hAnsi="宋体" w:cs="宋体"/>
          <w:b/>
          <w:bCs/>
          <w:color w:val="auto"/>
        </w:rPr>
        <w:t>2、凡在“技术要求”中表述为“标配”或“标准配置”的设备，供应商应在货物配置清单中将其标配参数详细列明。</w:t>
      </w:r>
    </w:p>
    <w:p>
      <w:pPr>
        <w:spacing w:line="360" w:lineRule="exact"/>
        <w:ind w:left="-10" w:leftChars="-5" w:right="2" w:rightChars="1" w:firstLine="422" w:firstLineChars="200"/>
        <w:rPr>
          <w:rFonts w:ascii="宋体" w:hAnsi="宋体" w:cs="宋体"/>
          <w:b/>
          <w:bCs/>
          <w:color w:val="auto"/>
        </w:rPr>
      </w:pPr>
      <w:r>
        <w:rPr>
          <w:rFonts w:hint="eastAsia" w:ascii="宋体" w:hAnsi="宋体" w:cs="宋体"/>
          <w:b/>
          <w:bCs/>
          <w:color w:val="auto"/>
        </w:rPr>
        <w:t>3、如供应商竞标产品存在侵犯他人的知识产权或者专利成果行为的，由供应商自行承担相应法律责任。</w:t>
      </w:r>
    </w:p>
    <w:p>
      <w:pPr>
        <w:spacing w:line="360" w:lineRule="exact"/>
        <w:ind w:left="-10" w:leftChars="-5" w:right="2" w:rightChars="1" w:firstLine="422" w:firstLineChars="200"/>
        <w:rPr>
          <w:rFonts w:ascii="宋体" w:hAnsi="宋体" w:cs="宋体"/>
          <w:b/>
          <w:bCs/>
          <w:color w:val="auto"/>
        </w:rPr>
      </w:pPr>
      <w:r>
        <w:rPr>
          <w:rFonts w:hint="eastAsia" w:ascii="宋体" w:hAnsi="宋体" w:cs="宋体"/>
          <w:b/>
          <w:bCs/>
          <w:color w:val="auto"/>
        </w:rPr>
        <w:t>4、“实质性要求”是指竞争性</w:t>
      </w:r>
      <w:r>
        <w:rPr>
          <w:rFonts w:hint="eastAsia" w:ascii="宋体" w:hAnsi="宋体" w:cs="宋体"/>
          <w:b/>
          <w:bCs/>
          <w:color w:val="auto"/>
          <w:lang w:eastAsia="zh-CN"/>
        </w:rPr>
        <w:t>磋商</w:t>
      </w:r>
      <w:r>
        <w:rPr>
          <w:rFonts w:hint="eastAsia" w:ascii="宋体" w:hAnsi="宋体" w:cs="宋体"/>
          <w:b/>
          <w:bCs/>
          <w:color w:val="auto"/>
        </w:rPr>
        <w:t>文件中已经指明不满足则响应无效的条款，或者不能负偏离的条款，或者采购需求中带“▲”的条款。</w:t>
      </w:r>
    </w:p>
    <w:p>
      <w:pPr>
        <w:spacing w:line="360" w:lineRule="exact"/>
        <w:ind w:left="-10" w:leftChars="-5" w:right="2" w:rightChars="1" w:firstLine="422" w:firstLineChars="200"/>
        <w:rPr>
          <w:rFonts w:ascii="宋体" w:hAnsi="宋体" w:cs="宋体"/>
          <w:b/>
          <w:bCs/>
          <w:color w:val="auto"/>
        </w:rPr>
      </w:pPr>
      <w:r>
        <w:rPr>
          <w:rFonts w:hint="eastAsia" w:ascii="宋体" w:hAnsi="宋体" w:cs="宋体"/>
          <w:b/>
          <w:bCs/>
          <w:color w:val="auto"/>
        </w:rPr>
        <w:t>5、所属行业：批发业。</w:t>
      </w:r>
    </w:p>
    <w:tbl>
      <w:tblPr>
        <w:tblStyle w:val="41"/>
        <w:tblW w:w="511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798"/>
        <w:gridCol w:w="1957"/>
        <w:gridCol w:w="3668"/>
        <w:gridCol w:w="974"/>
        <w:gridCol w:w="972"/>
        <w:gridCol w:w="1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7" w:hRule="atLeast"/>
        </w:trPr>
        <w:tc>
          <w:tcPr>
            <w:tcW w:w="5000" w:type="pct"/>
            <w:gridSpan w:val="6"/>
            <w:shd w:val="clear" w:color="auto" w:fill="FFFFFF"/>
            <w:noWrap/>
            <w:vAlign w:val="center"/>
          </w:tcPr>
          <w:p>
            <w:pPr>
              <w:widowControl/>
              <w:spacing w:line="340" w:lineRule="exact"/>
              <w:rPr>
                <w:rFonts w:ascii="宋体" w:hAnsi="宋体" w:cs="宋体"/>
                <w:b/>
                <w:color w:val="auto"/>
                <w:kern w:val="0"/>
              </w:rPr>
            </w:pPr>
            <w:r>
              <w:rPr>
                <w:rFonts w:hint="eastAsia" w:ascii="宋体" w:hAnsi="宋体" w:cs="宋体"/>
                <w:b/>
                <w:color w:val="auto"/>
              </w:rPr>
              <w:t>一、</w:t>
            </w:r>
            <w:r>
              <w:rPr>
                <w:rFonts w:hint="eastAsia" w:ascii="宋体" w:hAnsi="宋体" w:cs="宋体"/>
                <w:b/>
                <w:bCs/>
                <w:color w:val="auto"/>
                <w:kern w:val="0"/>
              </w:rPr>
              <w:t>项目要求及技术需求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rPr>
              <w:t>项号</w:t>
            </w:r>
          </w:p>
        </w:tc>
        <w:tc>
          <w:tcPr>
            <w:tcW w:w="993" w:type="pct"/>
            <w:shd w:val="clear" w:color="auto" w:fill="FFFFFF"/>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rPr>
              <w:t>标的名称</w:t>
            </w:r>
          </w:p>
        </w:tc>
        <w:tc>
          <w:tcPr>
            <w:tcW w:w="1861" w:type="pct"/>
            <w:shd w:val="clear" w:color="auto" w:fill="FFFFFF"/>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rPr>
              <w:t>技术参数及性能（配置）要求</w:t>
            </w:r>
          </w:p>
        </w:tc>
        <w:tc>
          <w:tcPr>
            <w:tcW w:w="494" w:type="pct"/>
            <w:shd w:val="clear" w:color="auto" w:fill="FFFFFF"/>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kern w:val="0"/>
              </w:rPr>
              <w:t>单位</w:t>
            </w:r>
          </w:p>
        </w:tc>
        <w:tc>
          <w:tcPr>
            <w:tcW w:w="493" w:type="pct"/>
            <w:shd w:val="clear" w:color="auto" w:fill="FFFFFF"/>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rPr>
              <w:t>数量</w:t>
            </w:r>
          </w:p>
        </w:tc>
        <w:tc>
          <w:tcPr>
            <w:tcW w:w="753" w:type="pct"/>
            <w:shd w:val="clear" w:color="auto" w:fill="FFFFFF"/>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kern w:val="0"/>
              </w:rPr>
              <w:t>单价最高限价（元）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阿胶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4930.00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矮地茶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艾叶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江西、湖北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艾叶炭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巴戟天</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白扁豆</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河南、浙江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白豆蔻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河南、浙江 规格：生；等级：一级。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白矾</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 规格：碎；等级：一级。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白附子（白附片）</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白花蛇舌草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白芨</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江西、云南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白芥子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白茅根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安徽、河南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江西、湖北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白首乌（隔山撬）</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白头翁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江苏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白薇</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白鲜皮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辽宁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白芷</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百部</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百合</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69.60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柏子仁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青海，新疆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败酱草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宁夏，广东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板蓝根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河北，江苏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半边莲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江苏，安慰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半枝莲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江苏，安微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薄荷</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江西、云南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9.50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薄荷脑</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北沙参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92.80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萆薢(川太）</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萹蓄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扁豆花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鳖甲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槟榔</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云南、海南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冰片</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云南林緣香料有限公司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859.00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补骨脂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布渣叶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蚕沙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苍耳子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江西、河北 规格：去刺；等级：一级。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苍术</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内蒙、河北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483.00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草果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侧柏叶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柴胡</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蝉蜕</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炒谷芽（炒稻芽）</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炒蒺藜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49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炒麦芽</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炒山楂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炒神曲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福建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炒王不留行</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炒栀子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车前草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车前子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19.00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陈皮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江西、广东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赤芍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赤石脂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59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赤小豆</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湖南、安徽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茺蔚子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川楝子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川芎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穿破石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垂盆草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磁石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 规格：生；等级：一级。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醋甘遂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规格：制片；等级：一级。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醋没药</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规格：制；等级：一级。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醋延胡索</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 规格：炙；等级：一级。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69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大飞扬草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云南、海南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大腹皮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云南、海南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大海子(胖大海)</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甘肃、山西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大黄炭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陕西、甘肃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大蓟</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江苏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大青叶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大血藤(红藤)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湖南、湖北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代赭石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湖南、湖北 等级：原</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丹参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79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胆南星</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淡豆豉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0.65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淡竹叶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当归</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 规格：片；等级：一级选片。</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292.50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当归藤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当归尾</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▲党参</w:t>
            </w:r>
          </w:p>
        </w:tc>
        <w:tc>
          <w:tcPr>
            <w:tcW w:w="1861" w:type="pct"/>
            <w:shd w:val="clear" w:color="auto" w:fill="FFFFFF"/>
            <w:noWrap/>
            <w:vAlign w:val="center"/>
          </w:tcPr>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规格：段；</w:t>
            </w:r>
          </w:p>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等级：一级选段；</w:t>
            </w:r>
          </w:p>
          <w:p>
            <w:pPr>
              <w:widowControl/>
              <w:textAlignment w:val="bottom"/>
              <w:rPr>
                <w:rFonts w:ascii="宋体" w:hAnsi="宋体" w:cs="宋体"/>
                <w:color w:val="auto"/>
              </w:rPr>
            </w:pPr>
            <w:r>
              <w:rPr>
                <w:rFonts w:hint="eastAsia" w:ascii="宋体" w:hAnsi="宋体" w:cs="宋体"/>
                <w:color w:val="auto"/>
                <w:kern w:val="0"/>
                <w:sz w:val="22"/>
                <w:szCs w:val="22"/>
              </w:rPr>
              <w:t>▲</w:t>
            </w:r>
            <w:r>
              <w:rPr>
                <w:rStyle w:val="157"/>
                <w:rFonts w:hint="default"/>
                <w:color w:val="auto"/>
              </w:rPr>
              <w:t>产地：甘肃；直径：</w:t>
            </w:r>
            <w:r>
              <w:rPr>
                <w:rStyle w:val="158"/>
                <w:color w:val="auto"/>
              </w:rPr>
              <w:t xml:space="preserve">1.2cm-1.4cm.  </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292.50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地丁（紫花地丁）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地肤子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地骨皮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89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地龙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地榆</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地榆炭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灯心草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丁香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冬瓜仁（冬瓜子）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冬葵子（茼麻子）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独活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四川、湖北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杜仲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煅龙骨</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陕西、甘肃 规格：煅；等级：一级。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18.50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99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煅牡蛎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陕西、甘肃 规格：煅；等级：一级。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19.00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莪术</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9.50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鹅不食草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法半夏</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番泻叶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防风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内蒙、河北 规格：段</w:t>
            </w:r>
            <w:r>
              <w:rPr>
                <w:rStyle w:val="158"/>
                <w:color w:val="auto"/>
              </w:rPr>
              <w:t>.</w:t>
            </w:r>
            <w:r>
              <w:rPr>
                <w:rStyle w:val="157"/>
                <w:rFonts w:hint="default"/>
                <w:color w:val="auto"/>
              </w:rPr>
              <w:t>北；等级：一级。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18.50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防己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蜂房</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内蒙、河北 规格：段</w:t>
            </w:r>
            <w:r>
              <w:rPr>
                <w:rStyle w:val="158"/>
                <w:color w:val="auto"/>
              </w:rPr>
              <w:t>.</w:t>
            </w:r>
            <w:r>
              <w:rPr>
                <w:rStyle w:val="157"/>
                <w:rFonts w:hint="default"/>
                <w:color w:val="auto"/>
              </w:rPr>
              <w:t>北；等级：一级。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麸炒白术</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249.00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佛手</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109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茯苓</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茯苓皮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湖南、云南 规格：块；等级：一级。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茯神</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湖南、云南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浮萍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湖南、安徽 规格：块；等级：一级。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浮小麦</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覆盆子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河南、辽宁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甘草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甘松</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内蒙、甘肃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干姜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岗梅</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119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高良姜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葛根（粉葛）</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葛花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钩藤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狗脊</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枸杞子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谷精草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宁夏 规格：选；等级：一级。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谷芽（稻芽）</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骨碎补</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安微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瓜篓壳（瓜蒌皮）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129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瓜篓仁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贯众</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广金钱草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龟板（醋龟甲）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桂枝</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海风藤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海浮石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海金沙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547.00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海螵蛸(乌贼骨)</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海藻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福建、山东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139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蒿本（藁本）</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诃子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合欢皮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云南、湖北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19.00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荷叶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黑附子（黑顺片）</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262.50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红参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吉林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红花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新疆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厚朴</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胡黄连</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虎杖</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149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琥珀</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花椒(川椒)</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规格：原</w:t>
            </w:r>
            <w:r>
              <w:rPr>
                <w:rStyle w:val="158"/>
                <w:color w:val="auto"/>
              </w:rPr>
              <w:t>(</w:t>
            </w:r>
            <w:r>
              <w:rPr>
                <w:rStyle w:val="157"/>
                <w:rFonts w:hint="default"/>
                <w:color w:val="auto"/>
              </w:rPr>
              <w:t>川</w:t>
            </w:r>
            <w:r>
              <w:rPr>
                <w:rStyle w:val="158"/>
                <w:color w:val="auto"/>
              </w:rPr>
              <w:t xml:space="preserve">) </w:t>
            </w:r>
            <w:r>
              <w:rPr>
                <w:rStyle w:val="157"/>
                <w:rFonts w:hint="default"/>
                <w:color w:val="auto"/>
              </w:rPr>
              <w:t>；等级：一级。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滑石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规格：粉；等级：一级。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槐花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山东、河北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黄柏</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黄花倒水莲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黄连（川连）</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黄芩</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甘肃、河北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▲黄芪</w:t>
            </w:r>
          </w:p>
        </w:tc>
        <w:tc>
          <w:tcPr>
            <w:tcW w:w="1861" w:type="pct"/>
            <w:shd w:val="clear" w:color="auto" w:fill="FFFFFF"/>
            <w:noWrap/>
            <w:vAlign w:val="center"/>
          </w:tcPr>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规格：圆片；</w:t>
            </w:r>
          </w:p>
          <w:p>
            <w:pPr>
              <w:widowControl/>
              <w:textAlignment w:val="bottom"/>
              <w:rPr>
                <w:rStyle w:val="158"/>
                <w:color w:val="auto"/>
              </w:rPr>
            </w:pPr>
            <w:r>
              <w:rPr>
                <w:rFonts w:hint="eastAsia" w:ascii="宋体" w:hAnsi="宋体" w:cs="宋体"/>
                <w:color w:val="auto"/>
                <w:kern w:val="0"/>
                <w:sz w:val="22"/>
                <w:szCs w:val="22"/>
              </w:rPr>
              <w:t>▲</w:t>
            </w:r>
            <w:r>
              <w:rPr>
                <w:rStyle w:val="157"/>
                <w:rFonts w:hint="default"/>
                <w:color w:val="auto"/>
              </w:rPr>
              <w:t>等级：一级选片</w:t>
            </w:r>
            <w:r>
              <w:rPr>
                <w:rStyle w:val="158"/>
                <w:color w:val="auto"/>
              </w:rPr>
              <w:t>;</w:t>
            </w:r>
          </w:p>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产地：内蒙古；</w:t>
            </w:r>
          </w:p>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直径：</w:t>
            </w:r>
            <w:r>
              <w:rPr>
                <w:rStyle w:val="158"/>
                <w:color w:val="auto"/>
              </w:rPr>
              <w:t>1cm-2cm</w:t>
            </w:r>
            <w:r>
              <w:rPr>
                <w:rStyle w:val="157"/>
                <w:rFonts w:hint="default"/>
                <w:color w:val="auto"/>
              </w:rPr>
              <w:t>；</w:t>
            </w:r>
          </w:p>
          <w:p>
            <w:pPr>
              <w:widowControl/>
              <w:textAlignment w:val="bottom"/>
              <w:rPr>
                <w:rFonts w:ascii="宋体" w:hAnsi="宋体" w:cs="宋体"/>
                <w:color w:val="auto"/>
              </w:rPr>
            </w:pPr>
            <w:r>
              <w:rPr>
                <w:rFonts w:hint="eastAsia" w:ascii="宋体" w:hAnsi="宋体" w:cs="宋体"/>
                <w:color w:val="auto"/>
                <w:kern w:val="0"/>
                <w:sz w:val="22"/>
                <w:szCs w:val="22"/>
              </w:rPr>
              <w:t>▲</w:t>
            </w:r>
            <w:r>
              <w:rPr>
                <w:rStyle w:val="157"/>
                <w:rFonts w:hint="default"/>
                <w:color w:val="auto"/>
              </w:rPr>
              <w:t>黄芪甲苷含量不得少于</w:t>
            </w:r>
            <w:r>
              <w:rPr>
                <w:rStyle w:val="158"/>
                <w:color w:val="auto"/>
              </w:rPr>
              <w:t>0.040%</w:t>
            </w:r>
            <w:r>
              <w:rPr>
                <w:rStyle w:val="157"/>
                <w:rFonts w:hint="default"/>
                <w:color w:val="auto"/>
              </w:rPr>
              <w:t>。</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火麻仁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规格：选；等级：一级。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159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藿香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鸡骨草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鸡冠花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鸡内金</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安徽、广西 规格：炒制；等级：一级。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鸡屎藤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鸡血藤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蒺藜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内蒙古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姜黄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姜水半夏</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规格：姜制；等级：一级。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僵蚕</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江西、四川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169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绞股蓝</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金樱子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江苏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荆芥</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规格：原</w:t>
            </w:r>
            <w:r>
              <w:rPr>
                <w:rStyle w:val="158"/>
                <w:color w:val="auto"/>
              </w:rPr>
              <w:t>.</w:t>
            </w:r>
            <w:r>
              <w:rPr>
                <w:rStyle w:val="157"/>
                <w:rFonts w:hint="default"/>
                <w:color w:val="auto"/>
              </w:rPr>
              <w:t>肉；等级：一级。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18.00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荆芥穗</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荆芥炭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江西、湖南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韭菜子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江西、湖南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酒黄精</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186.00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桔梗</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菊花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安徽、浙江 规格：原</w:t>
            </w:r>
            <w:r>
              <w:rPr>
                <w:rStyle w:val="158"/>
                <w:color w:val="auto"/>
              </w:rPr>
              <w:t>(</w:t>
            </w:r>
            <w:r>
              <w:rPr>
                <w:rStyle w:val="157"/>
                <w:rFonts w:hint="default"/>
                <w:color w:val="auto"/>
              </w:rPr>
              <w:t>白</w:t>
            </w:r>
            <w:r>
              <w:rPr>
                <w:rStyle w:val="158"/>
                <w:color w:val="auto"/>
              </w:rPr>
              <w:t xml:space="preserve">) </w:t>
            </w:r>
            <w:r>
              <w:rPr>
                <w:rStyle w:val="157"/>
                <w:rFonts w:hint="default"/>
                <w:color w:val="auto"/>
              </w:rPr>
              <w:t>；等级：一级。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橘核</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179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橘红(桔红)</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决明子（草决明）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湖北、河北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枯矾</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规格：煅；等级：一级。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苦参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宽筋藤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款冬花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河北、甘肃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昆布</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莱菔子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了刁竹(徐长卿)</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荔枝核</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189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连翘</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莲子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规格：原</w:t>
            </w:r>
            <w:r>
              <w:rPr>
                <w:rStyle w:val="158"/>
                <w:color w:val="auto"/>
              </w:rPr>
              <w:t>.</w:t>
            </w:r>
            <w:r>
              <w:rPr>
                <w:rStyle w:val="157"/>
                <w:rFonts w:hint="default"/>
                <w:color w:val="auto"/>
              </w:rPr>
              <w:t>白；等级：一级。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两面针</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刘寄奴</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江苏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龙齿</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陕西、甘肃 规格：生；等级：一级。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龙胆草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芦根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鹿角霜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路路通</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湖南、河北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罗布麻叶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199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络石藤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麻黄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麻黄根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陕西、甘肃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马勃</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马齿苋</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规格：选；等级：一级。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马钱子粉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麦冬</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宁夏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187.00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麦芽</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蔓荆子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芒硝</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新疆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209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猫爪草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密蒙花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磨盘草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墨旱莲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江西、广东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牡丹皮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木瓜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湖北、广东 规格：皱皮；等级：一级。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木通</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45.50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木香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木贼</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黑龙江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墓头回</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219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牛蒡子(牛子)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甘肃、四川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牛大力</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牛膝</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女贞子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炮姜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佩兰</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枇杷叶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平贝母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吉林、浙江 规格：选；等级：一级。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蒲公英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甘肃、陕西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蒲黄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229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蒲黄炭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千层纸（木蝴蝶）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千斤拔</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千里光(九里明）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千年健</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前胡</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芡实</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茜草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羌活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秦艽</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甘肃、云南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239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青黛</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青果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青蒿</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青皮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江西、湖南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青天葵</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广东、云南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青葙子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瞿麦</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湖南、河南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全蝎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河南、山东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4730.00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人参叶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吉林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肉苁蓉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内蒙、新疆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186.00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249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肉豆蔻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广西、海南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肉桂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乳香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规格：制；等级：一级。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三棱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江西、浙江 规格：炙；等级：一级。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桑白皮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桑寄生</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9.50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桑螵蛸</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桑椹子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桑叶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桑枝</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259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沙苑子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安徽、陕西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砂仁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山慈姑</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山豆根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山药(淮山)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38.50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山银花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山萸肉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山楂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山楂叶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蛇床子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269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蛇莓</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蛇蜕</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规格：炙；等级：一级。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射干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河北、湖南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伸筋草（铺地蜈蚣）</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辽宁、广东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神曲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肾茶（猫须草）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辽宁、广东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升麻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198.00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生白术</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生地黄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生龙骨</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陕西、甘肃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279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生牡蛎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辽宁、广东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十大功劳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石菖蒲</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石膏</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湖南、湖北 规格：粉</w:t>
            </w:r>
            <w:r>
              <w:rPr>
                <w:rStyle w:val="158"/>
                <w:color w:val="auto"/>
              </w:rPr>
              <w:t>.</w:t>
            </w:r>
            <w:r>
              <w:rPr>
                <w:rStyle w:val="157"/>
                <w:rFonts w:hint="default"/>
                <w:color w:val="auto"/>
              </w:rPr>
              <w:t>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石决明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规格：煅；等级：一级。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石榴皮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河北、江苏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石苇</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江西、贵州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熟地黄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水蛭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3306.00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丝瓜络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289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苏木</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素馨花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河北、山西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1930.00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酸枣仁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1622.00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锁阳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▲太子参</w:t>
            </w:r>
          </w:p>
        </w:tc>
        <w:tc>
          <w:tcPr>
            <w:tcW w:w="1861" w:type="pct"/>
            <w:shd w:val="clear" w:color="auto" w:fill="FFFFFF"/>
            <w:noWrap/>
            <w:vAlign w:val="center"/>
          </w:tcPr>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 xml:space="preserve">产地： 贵州、江苏 </w:t>
            </w:r>
          </w:p>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规格：段；</w:t>
            </w:r>
          </w:p>
          <w:p>
            <w:pPr>
              <w:widowControl/>
              <w:textAlignment w:val="bottom"/>
              <w:rPr>
                <w:rStyle w:val="157"/>
                <w:rFonts w:hint="default"/>
                <w:color w:val="auto"/>
              </w:rPr>
            </w:pPr>
            <w:r>
              <w:rPr>
                <w:rFonts w:hint="eastAsia" w:ascii="宋体" w:hAnsi="宋体" w:cs="宋体"/>
                <w:color w:val="auto"/>
                <w:kern w:val="0"/>
                <w:sz w:val="22"/>
                <w:szCs w:val="22"/>
              </w:rPr>
              <w:t>▲</w:t>
            </w:r>
            <w:r>
              <w:rPr>
                <w:rStyle w:val="157"/>
                <w:rFonts w:hint="default"/>
                <w:color w:val="auto"/>
              </w:rPr>
              <w:t>等级：一级；</w:t>
            </w:r>
          </w:p>
          <w:p>
            <w:pPr>
              <w:widowControl/>
              <w:textAlignment w:val="bottom"/>
              <w:rPr>
                <w:rFonts w:ascii="宋体" w:hAnsi="宋体" w:cs="宋体"/>
                <w:color w:val="auto"/>
              </w:rPr>
            </w:pPr>
            <w:r>
              <w:rPr>
                <w:rFonts w:hint="eastAsia" w:ascii="宋体" w:hAnsi="宋体" w:cs="宋体"/>
                <w:color w:val="auto"/>
                <w:kern w:val="0"/>
                <w:sz w:val="22"/>
                <w:szCs w:val="22"/>
              </w:rPr>
              <w:t>▲</w:t>
            </w:r>
            <w:r>
              <w:rPr>
                <w:rStyle w:val="157"/>
                <w:rFonts w:hint="default"/>
                <w:color w:val="auto"/>
              </w:rPr>
              <w:t>直径：最粗直径大于</w:t>
            </w:r>
            <w:r>
              <w:rPr>
                <w:rStyle w:val="158"/>
                <w:color w:val="auto"/>
              </w:rPr>
              <w:t>4mm</w:t>
            </w:r>
            <w:r>
              <w:rPr>
                <w:rStyle w:val="157"/>
                <w:rFonts w:hint="default"/>
                <w:color w:val="auto"/>
              </w:rPr>
              <w:t>。</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桃仁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规格：嬋；等级：一级。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天冬</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规格：条；等级：一级。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天花粉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天麻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 规格：片</w:t>
            </w:r>
            <w:r>
              <w:rPr>
                <w:rStyle w:val="158"/>
                <w:color w:val="auto"/>
              </w:rPr>
              <w:t>(</w:t>
            </w:r>
            <w:r>
              <w:rPr>
                <w:rStyle w:val="157"/>
                <w:rFonts w:hint="default"/>
                <w:color w:val="auto"/>
              </w:rPr>
              <w:t>统</w:t>
            </w:r>
            <w:r>
              <w:rPr>
                <w:rStyle w:val="158"/>
                <w:color w:val="auto"/>
              </w:rPr>
              <w:t xml:space="preserve">) </w:t>
            </w:r>
            <w:r>
              <w:rPr>
                <w:rStyle w:val="157"/>
                <w:rFonts w:hint="default"/>
                <w:color w:val="auto"/>
              </w:rPr>
              <w:t>；等级：一级。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田基黄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299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田七须(三七须)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甜叶菊</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葶苈子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通草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云南、贵州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透骨草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土鳖虫</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土茯苓</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土槿皮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瓦楞子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威灵仙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 规格：煅；等级：一级。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309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乌梅</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江西、云南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乌梢蛇</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规格：原</w:t>
            </w:r>
            <w:r>
              <w:rPr>
                <w:rStyle w:val="158"/>
                <w:color w:val="auto"/>
              </w:rPr>
              <w:t>.</w:t>
            </w:r>
            <w:r>
              <w:rPr>
                <w:rStyle w:val="157"/>
                <w:rFonts w:hint="default"/>
                <w:color w:val="auto"/>
              </w:rPr>
              <w:t>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乌药</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无名异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吴茱萸</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江西、河南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蜈蚣</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湖北、四川 规格：原独立包装；等级：一级。计量单位（条）</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条</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五倍子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五加皮（香加皮）</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山西、山东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五灵脂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118.50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五灵脂炭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319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五味子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五指毛桃</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细辛</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辽宁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夏枯草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95.70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仙鹤草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江西、浙江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仙茅</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香附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香薷</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蒙古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硝石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新疆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小茴香</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规格：炙；等级：一级。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27.00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329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小蓟</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安徽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薤白</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陕西、甘肃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辛夷</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杏仁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规格：带皮；等级：一级。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玄参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旋覆花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血竭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广东、广西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血余炭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安微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盐菟丝子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盐续断(川断)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339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阳起石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野菊花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江西。山西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夜交藤（首乌藤）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夜明砂</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一枝黄花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133.00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益母草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25.50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益智仁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广西、海南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薏苡仁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茵陈</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甘肃、河北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银柴胡</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 规格：软段；等级：一级。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349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银花藤（忍冬藤）</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山东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银杏叶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湖北、贵州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淫羊藿</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甘肃、广西 规格：丝；等级：一级。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有瓜石斛</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鱼腥草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湖北、贵州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玉竹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郁金</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四川、广西 规格：炙；等级：一级。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104.00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郁李仁</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湖北、贵州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远志</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391.50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皂角刺</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河北、河南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9.50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359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泽兰</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江西、江苏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泽泻</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江西、河北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63.50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樟脑</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0.25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浙贝母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 规格：粒；等级：一级。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珍珠母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浙江、广东 规格：原；等级：一级。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知母</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7.50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栀子（山栀子）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枳壳</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23.50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枳实</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113.00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制何首乌</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陕西 规格：黑豆制片；等级：一级。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369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制天南星</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云南              规格：制片；等级：一级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炙甘草</w:t>
            </w:r>
          </w:p>
        </w:tc>
        <w:tc>
          <w:tcPr>
            <w:tcW w:w="1861" w:type="pct"/>
            <w:shd w:val="clear" w:color="auto" w:fill="FFFFFF"/>
            <w:noWrap/>
            <w:vAlign w:val="center"/>
          </w:tcPr>
          <w:p>
            <w:pPr>
              <w:widowControl/>
              <w:textAlignment w:val="bottom"/>
              <w:rPr>
                <w:rFonts w:ascii="宋体" w:hAnsi="宋体" w:cs="宋体"/>
                <w:color w:val="auto"/>
                <w:highlight w:val="yellow"/>
              </w:rPr>
            </w:pPr>
            <w:r>
              <w:rPr>
                <w:rStyle w:val="157"/>
                <w:rFonts w:hint="default"/>
                <w:color w:val="auto"/>
              </w:rPr>
              <w:t>产地： 内蒙、甘肃 规格：炙片；等级：一级。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炙黄芪</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内蒙、甘肃 规格：炙片；等级：一级。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8.00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炙麻黄(蜜麻黄)</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内蒙 规格：炙片；等级：一级。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4.50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肿节风（九节风）</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重楼(七叶一枝花)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1519.00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猪苓</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山西、四川 规格：片；等级：一级。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16.00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376</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竹茹</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江西、广东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377</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紫草</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新疆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378</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紫河车</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规格：碎；等级：一级。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2295.00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379</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紫石英</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湖北 规格：煅；等级：一级。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19.00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380</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紫苏梗</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广西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381</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紫苏叶</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江西、广西 规格：段；等级：一级。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2.50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382</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紫苏子</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河北、山西 规格：炒；等级：一级。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5.00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86.00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383</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紫菀(紫苑)</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河北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10.00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70.50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384</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自然铜</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贵州 规格：煅；等级：一级。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0.10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22.00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405"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385</w:t>
            </w:r>
          </w:p>
        </w:tc>
        <w:tc>
          <w:tcPr>
            <w:tcW w:w="9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棕榈炭</w:t>
            </w:r>
          </w:p>
        </w:tc>
        <w:tc>
          <w:tcPr>
            <w:tcW w:w="1861" w:type="pct"/>
            <w:shd w:val="clear" w:color="auto" w:fill="FFFFFF"/>
            <w:noWrap/>
            <w:vAlign w:val="center"/>
          </w:tcPr>
          <w:p>
            <w:pPr>
              <w:widowControl/>
              <w:textAlignment w:val="bottom"/>
              <w:rPr>
                <w:rFonts w:ascii="宋体" w:hAnsi="宋体" w:cs="宋体"/>
                <w:color w:val="auto"/>
              </w:rPr>
            </w:pPr>
            <w:r>
              <w:rPr>
                <w:rStyle w:val="157"/>
                <w:rFonts w:hint="default"/>
                <w:color w:val="auto"/>
              </w:rPr>
              <w:t>产地： 江西 等级：一级。</w:t>
            </w:r>
          </w:p>
        </w:tc>
        <w:tc>
          <w:tcPr>
            <w:tcW w:w="494" w:type="pct"/>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千克</w:t>
            </w:r>
          </w:p>
        </w:tc>
        <w:tc>
          <w:tcPr>
            <w:tcW w:w="493" w:type="pct"/>
            <w:shd w:val="clear" w:color="auto" w:fill="FFFFFF"/>
            <w:noWrap/>
            <w:vAlign w:val="center"/>
          </w:tcPr>
          <w:p>
            <w:pPr>
              <w:widowControl/>
              <w:jc w:val="center"/>
              <w:textAlignment w:val="center"/>
              <w:rPr>
                <w:rFonts w:ascii="宋体" w:hAnsi="宋体" w:cs="宋体"/>
                <w:b/>
                <w:color w:val="auto"/>
              </w:rPr>
            </w:pPr>
            <w:r>
              <w:rPr>
                <w:rFonts w:hint="eastAsia" w:ascii="宋体" w:hAnsi="宋体" w:cs="宋体"/>
                <w:color w:val="auto"/>
                <w:kern w:val="0"/>
                <w:sz w:val="22"/>
                <w:szCs w:val="22"/>
              </w:rPr>
              <w:t xml:space="preserve">3.00 </w:t>
            </w:r>
          </w:p>
        </w:tc>
        <w:tc>
          <w:tcPr>
            <w:tcW w:w="1485" w:type="dxa"/>
            <w:shd w:val="clear" w:color="auto" w:fill="FFFFFF"/>
            <w:noWrap/>
            <w:vAlign w:val="center"/>
          </w:tcPr>
          <w:p>
            <w:pPr>
              <w:widowControl/>
              <w:jc w:val="center"/>
              <w:textAlignment w:val="center"/>
              <w:rPr>
                <w:rFonts w:ascii="宋体" w:hAnsi="宋体" w:cs="宋体"/>
                <w:b/>
                <w:color w:val="auto"/>
                <w:kern w:val="0"/>
              </w:rPr>
            </w:pPr>
            <w:r>
              <w:rPr>
                <w:rFonts w:hint="eastAsia" w:ascii="宋体" w:hAnsi="宋体" w:cs="宋体"/>
                <w:color w:val="auto"/>
                <w:kern w:val="0"/>
                <w:sz w:val="22"/>
                <w:szCs w:val="22"/>
              </w:rPr>
              <w:t xml:space="preserve">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5000" w:type="pct"/>
            <w:gridSpan w:val="6"/>
            <w:shd w:val="clear" w:color="auto" w:fill="FFFFFF"/>
            <w:noWrap/>
            <w:vAlign w:val="center"/>
          </w:tcPr>
          <w:p>
            <w:pPr>
              <w:rPr>
                <w:rFonts w:ascii="宋体" w:hAnsi="宋体" w:cs="宋体"/>
                <w:color w:val="auto"/>
                <w:sz w:val="22"/>
                <w:szCs w:val="22"/>
              </w:rPr>
            </w:pPr>
            <w:r>
              <w:rPr>
                <w:rFonts w:hint="eastAsia" w:ascii="宋体" w:hAnsi="宋体" w:cs="宋体"/>
                <w:color w:val="auto"/>
              </w:rPr>
              <w:t>▲</w:t>
            </w:r>
            <w:r>
              <w:rPr>
                <w:rFonts w:hint="eastAsia" w:ascii="宋体" w:hAnsi="宋体" w:cs="宋体"/>
                <w:b/>
                <w:bCs/>
                <w:color w:val="auto"/>
              </w:rPr>
              <w:t>二、商务条款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napToGrid w:val="0"/>
              <w:spacing w:line="340" w:lineRule="exact"/>
              <w:jc w:val="center"/>
              <w:rPr>
                <w:rFonts w:ascii="宋体" w:hAnsi="宋体" w:cs="宋体"/>
                <w:color w:val="auto"/>
              </w:rPr>
            </w:pPr>
            <w:r>
              <w:rPr>
                <w:rFonts w:hint="eastAsia" w:ascii="宋体" w:hAnsi="宋体" w:cs="宋体"/>
                <w:color w:val="auto"/>
              </w:rPr>
              <w:t>交货期及地点</w:t>
            </w:r>
          </w:p>
        </w:tc>
        <w:tc>
          <w:tcPr>
            <w:tcW w:w="3601" w:type="pct"/>
            <w:gridSpan w:val="4"/>
            <w:shd w:val="clear" w:color="auto" w:fill="FFFFFF"/>
            <w:noWrap/>
            <w:vAlign w:val="center"/>
          </w:tcPr>
          <w:p>
            <w:pPr>
              <w:pStyle w:val="18"/>
              <w:rPr>
                <w:rFonts w:ascii="宋体" w:hAnsi="宋体" w:cs="宋体"/>
                <w:color w:val="auto"/>
              </w:rPr>
            </w:pPr>
            <w:bookmarkStart w:id="46" w:name="_Toc3467"/>
            <w:r>
              <w:rPr>
                <w:rFonts w:hint="eastAsia" w:ascii="宋体" w:hAnsi="宋体" w:cs="宋体"/>
                <w:color w:val="auto"/>
              </w:rPr>
              <w:t>交货期：一年内分批次供货，成交供应商每次接采购人供货通知单后在采购人指定的时间（接供货通知单后36小时内，最迟不超过72小时内)和地点交付产地、质量、包装、有效期等均符合条件的药品，且产品外包装标签上必须标示有品名、规格、产地、等级、生产企业、产品批号、生产日期并附质量合格标志。逾期供货视为一次不配送，药品出库单须与药品同行并附上成品检验报告单，采购人根据饮片验收时的质量状况</w:t>
            </w:r>
            <w:r>
              <w:rPr>
                <w:rFonts w:hint="eastAsia"/>
                <w:color w:val="auto"/>
              </w:rPr>
              <w:t>确认收货或者退换货</w:t>
            </w:r>
            <w:r>
              <w:rPr>
                <w:rFonts w:hint="eastAsia" w:ascii="宋体" w:hAnsi="宋体" w:cs="宋体"/>
                <w:color w:val="auto"/>
              </w:rPr>
              <w:t>。</w:t>
            </w:r>
            <w:bookmarkEnd w:id="46"/>
          </w:p>
          <w:p>
            <w:pPr>
              <w:snapToGrid w:val="0"/>
              <w:spacing w:line="340" w:lineRule="exact"/>
              <w:outlineLvl w:val="0"/>
              <w:rPr>
                <w:rFonts w:ascii="宋体" w:hAnsi="宋体" w:cs="宋体"/>
                <w:color w:val="auto"/>
              </w:rPr>
            </w:pPr>
            <w:bookmarkStart w:id="47" w:name="_Toc6703"/>
            <w:bookmarkStart w:id="48" w:name="_Toc6529"/>
            <w:r>
              <w:rPr>
                <w:rFonts w:hint="eastAsia" w:ascii="宋体" w:hAnsi="宋体" w:cs="宋体"/>
                <w:color w:val="auto"/>
              </w:rPr>
              <w:t>地点：广西南宁市采购人指定地点。</w:t>
            </w:r>
            <w:bookmarkEnd w:id="47"/>
            <w:bookmarkEnd w:id="4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napToGrid w:val="0"/>
              <w:spacing w:line="340" w:lineRule="exact"/>
              <w:jc w:val="center"/>
              <w:rPr>
                <w:rFonts w:ascii="宋体" w:hAnsi="宋体" w:cs="宋体"/>
                <w:color w:val="auto"/>
              </w:rPr>
            </w:pPr>
            <w:r>
              <w:rPr>
                <w:rFonts w:hint="eastAsia" w:ascii="宋体" w:hAnsi="宋体" w:cs="宋体"/>
                <w:color w:val="auto"/>
              </w:rPr>
              <w:t>服务标准、服务效率、售后服务要求</w:t>
            </w:r>
          </w:p>
        </w:tc>
        <w:tc>
          <w:tcPr>
            <w:tcW w:w="3601" w:type="pct"/>
            <w:gridSpan w:val="4"/>
            <w:shd w:val="clear" w:color="auto" w:fill="FFFFFF"/>
            <w:noWrap/>
            <w:vAlign w:val="center"/>
          </w:tcPr>
          <w:p>
            <w:pPr>
              <w:snapToGrid w:val="0"/>
              <w:spacing w:line="340" w:lineRule="exact"/>
              <w:outlineLvl w:val="0"/>
              <w:rPr>
                <w:color w:val="auto"/>
              </w:rPr>
            </w:pPr>
            <w:bookmarkStart w:id="49" w:name="_Toc27133"/>
            <w:bookmarkStart w:id="50" w:name="_Toc28004"/>
            <w:r>
              <w:rPr>
                <w:rFonts w:hint="eastAsia"/>
                <w:color w:val="auto"/>
              </w:rPr>
              <w:t>1、按国家有关规定执行“三包”；</w:t>
            </w:r>
            <w:bookmarkEnd w:id="49"/>
            <w:bookmarkEnd w:id="50"/>
          </w:p>
          <w:p>
            <w:pPr>
              <w:snapToGrid w:val="0"/>
              <w:spacing w:line="340" w:lineRule="exact"/>
              <w:outlineLvl w:val="0"/>
              <w:rPr>
                <w:color w:val="auto"/>
              </w:rPr>
            </w:pPr>
            <w:bookmarkStart w:id="51" w:name="_Toc3619"/>
            <w:bookmarkStart w:id="52" w:name="_Toc5237"/>
            <w:r>
              <w:rPr>
                <w:rFonts w:hint="eastAsia"/>
                <w:color w:val="auto"/>
              </w:rPr>
              <w:t>2、免费送货上门；</w:t>
            </w:r>
            <w:bookmarkEnd w:id="51"/>
            <w:bookmarkEnd w:id="52"/>
          </w:p>
          <w:p>
            <w:pPr>
              <w:snapToGrid w:val="0"/>
              <w:spacing w:line="340" w:lineRule="exact"/>
              <w:outlineLvl w:val="0"/>
              <w:rPr>
                <w:b/>
                <w:bCs/>
                <w:color w:val="auto"/>
              </w:rPr>
            </w:pPr>
            <w:bookmarkStart w:id="53" w:name="_Toc18645"/>
            <w:bookmarkStart w:id="54" w:name="_Toc8613"/>
            <w:r>
              <w:rPr>
                <w:rFonts w:hint="eastAsia"/>
                <w:b/>
                <w:bCs/>
                <w:color w:val="auto"/>
              </w:rPr>
              <w:t>3、安排至少1名固定人员在采购人处进行质量跟踪服务（响应文件中提供竞标人2023年4月至2023年9月期间连续三个月为其缴纳社保的证明材料，未经采购人允许，该固定人员不得随意变更）。</w:t>
            </w:r>
            <w:bookmarkEnd w:id="53"/>
            <w:bookmarkEnd w:id="54"/>
          </w:p>
          <w:p>
            <w:pPr>
              <w:spacing w:line="340" w:lineRule="exact"/>
              <w:rPr>
                <w:color w:val="auto"/>
              </w:rPr>
            </w:pPr>
            <w:r>
              <w:rPr>
                <w:rFonts w:hint="eastAsia"/>
                <w:color w:val="auto"/>
              </w:rPr>
              <w:t>4、突发事件或紧急药品及使用科室应急药品随叫随送，超过配送要求时间采购人有权按合同违约处理（特殊情况另议）。</w:t>
            </w:r>
          </w:p>
          <w:p>
            <w:pPr>
              <w:snapToGrid w:val="0"/>
              <w:spacing w:line="340" w:lineRule="exact"/>
              <w:outlineLvl w:val="0"/>
              <w:rPr>
                <w:color w:val="auto"/>
              </w:rPr>
            </w:pPr>
            <w:bookmarkStart w:id="55" w:name="_Toc1430"/>
            <w:bookmarkStart w:id="56" w:name="_Toc11137"/>
            <w:r>
              <w:rPr>
                <w:rFonts w:hint="eastAsia"/>
                <w:color w:val="auto"/>
              </w:rPr>
              <w:t>5、验收货日期距离生产日期不超过1年。</w:t>
            </w:r>
            <w:bookmarkEnd w:id="55"/>
            <w:bookmarkEnd w:id="56"/>
          </w:p>
          <w:p>
            <w:pPr>
              <w:snapToGrid w:val="0"/>
              <w:spacing w:line="340" w:lineRule="exact"/>
              <w:outlineLvl w:val="0"/>
              <w:rPr>
                <w:color w:val="auto"/>
              </w:rPr>
            </w:pPr>
            <w:bookmarkStart w:id="57" w:name="_Toc16176"/>
            <w:r>
              <w:rPr>
                <w:rFonts w:hint="eastAsia"/>
                <w:color w:val="auto"/>
              </w:rPr>
              <w:t>6、对不符合产地、质量、包装、有效期和订单数量要求的饮片，</w:t>
            </w:r>
            <w:r>
              <w:rPr>
                <w:rFonts w:hint="eastAsia" w:ascii="宋体" w:hAnsi="宋体" w:cs="宋体"/>
                <w:color w:val="auto"/>
              </w:rPr>
              <w:t>成交供应商</w:t>
            </w:r>
            <w:r>
              <w:rPr>
                <w:rFonts w:hint="eastAsia"/>
                <w:color w:val="auto"/>
              </w:rPr>
              <w:t>应在24小时内退换，逾期退换视为一次不配送。</w:t>
            </w:r>
            <w:bookmarkEnd w:id="5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napToGrid w:val="0"/>
              <w:spacing w:line="340" w:lineRule="exact"/>
              <w:jc w:val="center"/>
              <w:rPr>
                <w:rFonts w:ascii="宋体" w:hAnsi="宋体" w:cs="宋体"/>
                <w:color w:val="auto"/>
              </w:rPr>
            </w:pPr>
            <w:r>
              <w:rPr>
                <w:rFonts w:hint="eastAsia" w:ascii="宋体" w:hAnsi="宋体" w:cs="宋体"/>
                <w:color w:val="auto"/>
              </w:rPr>
              <w:t>付款方式</w:t>
            </w:r>
          </w:p>
        </w:tc>
        <w:tc>
          <w:tcPr>
            <w:tcW w:w="3601" w:type="pct"/>
            <w:gridSpan w:val="4"/>
            <w:shd w:val="clear" w:color="auto" w:fill="FFFFFF"/>
            <w:noWrap/>
            <w:vAlign w:val="center"/>
          </w:tcPr>
          <w:p>
            <w:pPr>
              <w:snapToGrid w:val="0"/>
              <w:spacing w:line="340" w:lineRule="exact"/>
              <w:outlineLvl w:val="0"/>
              <w:rPr>
                <w:rFonts w:ascii="宋体" w:hAnsi="宋体" w:cs="宋体"/>
                <w:color w:val="auto"/>
              </w:rPr>
            </w:pPr>
            <w:bookmarkStart w:id="58" w:name="_Toc2639"/>
            <w:bookmarkStart w:id="59" w:name="_Toc29347"/>
            <w:r>
              <w:rPr>
                <w:rFonts w:hint="eastAsia" w:ascii="宋体" w:hAnsi="宋体" w:cs="宋体"/>
                <w:color w:val="auto"/>
              </w:rPr>
              <w:t>1、货款按月结算，采购人收到当期发票后，在二十个工作日内，按当期发票金额100%支付给成交供应商。</w:t>
            </w:r>
            <w:bookmarkEnd w:id="58"/>
            <w:bookmarkEnd w:id="59"/>
          </w:p>
          <w:p>
            <w:pPr>
              <w:snapToGrid w:val="0"/>
              <w:spacing w:line="340" w:lineRule="exact"/>
              <w:rPr>
                <w:rFonts w:ascii="宋体" w:hAnsi="宋体" w:cs="宋体"/>
                <w:color w:val="auto"/>
              </w:rPr>
            </w:pPr>
            <w:r>
              <w:rPr>
                <w:rFonts w:hint="eastAsia" w:ascii="宋体" w:hAnsi="宋体" w:cs="宋体"/>
                <w:color w:val="auto"/>
              </w:rPr>
              <w:t>2、所涉及的检定费用由成交供应商承担，报价中应包含检定费用，合同实施时，采购人不再支付任何项目费用。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napToGrid w:val="0"/>
              <w:spacing w:line="340" w:lineRule="exact"/>
              <w:jc w:val="center"/>
              <w:rPr>
                <w:rFonts w:ascii="宋体" w:hAnsi="宋体" w:cs="宋体"/>
                <w:color w:val="auto"/>
                <w:kern w:val="0"/>
              </w:rPr>
            </w:pPr>
            <w:r>
              <w:rPr>
                <w:rFonts w:hint="eastAsia" w:ascii="宋体" w:hAnsi="宋体" w:cs="宋体"/>
                <w:color w:val="auto"/>
                <w:kern w:val="0"/>
              </w:rPr>
              <w:t>履约保证金</w:t>
            </w:r>
          </w:p>
        </w:tc>
        <w:tc>
          <w:tcPr>
            <w:tcW w:w="3601" w:type="pct"/>
            <w:gridSpan w:val="4"/>
            <w:shd w:val="clear" w:color="auto" w:fill="FFFFFF"/>
            <w:noWrap/>
            <w:vAlign w:val="center"/>
          </w:tcPr>
          <w:p>
            <w:pPr>
              <w:autoSpaceDE w:val="0"/>
              <w:autoSpaceDN w:val="0"/>
              <w:snapToGrid w:val="0"/>
              <w:spacing w:line="340" w:lineRule="exact"/>
              <w:textAlignment w:val="bottom"/>
              <w:rPr>
                <w:rFonts w:ascii="宋体" w:hAnsi="宋体" w:cs="宋体"/>
                <w:color w:val="auto"/>
              </w:rPr>
            </w:pPr>
            <w:r>
              <w:rPr>
                <w:rFonts w:hint="eastAsia" w:ascii="宋体" w:hAnsi="宋体" w:cs="宋体"/>
                <w:color w:val="auto"/>
              </w:rPr>
              <w:t>履约保证金金额：按成交金额的</w:t>
            </w:r>
            <w:r>
              <w:rPr>
                <w:rFonts w:hint="eastAsia" w:ascii="宋体" w:hAnsi="宋体" w:cs="宋体"/>
                <w:color w:val="auto"/>
                <w:u w:val="single"/>
              </w:rPr>
              <w:t>2</w:t>
            </w:r>
            <w:r>
              <w:rPr>
                <w:rFonts w:hint="eastAsia" w:ascii="宋体" w:hAnsi="宋体" w:cs="宋体"/>
                <w:color w:val="auto"/>
              </w:rPr>
              <w:t>%</w:t>
            </w:r>
          </w:p>
          <w:p>
            <w:pPr>
              <w:autoSpaceDE w:val="0"/>
              <w:autoSpaceDN w:val="0"/>
              <w:snapToGrid w:val="0"/>
              <w:spacing w:line="340" w:lineRule="exact"/>
              <w:textAlignment w:val="bottom"/>
              <w:rPr>
                <w:rFonts w:ascii="宋体" w:hAnsi="宋体" w:cs="宋体"/>
                <w:color w:val="auto"/>
              </w:rPr>
            </w:pPr>
            <w:r>
              <w:rPr>
                <w:rFonts w:hint="eastAsia" w:ascii="宋体" w:hAnsi="宋体" w:cs="宋体"/>
                <w:color w:val="auto"/>
              </w:rPr>
              <w:t>履约保证金递交方式：银行转账。</w:t>
            </w:r>
          </w:p>
          <w:p>
            <w:pPr>
              <w:snapToGrid w:val="0"/>
              <w:spacing w:line="340" w:lineRule="exact"/>
              <w:rPr>
                <w:rFonts w:ascii="宋体" w:hAnsi="宋体" w:cs="宋体"/>
                <w:color w:val="auto"/>
                <w:kern w:val="0"/>
              </w:rPr>
            </w:pPr>
            <w:r>
              <w:rPr>
                <w:rFonts w:hint="eastAsia" w:ascii="宋体" w:hAnsi="宋体" w:cs="宋体"/>
                <w:color w:val="auto"/>
              </w:rPr>
              <w:t>备注：成交供应商在签订合同之前，足额提交履约保证金。未提交履约保证金的，不予签订合同。履约保证金自项目验收合格后，待成交供应商履行完质保义务后无息退还。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napToGrid w:val="0"/>
              <w:spacing w:line="340" w:lineRule="exact"/>
              <w:jc w:val="center"/>
              <w:rPr>
                <w:rFonts w:ascii="宋体" w:hAnsi="宋体" w:cs="宋体"/>
                <w:color w:val="auto"/>
              </w:rPr>
            </w:pPr>
            <w:r>
              <w:rPr>
                <w:rFonts w:hint="eastAsia" w:ascii="宋体" w:hAnsi="宋体" w:cs="宋体"/>
                <w:color w:val="auto"/>
              </w:rPr>
              <w:t>报价要求</w:t>
            </w:r>
          </w:p>
        </w:tc>
        <w:tc>
          <w:tcPr>
            <w:tcW w:w="3601" w:type="pct"/>
            <w:gridSpan w:val="4"/>
            <w:shd w:val="clear" w:color="auto" w:fill="FFFFFF"/>
            <w:noWrap/>
            <w:vAlign w:val="center"/>
          </w:tcPr>
          <w:p>
            <w:pPr>
              <w:snapToGrid w:val="0"/>
              <w:spacing w:line="340" w:lineRule="exact"/>
              <w:outlineLvl w:val="0"/>
              <w:rPr>
                <w:rFonts w:ascii="宋体" w:hAnsi="宋体" w:cs="宋体"/>
                <w:color w:val="auto"/>
              </w:rPr>
            </w:pPr>
            <w:bookmarkStart w:id="60" w:name="_Toc2209"/>
            <w:bookmarkStart w:id="61" w:name="_Toc6522"/>
            <w:r>
              <w:rPr>
                <w:rFonts w:hint="eastAsia" w:ascii="宋体" w:hAnsi="宋体" w:cs="宋体"/>
                <w:color w:val="auto"/>
              </w:rPr>
              <w:t>本项目实行总承包报价；包括货物及服务采购、标准附件、备品备件、专用工具、运输、保管、安装、调试、检测、培训等各种费用和售后服务、税金及其它所有成本费用的总和，采购人可要求对成交供应商提供的货物进行抽检并送市级以上药品检测部门检测，检测所涉及的费用由成交供应商承担，报价中应包含检测费用，合同实施时，采购人不再支付任何项目费用，响应文件应标明品种单价。</w:t>
            </w:r>
            <w:bookmarkEnd w:id="60"/>
            <w:bookmarkEnd w:id="6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napToGrid w:val="0"/>
              <w:spacing w:line="340" w:lineRule="exact"/>
              <w:jc w:val="center"/>
              <w:rPr>
                <w:rFonts w:ascii="宋体" w:hAnsi="宋体" w:cs="宋体"/>
                <w:color w:val="auto"/>
              </w:rPr>
            </w:pPr>
            <w:r>
              <w:rPr>
                <w:rFonts w:hint="eastAsia" w:ascii="宋体" w:hAnsi="宋体" w:cs="宋体"/>
                <w:color w:val="auto"/>
              </w:rPr>
              <w:t>其它要求</w:t>
            </w:r>
          </w:p>
        </w:tc>
        <w:tc>
          <w:tcPr>
            <w:tcW w:w="3601" w:type="pct"/>
            <w:gridSpan w:val="4"/>
            <w:shd w:val="clear" w:color="auto" w:fill="FFFFFF"/>
            <w:noWrap/>
            <w:vAlign w:val="center"/>
          </w:tcPr>
          <w:p>
            <w:pPr>
              <w:snapToGrid w:val="0"/>
              <w:spacing w:line="340" w:lineRule="exact"/>
              <w:outlineLvl w:val="0"/>
              <w:rPr>
                <w:rFonts w:ascii="宋体" w:hAnsi="宋体" w:cs="宋体"/>
                <w:color w:val="auto"/>
              </w:rPr>
            </w:pPr>
            <w:bookmarkStart w:id="62" w:name="_Toc4912"/>
            <w:bookmarkStart w:id="63" w:name="_Toc22607"/>
            <w:r>
              <w:rPr>
                <w:rFonts w:hint="eastAsia" w:ascii="宋体" w:hAnsi="宋体" w:cs="宋体"/>
                <w:color w:val="auto"/>
              </w:rPr>
              <w:t>1、成交供应商在供货时须提供货物正规来源的证明材料，确保货物的质量符合药典和国家、行业相关质量标准，确保交易合法及用药安全有效。</w:t>
            </w:r>
            <w:bookmarkEnd w:id="62"/>
            <w:bookmarkEnd w:id="63"/>
          </w:p>
          <w:p>
            <w:pPr>
              <w:snapToGrid w:val="0"/>
              <w:spacing w:line="340" w:lineRule="exact"/>
              <w:outlineLvl w:val="0"/>
              <w:rPr>
                <w:rFonts w:ascii="宋体" w:hAnsi="宋体" w:cs="宋体"/>
                <w:color w:val="auto"/>
              </w:rPr>
            </w:pPr>
            <w:bookmarkStart w:id="64" w:name="_Toc29322"/>
            <w:bookmarkStart w:id="65" w:name="_Toc3145"/>
            <w:r>
              <w:rPr>
                <w:rFonts w:hint="eastAsia" w:ascii="宋体" w:hAnsi="宋体" w:cs="宋体"/>
                <w:color w:val="auto"/>
              </w:rPr>
              <w:t>2、成交供应商在保证药品质量、执行国家物价的前提下，协助采购人实现全院零库存管理，按约定的药品品种、剂型、规格、数量、价格、供货方式等供货，保证临床用药不断档。</w:t>
            </w:r>
            <w:bookmarkEnd w:id="64"/>
            <w:bookmarkEnd w:id="65"/>
          </w:p>
          <w:p>
            <w:pPr>
              <w:snapToGrid w:val="0"/>
              <w:spacing w:line="340" w:lineRule="exact"/>
              <w:outlineLvl w:val="0"/>
              <w:rPr>
                <w:rFonts w:ascii="宋体" w:hAnsi="宋体" w:cs="宋体"/>
                <w:color w:val="auto"/>
              </w:rPr>
            </w:pPr>
            <w:bookmarkStart w:id="66" w:name="_Toc15998"/>
            <w:bookmarkStart w:id="67" w:name="_Toc27000"/>
            <w:r>
              <w:rPr>
                <w:rFonts w:hint="eastAsia" w:ascii="宋体" w:hAnsi="宋体" w:cs="宋体"/>
                <w:color w:val="auto"/>
              </w:rPr>
              <w:t>3、成交供应商应遵守有关的国家法律、法令和条例，对特许生产和经营的小包装中药饮片符合国家相关法律、法规要求。</w:t>
            </w:r>
            <w:bookmarkEnd w:id="66"/>
            <w:bookmarkEnd w:id="67"/>
          </w:p>
          <w:p>
            <w:pPr>
              <w:snapToGrid w:val="0"/>
              <w:spacing w:line="340" w:lineRule="exact"/>
              <w:rPr>
                <w:rFonts w:ascii="宋体" w:hAnsi="宋体" w:cs="宋体"/>
                <w:color w:val="auto"/>
              </w:rPr>
            </w:pPr>
            <w:r>
              <w:rPr>
                <w:rFonts w:hint="eastAsia" w:ascii="宋体" w:hAnsi="宋体" w:cs="宋体"/>
                <w:color w:val="auto"/>
              </w:rPr>
              <w:t>4、生产或经营的小包装中药饮片规格和色标应符合《国家中医药管理局办公室关于印发小包装中药饮片规格和色标的通知》(国中医药办医政发[2011]18号)的要求。</w:t>
            </w:r>
          </w:p>
          <w:p>
            <w:pPr>
              <w:snapToGrid w:val="0"/>
              <w:spacing w:line="340" w:lineRule="exact"/>
              <w:rPr>
                <w:rFonts w:ascii="宋体" w:hAnsi="宋体" w:cs="宋体"/>
                <w:b/>
                <w:bCs/>
                <w:color w:val="auto"/>
              </w:rPr>
            </w:pPr>
            <w:r>
              <w:rPr>
                <w:rFonts w:hint="eastAsia" w:ascii="宋体" w:hAnsi="宋体" w:cs="宋体"/>
                <w:b/>
                <w:bCs/>
                <w:color w:val="auto"/>
              </w:rPr>
              <w:t>5、供应商具备药品存储条件及配送条件，并投入至少2名配送人员提供配送服务（响应文件中提供竞标人2023年4月至2023年9月期间连续三个月为其缴纳社保的证明材料，未经采购人允许，配送人员不得随意变更），并投入至少1辆配送车辆。</w:t>
            </w:r>
          </w:p>
          <w:p>
            <w:pPr>
              <w:snapToGrid w:val="0"/>
              <w:spacing w:line="340" w:lineRule="exact"/>
              <w:rPr>
                <w:rFonts w:ascii="宋体" w:hAnsi="宋体" w:cs="宋体"/>
                <w:b/>
                <w:bCs/>
                <w:color w:val="auto"/>
                <w:spacing w:val="-4"/>
              </w:rPr>
            </w:pPr>
            <w:r>
              <w:rPr>
                <w:rFonts w:hint="eastAsia" w:ascii="宋体" w:hAnsi="宋体" w:cs="宋体"/>
                <w:b/>
                <w:bCs/>
                <w:color w:val="auto"/>
              </w:rPr>
              <w:t>6、在响应文件中提供质量控制方案及服务承诺</w:t>
            </w:r>
            <w:r>
              <w:rPr>
                <w:rFonts w:hint="eastAsia" w:ascii="宋体" w:hAnsi="宋体" w:cs="宋体"/>
                <w:b/>
                <w:bCs/>
                <w:color w:val="auto"/>
                <w:spacing w:val="-4"/>
              </w:rPr>
              <w:t>。</w:t>
            </w:r>
          </w:p>
          <w:p>
            <w:pPr>
              <w:snapToGrid w:val="0"/>
              <w:spacing w:line="340" w:lineRule="exact"/>
              <w:rPr>
                <w:rFonts w:ascii="宋体" w:hAnsi="宋体" w:cs="宋体"/>
                <w:color w:val="auto"/>
              </w:rPr>
            </w:pPr>
            <w:r>
              <w:rPr>
                <w:rFonts w:hint="eastAsia" w:ascii="宋体" w:hAnsi="宋体" w:cs="宋体"/>
                <w:color w:val="auto"/>
              </w:rPr>
              <w:t>7、成交后成交供应商必需遵守的规定：</w:t>
            </w:r>
          </w:p>
          <w:p>
            <w:pPr>
              <w:spacing w:line="340" w:lineRule="exact"/>
              <w:jc w:val="left"/>
              <w:rPr>
                <w:rFonts w:ascii="宋体" w:hAnsi="宋体" w:cs="宋体"/>
                <w:bCs/>
                <w:color w:val="auto"/>
                <w:spacing w:val="-4"/>
              </w:rPr>
            </w:pPr>
            <w:r>
              <w:rPr>
                <w:rFonts w:hint="eastAsia" w:ascii="宋体" w:hAnsi="宋体" w:cs="宋体"/>
                <w:bCs/>
                <w:color w:val="auto"/>
                <w:spacing w:val="-4"/>
              </w:rPr>
              <w:t>（1）企业成交品种一旦确定，不得无故不予配送，不配送及退货累计三次以上视为合同违约，采购人有权解除合同并要求成交供应商赔偿由此造成的所有损失。</w:t>
            </w:r>
          </w:p>
          <w:p>
            <w:pPr>
              <w:spacing w:line="340" w:lineRule="exact"/>
              <w:jc w:val="left"/>
              <w:rPr>
                <w:rFonts w:ascii="宋体" w:hAnsi="宋体" w:cs="宋体"/>
                <w:bCs/>
                <w:color w:val="auto"/>
                <w:spacing w:val="-4"/>
              </w:rPr>
            </w:pPr>
            <w:r>
              <w:rPr>
                <w:rFonts w:hint="eastAsia" w:ascii="宋体" w:hAnsi="宋体" w:cs="宋体"/>
                <w:bCs/>
                <w:color w:val="auto"/>
                <w:spacing w:val="-4"/>
              </w:rPr>
              <w:t>（2）成交供应商在指定的时间（36小时内，最迟不超过72小时内)和地点交付产地、质量、包装、有效期等均符合条件的药品，且产品外包装标签上必须标示有品名、规格、产地、等级、生产企业、产品批号、生产日期并附质量合格标志。逾期视为一次不配送，药品出库单须与药品同行并附上成品检验报告单，否则不予验收。</w:t>
            </w:r>
          </w:p>
          <w:p>
            <w:pPr>
              <w:spacing w:line="340" w:lineRule="exact"/>
              <w:jc w:val="left"/>
              <w:rPr>
                <w:rFonts w:ascii="宋体" w:hAnsi="宋体" w:cs="宋体"/>
                <w:bCs/>
                <w:color w:val="auto"/>
                <w:spacing w:val="-4"/>
              </w:rPr>
            </w:pPr>
            <w:r>
              <w:rPr>
                <w:rFonts w:hint="eastAsia" w:ascii="宋体" w:hAnsi="宋体" w:cs="宋体"/>
                <w:bCs/>
                <w:color w:val="auto"/>
                <w:spacing w:val="-4"/>
              </w:rPr>
              <w:t>（3）被药监部门抽检定为假、劣药的须无条件给予退换，并承担相关的法律责任，由此产生的相关费用由成交供应商自行负责。</w:t>
            </w:r>
          </w:p>
          <w:p>
            <w:pPr>
              <w:snapToGrid w:val="0"/>
              <w:spacing w:line="340" w:lineRule="exact"/>
              <w:rPr>
                <w:rFonts w:ascii="宋体" w:hAnsi="宋体" w:cs="宋体"/>
                <w:bCs/>
                <w:color w:val="auto"/>
                <w:spacing w:val="-4"/>
              </w:rPr>
            </w:pPr>
            <w:r>
              <w:rPr>
                <w:rFonts w:hint="eastAsia" w:ascii="宋体" w:hAnsi="宋体" w:cs="宋体"/>
                <w:bCs/>
                <w:color w:val="auto"/>
                <w:spacing w:val="-4"/>
              </w:rPr>
              <w:t>（4）成交饮片原则上在合同期内不得更改供应价格，如因市场出现大幅波动，导致单品种市场价格高于成交价格20%以上的，成交供应商可减少该品种供应数量。</w:t>
            </w:r>
          </w:p>
          <w:p>
            <w:pPr>
              <w:snapToGrid w:val="0"/>
              <w:spacing w:line="340" w:lineRule="exact"/>
              <w:rPr>
                <w:rFonts w:ascii="宋体" w:hAnsi="宋体" w:cs="宋体"/>
                <w:bCs/>
                <w:color w:val="auto"/>
                <w:spacing w:val="-4"/>
              </w:rPr>
            </w:pPr>
            <w:r>
              <w:rPr>
                <w:rFonts w:hint="eastAsia" w:ascii="宋体" w:hAnsi="宋体" w:cs="宋体"/>
                <w:bCs/>
                <w:color w:val="auto"/>
                <w:spacing w:val="-4"/>
              </w:rPr>
              <w:t>8、</w:t>
            </w:r>
            <w:r>
              <w:rPr>
                <w:rFonts w:hint="eastAsia" w:ascii="宋体" w:hAnsi="宋体" w:cs="宋体"/>
                <w:b/>
                <w:bCs/>
                <w:color w:val="auto"/>
                <w:spacing w:val="-4"/>
              </w:rPr>
              <w:t>供应商须在响应文件中提供对特许生产和经营的中药饮片须符合国家相关文件要求的承诺书原件，否则无效响应处理</w:t>
            </w:r>
            <w:r>
              <w:rPr>
                <w:rFonts w:hint="eastAsia" w:ascii="宋体" w:hAnsi="宋体" w:cs="宋体"/>
                <w:bCs/>
                <w:color w:val="auto"/>
                <w:spacing w:val="-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5000" w:type="pct"/>
            <w:gridSpan w:val="6"/>
            <w:shd w:val="clear" w:color="auto" w:fill="FFFFFF"/>
            <w:noWrap/>
            <w:vAlign w:val="center"/>
          </w:tcPr>
          <w:p>
            <w:pPr>
              <w:rPr>
                <w:rFonts w:ascii="宋体" w:hAnsi="宋体" w:cs="宋体"/>
                <w:color w:val="auto"/>
                <w:sz w:val="22"/>
                <w:szCs w:val="22"/>
              </w:rPr>
            </w:pPr>
            <w:r>
              <w:rPr>
                <w:rFonts w:hint="eastAsia" w:ascii="宋体" w:hAnsi="宋体" w:cs="宋体"/>
                <w:b/>
                <w:color w:val="auto"/>
              </w:rPr>
              <w:t>三、采购人对项目的特殊要求及说明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pacing w:line="340" w:lineRule="exact"/>
              <w:jc w:val="center"/>
              <w:rPr>
                <w:rFonts w:ascii="宋体" w:hAnsi="宋体" w:cs="宋体"/>
                <w:color w:val="auto"/>
              </w:rPr>
            </w:pPr>
            <w:r>
              <w:rPr>
                <w:rFonts w:hint="eastAsia" w:ascii="宋体" w:hAnsi="宋体" w:cs="宋体"/>
                <w:b/>
                <w:color w:val="auto"/>
              </w:rPr>
              <w:t>采购人的特殊要求及说明</w:t>
            </w:r>
          </w:p>
        </w:tc>
        <w:tc>
          <w:tcPr>
            <w:tcW w:w="3601" w:type="pct"/>
            <w:gridSpan w:val="4"/>
            <w:shd w:val="clear" w:color="auto" w:fill="FFFFFF"/>
            <w:noWrap/>
            <w:vAlign w:val="center"/>
          </w:tcPr>
          <w:p>
            <w:pPr>
              <w:spacing w:line="340" w:lineRule="exact"/>
              <w:rPr>
                <w:rFonts w:ascii="宋体" w:hAnsi="宋体" w:cs="宋体"/>
                <w:color w:val="auto"/>
              </w:rPr>
            </w:pPr>
            <w:r>
              <w:rPr>
                <w:rFonts w:hint="eastAsia" w:ascii="宋体" w:hAnsi="宋体" w:cs="宋体"/>
                <w:color w:val="auto"/>
              </w:rPr>
              <w:t>本项目不接受进口产品（即通过中国海关报关验放进入中国境内且产自关境外的产品）参与投标，如有此类产品参与投标的按无效投标处理。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pacing w:line="340" w:lineRule="exact"/>
              <w:jc w:val="center"/>
              <w:rPr>
                <w:rFonts w:ascii="宋体" w:hAnsi="宋体" w:cs="宋体"/>
                <w:color w:val="auto"/>
              </w:rPr>
            </w:pPr>
            <w:r>
              <w:rPr>
                <w:rFonts w:hint="eastAsia" w:ascii="宋体" w:hAnsi="宋体" w:cs="宋体"/>
                <w:b/>
                <w:color w:val="auto"/>
              </w:rPr>
              <w:t>规范标准</w:t>
            </w:r>
          </w:p>
        </w:tc>
        <w:tc>
          <w:tcPr>
            <w:tcW w:w="3601" w:type="pct"/>
            <w:gridSpan w:val="4"/>
            <w:shd w:val="clear" w:color="auto" w:fill="FFFFFF"/>
            <w:noWrap/>
            <w:vAlign w:val="center"/>
          </w:tcPr>
          <w:p>
            <w:pPr>
              <w:spacing w:line="340" w:lineRule="exact"/>
              <w:rPr>
                <w:rFonts w:ascii="宋体" w:hAnsi="宋体" w:cs="宋体"/>
                <w:color w:val="auto"/>
              </w:rPr>
            </w:pPr>
            <w:r>
              <w:rPr>
                <w:rFonts w:hint="eastAsia" w:ascii="宋体" w:hAnsi="宋体" w:cs="宋体"/>
                <w:color w:val="auto"/>
              </w:rPr>
              <w:t>执行现行的强制执行的国家、行业、地方标准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pacing w:line="340" w:lineRule="exact"/>
              <w:jc w:val="center"/>
              <w:rPr>
                <w:rFonts w:ascii="宋体" w:hAnsi="宋体" w:cs="宋体"/>
                <w:color w:val="auto"/>
              </w:rPr>
            </w:pPr>
            <w:r>
              <w:rPr>
                <w:rFonts w:hint="eastAsia" w:ascii="宋体" w:hAnsi="宋体" w:cs="宋体"/>
                <w:b/>
                <w:color w:val="auto"/>
              </w:rPr>
              <w:t>验收标准、验收方法及方案</w:t>
            </w:r>
          </w:p>
        </w:tc>
        <w:tc>
          <w:tcPr>
            <w:tcW w:w="3601" w:type="pct"/>
            <w:gridSpan w:val="4"/>
            <w:shd w:val="clear" w:color="auto" w:fill="FFFFFF"/>
            <w:noWrap/>
            <w:vAlign w:val="center"/>
          </w:tcPr>
          <w:p>
            <w:pPr>
              <w:spacing w:line="340" w:lineRule="exact"/>
              <w:rPr>
                <w:rFonts w:ascii="宋体" w:hAnsi="宋体" w:cs="宋体"/>
                <w:color w:val="auto"/>
              </w:rPr>
            </w:pPr>
            <w:r>
              <w:rPr>
                <w:rFonts w:hint="eastAsia" w:ascii="宋体" w:hAnsi="宋体" w:cs="宋体"/>
                <w:color w:val="auto"/>
              </w:rPr>
              <w:t>1.采购人对成交供应商提交的货物依据采购文件上的技术规格要求和国家有关质量标准进行现场签收，外观、说明书符合采购文件技术要求的，给予签收，不合格的不予签收。</w:t>
            </w:r>
          </w:p>
          <w:p>
            <w:pPr>
              <w:spacing w:line="340" w:lineRule="exact"/>
              <w:rPr>
                <w:rFonts w:ascii="宋体" w:hAnsi="宋体" w:cs="宋体"/>
                <w:color w:val="auto"/>
              </w:rPr>
            </w:pPr>
            <w:r>
              <w:rPr>
                <w:rFonts w:hint="eastAsia" w:ascii="宋体" w:hAnsi="宋体" w:cs="宋体"/>
                <w:color w:val="auto"/>
              </w:rPr>
              <w:t>2.成交供应商交货前应对产品作出全面检查和对验收文件进行整理，并列出清单，作为采购人收货验收和使用的技术条件依据，检验的结果应随货物交采购人。成交供应商不能完整交付货物及本款规定的单证和工具的，必须负责补齐，否则视为未按合同约定交货。</w:t>
            </w:r>
          </w:p>
          <w:p>
            <w:pPr>
              <w:spacing w:line="340" w:lineRule="exact"/>
              <w:rPr>
                <w:rFonts w:ascii="宋体" w:hAnsi="宋体" w:cs="宋体"/>
                <w:color w:val="auto"/>
              </w:rPr>
            </w:pPr>
            <w:r>
              <w:rPr>
                <w:rFonts w:hint="eastAsia" w:ascii="宋体" w:hAnsi="宋体" w:cs="宋体"/>
                <w:color w:val="auto"/>
              </w:rPr>
              <w:t>3. 采购人组织验收，成交供应商必须到场配合，验收合格后双方签署验收合格凭证。</w:t>
            </w:r>
            <w:r>
              <w:rPr>
                <w:color w:val="auto"/>
              </w:rPr>
              <w:t>如确认需要进行药品质量检验，</w:t>
            </w:r>
            <w:r>
              <w:rPr>
                <w:rFonts w:hint="eastAsia"/>
                <w:color w:val="auto"/>
              </w:rPr>
              <w:t>采购人</w:t>
            </w:r>
            <w:r>
              <w:rPr>
                <w:color w:val="auto"/>
              </w:rPr>
              <w:t>应及时以书面形式把质量检验的具体要求通知</w:t>
            </w:r>
            <w:r>
              <w:rPr>
                <w:rFonts w:hint="eastAsia"/>
                <w:color w:val="auto"/>
              </w:rPr>
              <w:t>成交供应商</w:t>
            </w:r>
            <w:r>
              <w:rPr>
                <w:color w:val="auto"/>
              </w:rPr>
              <w:t>。如发现</w:t>
            </w:r>
            <w:r>
              <w:rPr>
                <w:rFonts w:hint="eastAsia"/>
                <w:color w:val="auto"/>
              </w:rPr>
              <w:t>饮片</w:t>
            </w:r>
            <w:r>
              <w:rPr>
                <w:color w:val="auto"/>
              </w:rPr>
              <w:t>存在质量问题，</w:t>
            </w:r>
            <w:r>
              <w:rPr>
                <w:rFonts w:hint="eastAsia"/>
                <w:color w:val="auto"/>
              </w:rPr>
              <w:t>采购人</w:t>
            </w:r>
            <w:r>
              <w:rPr>
                <w:color w:val="auto"/>
              </w:rPr>
              <w:t>可暂时封存，并通知</w:t>
            </w:r>
            <w:r>
              <w:rPr>
                <w:rFonts w:hint="eastAsia"/>
                <w:color w:val="auto"/>
              </w:rPr>
              <w:t>成交供应商</w:t>
            </w:r>
            <w:r>
              <w:rPr>
                <w:color w:val="auto"/>
              </w:rPr>
              <w:t>采取有效的补救措施。</w:t>
            </w:r>
          </w:p>
          <w:p>
            <w:pPr>
              <w:spacing w:line="340" w:lineRule="exact"/>
              <w:rPr>
                <w:rFonts w:ascii="宋体" w:hAnsi="宋体" w:cs="宋体"/>
                <w:color w:val="auto"/>
              </w:rPr>
            </w:pPr>
            <w:r>
              <w:rPr>
                <w:rFonts w:hint="eastAsia" w:ascii="宋体" w:hAnsi="宋体" w:cs="宋体"/>
                <w:color w:val="auto"/>
              </w:rPr>
              <w:t>4.其他未尽事宜应严格按照《关于印发广西壮族自治区政府采购项目履约验收管理办法的通知》[桂财采〔2015〕22号]以及《财政部关于进一步加强政府采购需求和履约验收管理的指导意见》[财库〔2016〕205号]规定执行。</w:t>
            </w:r>
          </w:p>
          <w:p>
            <w:pPr>
              <w:spacing w:line="340" w:lineRule="exact"/>
              <w:rPr>
                <w:rFonts w:ascii="宋体" w:hAnsi="宋体" w:cs="宋体"/>
                <w:color w:val="auto"/>
              </w:rPr>
            </w:pPr>
            <w:r>
              <w:rPr>
                <w:rFonts w:hint="eastAsia" w:ascii="宋体" w:hAnsi="宋体" w:cs="宋体"/>
                <w:color w:val="auto"/>
              </w:rPr>
              <w:t>5.验收产生的费用成交供应商负责。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98" w:type="pct"/>
            <w:gridSpan w:val="2"/>
            <w:shd w:val="clear" w:color="auto" w:fill="FFFFFF"/>
            <w:noWrap/>
            <w:vAlign w:val="center"/>
          </w:tcPr>
          <w:p>
            <w:pPr>
              <w:spacing w:line="340" w:lineRule="exact"/>
              <w:jc w:val="center"/>
              <w:rPr>
                <w:rFonts w:ascii="宋体" w:hAnsi="宋体" w:cs="宋体"/>
                <w:b/>
                <w:color w:val="auto"/>
              </w:rPr>
            </w:pPr>
            <w:r>
              <w:rPr>
                <w:rFonts w:hint="eastAsia" w:ascii="宋体" w:hAnsi="宋体" w:cs="宋体"/>
                <w:b/>
                <w:color w:val="auto"/>
              </w:rPr>
              <w:t>其他技术及服务要求</w:t>
            </w:r>
          </w:p>
        </w:tc>
        <w:tc>
          <w:tcPr>
            <w:tcW w:w="3601" w:type="pct"/>
            <w:gridSpan w:val="4"/>
            <w:shd w:val="clear" w:color="auto" w:fill="FFFFFF"/>
            <w:noWrap/>
            <w:vAlign w:val="center"/>
          </w:tcPr>
          <w:p>
            <w:pPr>
              <w:spacing w:line="340" w:lineRule="exact"/>
              <w:rPr>
                <w:rFonts w:ascii="宋体" w:hAnsi="宋体" w:cs="宋体"/>
                <w:color w:val="auto"/>
              </w:rPr>
            </w:pPr>
            <w:r>
              <w:rPr>
                <w:rFonts w:hint="eastAsia" w:ascii="宋体" w:hAnsi="宋体" w:cs="宋体"/>
                <w:color w:val="auto"/>
              </w:rPr>
              <w:t>无</w:t>
            </w:r>
          </w:p>
        </w:tc>
      </w:tr>
    </w:tbl>
    <w:p>
      <w:pPr>
        <w:rPr>
          <w:color w:val="auto"/>
        </w:rPr>
      </w:pPr>
    </w:p>
    <w:p>
      <w:pPr>
        <w:rPr>
          <w:rFonts w:ascii="宋体" w:hAnsi="宋体"/>
          <w:color w:val="auto"/>
        </w:rPr>
      </w:pPr>
    </w:p>
    <w:p>
      <w:pPr>
        <w:rPr>
          <w:rFonts w:ascii="宋体" w:hAnsi="宋体"/>
          <w:b/>
          <w:bCs/>
          <w:color w:val="auto"/>
          <w:sz w:val="32"/>
          <w:szCs w:val="32"/>
        </w:rPr>
        <w:sectPr>
          <w:footerReference r:id="rId7" w:type="first"/>
          <w:footerReference r:id="rId6" w:type="default"/>
          <w:pgSz w:w="11906" w:h="16838"/>
          <w:pgMar w:top="1247" w:right="1247" w:bottom="1247" w:left="1247" w:header="851" w:footer="992" w:gutter="0"/>
          <w:pgNumType w:start="1"/>
          <w:cols w:space="720" w:num="1"/>
          <w:titlePg/>
          <w:docGrid w:type="lines" w:linePitch="312" w:charSpace="0"/>
        </w:sectPr>
      </w:pPr>
    </w:p>
    <w:p>
      <w:pPr>
        <w:adjustRightInd w:val="0"/>
        <w:snapToGrid w:val="0"/>
        <w:rPr>
          <w:rFonts w:ascii="宋体" w:hAnsi="宋体" w:cs="宋体"/>
          <w:b/>
          <w:color w:val="auto"/>
        </w:rPr>
      </w:pPr>
    </w:p>
    <w:p>
      <w:pPr>
        <w:jc w:val="left"/>
        <w:rPr>
          <w:rFonts w:ascii="Arial Unicode MS" w:hAnsi="Arial Unicode MS" w:eastAsia="Arial Unicode MS" w:cs="Arial Unicode MS"/>
          <w:color w:val="auto"/>
          <w:kern w:val="0"/>
          <w:sz w:val="32"/>
          <w:szCs w:val="32"/>
        </w:rPr>
      </w:pPr>
      <w:r>
        <w:rPr>
          <w:rFonts w:hint="eastAsia" w:ascii="微软雅黑" w:hAnsi="微软雅黑" w:eastAsia="微软雅黑" w:cs="微软雅黑"/>
          <w:color w:val="auto"/>
          <w:kern w:val="0"/>
          <w:sz w:val="32"/>
          <w:szCs w:val="32"/>
        </w:rPr>
        <w:t>附件</w:t>
      </w:r>
      <w:r>
        <w:rPr>
          <w:rFonts w:hint="eastAsia" w:ascii="Arial Unicode MS" w:hAnsi="Arial Unicode MS" w:eastAsia="微软雅黑" w:cs="Arial Unicode MS"/>
          <w:color w:val="auto"/>
          <w:kern w:val="0"/>
          <w:sz w:val="32"/>
          <w:szCs w:val="32"/>
        </w:rPr>
        <w:t>1</w:t>
      </w:r>
      <w:r>
        <w:rPr>
          <w:rFonts w:hint="eastAsia" w:ascii="微软雅黑" w:hAnsi="微软雅黑" w:eastAsia="微软雅黑" w:cs="微软雅黑"/>
          <w:color w:val="auto"/>
          <w:kern w:val="0"/>
          <w:sz w:val="32"/>
          <w:szCs w:val="32"/>
        </w:rPr>
        <w:t>：</w:t>
      </w:r>
    </w:p>
    <w:p>
      <w:pPr>
        <w:spacing w:line="528" w:lineRule="exact"/>
        <w:jc w:val="center"/>
        <w:rPr>
          <w:rFonts w:ascii="Arial Unicode MS" w:hAnsi="Arial Unicode MS" w:eastAsia="Arial Unicode MS" w:cs="Arial Unicode MS"/>
          <w:color w:val="auto"/>
          <w:sz w:val="40"/>
          <w:szCs w:val="40"/>
        </w:rPr>
      </w:pPr>
      <w:r>
        <w:rPr>
          <w:rFonts w:hint="eastAsia" w:ascii="微软雅黑" w:hAnsi="微软雅黑" w:eastAsia="微软雅黑" w:cs="微软雅黑"/>
          <w:color w:val="auto"/>
          <w:sz w:val="40"/>
          <w:szCs w:val="40"/>
        </w:rPr>
        <w:t>中小微企业划型标准</w:t>
      </w:r>
    </w:p>
    <w:tbl>
      <w:tblPr>
        <w:tblStyle w:val="41"/>
        <w:tblW w:w="9500" w:type="dxa"/>
        <w:tblInd w:w="250" w:type="dxa"/>
        <w:tblLayout w:type="fixed"/>
        <w:tblCellMar>
          <w:top w:w="0" w:type="dxa"/>
          <w:left w:w="108" w:type="dxa"/>
          <w:bottom w:w="0" w:type="dxa"/>
          <w:right w:w="108" w:type="dxa"/>
        </w:tblCellMar>
      </w:tblPr>
      <w:tblGrid>
        <w:gridCol w:w="1985"/>
        <w:gridCol w:w="1985"/>
        <w:gridCol w:w="851"/>
        <w:gridCol w:w="1843"/>
        <w:gridCol w:w="1702"/>
        <w:gridCol w:w="1134"/>
      </w:tblGrid>
      <w:tr>
        <w:tblPrEx>
          <w:tblCellMar>
            <w:top w:w="0" w:type="dxa"/>
            <w:left w:w="108" w:type="dxa"/>
            <w:bottom w:w="0" w:type="dxa"/>
            <w:right w:w="108" w:type="dxa"/>
          </w:tblCellMar>
        </w:tblPrEx>
        <w:trPr>
          <w:trHeight w:val="285" w:hRule="atLeast"/>
        </w:trPr>
        <w:tc>
          <w:tcPr>
            <w:tcW w:w="19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color w:val="auto"/>
                <w:kern w:val="0"/>
                <w:sz w:val="24"/>
              </w:rPr>
            </w:pPr>
            <w:r>
              <w:rPr>
                <w:rFonts w:hint="eastAsia" w:ascii="仿宋_GB2312" w:hAnsi="仿宋" w:eastAsia="仿宋_GB2312" w:cs="宋体"/>
                <w:b/>
                <w:color w:val="auto"/>
                <w:kern w:val="0"/>
                <w:sz w:val="24"/>
              </w:rPr>
              <w:t>行业名称</w:t>
            </w:r>
          </w:p>
        </w:tc>
        <w:tc>
          <w:tcPr>
            <w:tcW w:w="1984"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rPr>
            </w:pPr>
            <w:r>
              <w:rPr>
                <w:rFonts w:hint="eastAsia" w:ascii="仿宋_GB2312" w:hAnsi="仿宋" w:eastAsia="仿宋_GB2312" w:cs="宋体"/>
                <w:b/>
                <w:color w:val="auto"/>
                <w:kern w:val="0"/>
                <w:sz w:val="24"/>
              </w:rPr>
              <w:t>指标名称</w:t>
            </w:r>
          </w:p>
        </w:tc>
        <w:tc>
          <w:tcPr>
            <w:tcW w:w="851"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rPr>
            </w:pPr>
            <w:r>
              <w:rPr>
                <w:rFonts w:hint="eastAsia" w:ascii="仿宋_GB2312" w:hAnsi="仿宋" w:eastAsia="仿宋_GB2312" w:cs="宋体"/>
                <w:b/>
                <w:color w:val="auto"/>
                <w:kern w:val="0"/>
                <w:sz w:val="24"/>
              </w:rPr>
              <w:t>计量单位</w:t>
            </w:r>
          </w:p>
        </w:tc>
        <w:tc>
          <w:tcPr>
            <w:tcW w:w="1842"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rPr>
            </w:pPr>
            <w:r>
              <w:rPr>
                <w:rFonts w:hint="eastAsia" w:ascii="仿宋_GB2312" w:hAnsi="仿宋" w:eastAsia="仿宋_GB2312" w:cs="宋体"/>
                <w:b/>
                <w:color w:val="auto"/>
                <w:kern w:val="0"/>
                <w:sz w:val="24"/>
              </w:rPr>
              <w:t>中型</w:t>
            </w:r>
          </w:p>
        </w:tc>
        <w:tc>
          <w:tcPr>
            <w:tcW w:w="1701"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rPr>
            </w:pPr>
            <w:r>
              <w:rPr>
                <w:rFonts w:hint="eastAsia" w:ascii="仿宋_GB2312" w:hAnsi="仿宋" w:eastAsia="仿宋_GB2312" w:cs="宋体"/>
                <w:b/>
                <w:color w:val="auto"/>
                <w:kern w:val="0"/>
                <w:sz w:val="24"/>
              </w:rPr>
              <w:t>小型</w:t>
            </w:r>
          </w:p>
        </w:tc>
        <w:tc>
          <w:tcPr>
            <w:tcW w:w="1134" w:type="dxa"/>
            <w:tcBorders>
              <w:top w:val="single" w:color="auto" w:sz="4" w:space="0"/>
              <w:left w:val="nil"/>
              <w:bottom w:val="single" w:color="auto" w:sz="4" w:space="0"/>
              <w:right w:val="single" w:color="auto" w:sz="4" w:space="0"/>
            </w:tcBorders>
            <w:vAlign w:val="center"/>
          </w:tcPr>
          <w:p>
            <w:pPr>
              <w:widowControl/>
              <w:jc w:val="left"/>
              <w:rPr>
                <w:rFonts w:ascii="仿宋_GB2312" w:hAnsi="仿宋" w:eastAsia="仿宋_GB2312" w:cs="宋体"/>
                <w:b/>
                <w:color w:val="auto"/>
                <w:kern w:val="0"/>
                <w:sz w:val="24"/>
              </w:rPr>
            </w:pPr>
            <w:r>
              <w:rPr>
                <w:rFonts w:hint="eastAsia" w:ascii="仿宋_GB2312" w:hAnsi="仿宋" w:eastAsia="仿宋_GB2312" w:cs="宋体"/>
                <w:b/>
                <w:color w:val="auto"/>
                <w:kern w:val="0"/>
                <w:sz w:val="24"/>
              </w:rPr>
              <w:t>微型</w:t>
            </w:r>
          </w:p>
        </w:tc>
      </w:tr>
      <w:tr>
        <w:tblPrEx>
          <w:tblCellMar>
            <w:top w:w="0" w:type="dxa"/>
            <w:left w:w="108" w:type="dxa"/>
            <w:bottom w:w="0" w:type="dxa"/>
            <w:right w:w="108" w:type="dxa"/>
          </w:tblCellMar>
        </w:tblPrEx>
        <w:trPr>
          <w:trHeight w:val="225" w:hRule="atLeast"/>
        </w:trPr>
        <w:tc>
          <w:tcPr>
            <w:tcW w:w="1985" w:type="dxa"/>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农、林、牧、渔</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500≤Y＜20000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50≤Y＜500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Y＜50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工业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300≤X＜1000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20≤X＜300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X＜20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2000≤Y＜40000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300≤Y＜2000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Y＜300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建筑业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6000≤Y＜80000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300≤Y＜6000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Y＜300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资产总额（Z）</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5000≤Z＜80000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300≤Z＜5000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Z＜300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批发业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20≤X＜200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5≤X＜20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X＜5</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5000≤Y＜40000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1000≤Y＜5000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零售业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50≤X＜300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10≤X＜50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500≤Y＜20000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100≤Y＜500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交通运输业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300≤X＜1000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20≤X＜300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X＜20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3000≤Y＜30000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200≤Y＜3000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Y＜200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仓储业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100≤X＜200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20≤X＜100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X＜20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1000≤Y＜30000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100≤Y＜1000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邮政业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300≤X＜1000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20≤X＜300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X＜20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2000≤Y＜30000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100≤Y＜2000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住宿业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100≤X＜300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10≤X＜100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2000≤Y＜10000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100≤Y＜2000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餐饮业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100≤X＜300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10≤X＜100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2000≤Y＜10000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100≤Y＜2000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信息传输业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100≤X＜2000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10≤X＜100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1000≤Y＜100000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100≤Y＜1000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软件和信息技术服务业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100≤X＜300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10≤X＜100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1000≤Y＜10000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50≤Y＜1000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Y＜50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房地产开发经营</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1000≤Y＜200000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100≤X＜1000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资产总额（Z）</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5000≤Z＜10000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2000≤Y＜5000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Y＜2000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物业管理</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300≤X＜1000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100≤X＜300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营业收入（Y）</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1000≤Y＜5000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500≤Y＜1000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Y＜500</w:t>
            </w:r>
          </w:p>
        </w:tc>
      </w:tr>
      <w:tr>
        <w:tblPrEx>
          <w:tblCellMar>
            <w:top w:w="0" w:type="dxa"/>
            <w:left w:w="108" w:type="dxa"/>
            <w:bottom w:w="0" w:type="dxa"/>
            <w:right w:w="108" w:type="dxa"/>
          </w:tblCellMar>
        </w:tblPrEx>
        <w:trPr>
          <w:trHeight w:val="225" w:hRule="atLeast"/>
        </w:trPr>
        <w:tc>
          <w:tcPr>
            <w:tcW w:w="1985" w:type="dxa"/>
            <w:vMerge w:val="restart"/>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租赁和商务服务业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100≤X＜300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10≤X＜100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w:t>
            </w:r>
          </w:p>
        </w:tc>
      </w:tr>
      <w:tr>
        <w:tblPrEx>
          <w:tblCellMar>
            <w:top w:w="0" w:type="dxa"/>
            <w:left w:w="108" w:type="dxa"/>
            <w:bottom w:w="0" w:type="dxa"/>
            <w:right w:w="108" w:type="dxa"/>
          </w:tblCellMar>
        </w:tblPrEx>
        <w:trPr>
          <w:trHeight w:val="225" w:hRule="atLeast"/>
        </w:trPr>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仿宋" w:eastAsia="仿宋_GB2312" w:cs="宋体"/>
                <w:b/>
                <w:bCs/>
                <w:color w:val="auto"/>
                <w:kern w:val="0"/>
                <w:sz w:val="18"/>
                <w:szCs w:val="18"/>
              </w:rPr>
            </w:pP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资产总额（Z）</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万元</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8000≤Z＜120000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100≤Z＜8000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Y＜100</w:t>
            </w:r>
          </w:p>
        </w:tc>
      </w:tr>
      <w:tr>
        <w:tblPrEx>
          <w:tblCellMar>
            <w:top w:w="0" w:type="dxa"/>
            <w:left w:w="108" w:type="dxa"/>
            <w:bottom w:w="0" w:type="dxa"/>
            <w:right w:w="108" w:type="dxa"/>
          </w:tblCellMar>
        </w:tblPrEx>
        <w:trPr>
          <w:trHeight w:val="225" w:hRule="atLeast"/>
        </w:trPr>
        <w:tc>
          <w:tcPr>
            <w:tcW w:w="1985" w:type="dxa"/>
            <w:tcBorders>
              <w:top w:val="nil"/>
              <w:left w:val="single" w:color="auto" w:sz="4" w:space="0"/>
              <w:bottom w:val="single" w:color="auto" w:sz="4" w:space="0"/>
              <w:right w:val="single" w:color="auto" w:sz="4" w:space="0"/>
            </w:tcBorders>
            <w:vAlign w:val="bottom"/>
          </w:tcPr>
          <w:p>
            <w:pPr>
              <w:widowControl/>
              <w:jc w:val="center"/>
              <w:rPr>
                <w:rFonts w:ascii="仿宋_GB2312" w:hAnsi="仿宋" w:eastAsia="仿宋_GB2312" w:cs="宋体"/>
                <w:b/>
                <w:bCs/>
                <w:color w:val="auto"/>
                <w:kern w:val="0"/>
                <w:sz w:val="18"/>
                <w:szCs w:val="18"/>
              </w:rPr>
            </w:pPr>
            <w:r>
              <w:rPr>
                <w:rFonts w:hint="eastAsia" w:ascii="仿宋_GB2312" w:hAnsi="仿宋" w:eastAsia="仿宋_GB2312" w:cs="宋体"/>
                <w:b/>
                <w:bCs/>
                <w:color w:val="auto"/>
                <w:kern w:val="0"/>
                <w:sz w:val="18"/>
                <w:szCs w:val="18"/>
              </w:rPr>
              <w:t>其他未列明行业</w:t>
            </w:r>
          </w:p>
        </w:tc>
        <w:tc>
          <w:tcPr>
            <w:tcW w:w="198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从业人员（X）</w:t>
            </w:r>
          </w:p>
        </w:tc>
        <w:tc>
          <w:tcPr>
            <w:tcW w:w="85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人</w:t>
            </w:r>
          </w:p>
        </w:tc>
        <w:tc>
          <w:tcPr>
            <w:tcW w:w="1842"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100≤X＜300</w:t>
            </w:r>
          </w:p>
        </w:tc>
        <w:tc>
          <w:tcPr>
            <w:tcW w:w="1701"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10≤X＜100</w:t>
            </w:r>
          </w:p>
        </w:tc>
        <w:tc>
          <w:tcPr>
            <w:tcW w:w="1134"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rPr>
            </w:pPr>
            <w:r>
              <w:rPr>
                <w:rFonts w:hint="eastAsia" w:ascii="仿宋_GB2312" w:hAnsi="仿宋" w:eastAsia="仿宋_GB2312" w:cs="宋体"/>
                <w:color w:val="auto"/>
                <w:kern w:val="0"/>
                <w:sz w:val="18"/>
                <w:szCs w:val="18"/>
              </w:rPr>
              <w:t>X＜10</w:t>
            </w:r>
          </w:p>
        </w:tc>
      </w:tr>
    </w:tbl>
    <w:p>
      <w:pPr>
        <w:spacing w:line="560" w:lineRule="exact"/>
        <w:ind w:firstLine="525" w:firstLineChars="250"/>
        <w:rPr>
          <w:rFonts w:ascii="仿宋_GB2312" w:hAnsi="仿宋" w:eastAsia="仿宋_GB2312"/>
          <w:color w:val="auto"/>
        </w:rPr>
      </w:pPr>
      <w:r>
        <w:rPr>
          <w:rFonts w:hint="eastAsia" w:ascii="仿宋_GB2312" w:hAnsi="仿宋" w:eastAsia="仿宋_GB2312"/>
          <w:color w:val="auto"/>
        </w:rPr>
        <w:t>说明：上述标准参照《关于印发中小企业划型标准规定的通知》（工信部联企业[2011]300号），大型、中型和小型企业须同时满足所列指标的下限，否则下划一档；微型企业只须满足所列指标中的一项即可。</w:t>
      </w:r>
    </w:p>
    <w:p>
      <w:pPr>
        <w:rPr>
          <w:rFonts w:ascii="宋体" w:hAnsi="宋体" w:cs="宋体"/>
          <w:b/>
          <w:color w:val="auto"/>
          <w:kern w:val="0"/>
          <w:lang w:val="zh-CN"/>
        </w:rPr>
      </w:pPr>
    </w:p>
    <w:p>
      <w:pPr>
        <w:pStyle w:val="2"/>
        <w:rPr>
          <w:rFonts w:ascii="宋体" w:hAnsi="宋体"/>
          <w:color w:val="auto"/>
        </w:rPr>
      </w:pPr>
      <w:r>
        <w:rPr>
          <w:rFonts w:hint="eastAsia" w:ascii="宋体" w:hAnsi="宋体" w:cs="宋体"/>
          <w:b/>
          <w:bCs/>
          <w:color w:val="auto"/>
          <w:kern w:val="0"/>
          <w:lang w:val="zh-CN"/>
        </w:rPr>
        <w:br w:type="page"/>
      </w:r>
    </w:p>
    <w:p>
      <w:pPr>
        <w:pStyle w:val="5"/>
        <w:jc w:val="center"/>
        <w:rPr>
          <w:color w:val="auto"/>
        </w:rPr>
      </w:pPr>
      <w:bookmarkStart w:id="68" w:name="_Toc74322608"/>
      <w:bookmarkStart w:id="69" w:name="_Toc22498"/>
      <w:bookmarkStart w:id="70" w:name="_Toc5738"/>
      <w:r>
        <w:rPr>
          <w:rFonts w:hint="eastAsia"/>
          <w:color w:val="auto"/>
        </w:rPr>
        <w:t>第四章  评审程序、评审方法和评审标准</w:t>
      </w:r>
      <w:bookmarkEnd w:id="68"/>
      <w:bookmarkEnd w:id="69"/>
      <w:bookmarkEnd w:id="70"/>
    </w:p>
    <w:p>
      <w:pPr>
        <w:spacing w:line="360" w:lineRule="auto"/>
        <w:jc w:val="center"/>
        <w:rPr>
          <w:rFonts w:ascii="宋体" w:hAnsi="宋体"/>
          <w:b/>
          <w:color w:val="auto"/>
          <w:sz w:val="32"/>
          <w:szCs w:val="32"/>
        </w:rPr>
      </w:pPr>
      <w:r>
        <w:rPr>
          <w:rFonts w:hint="eastAsia" w:ascii="宋体" w:hAnsi="宋体"/>
          <w:b/>
          <w:color w:val="auto"/>
          <w:sz w:val="32"/>
          <w:szCs w:val="32"/>
        </w:rPr>
        <w:t>一、评审程序和评审方法</w:t>
      </w:r>
    </w:p>
    <w:p>
      <w:pPr>
        <w:spacing w:line="360" w:lineRule="auto"/>
        <w:ind w:firstLine="482" w:firstLineChars="200"/>
        <w:rPr>
          <w:rFonts w:ascii="黑体" w:hAnsi="黑体" w:eastAsia="黑体" w:cs="宋体"/>
          <w:b/>
          <w:bCs/>
          <w:color w:val="auto"/>
          <w:sz w:val="24"/>
        </w:rPr>
      </w:pPr>
      <w:r>
        <w:rPr>
          <w:rFonts w:ascii="黑体" w:hAnsi="黑体" w:eastAsia="黑体" w:cs="宋体"/>
          <w:b/>
          <w:bCs/>
          <w:color w:val="auto"/>
          <w:sz w:val="24"/>
        </w:rPr>
        <w:t>1</w:t>
      </w:r>
      <w:r>
        <w:rPr>
          <w:rFonts w:hint="eastAsia" w:ascii="黑体" w:hAnsi="黑体" w:eastAsia="黑体" w:cs="宋体"/>
          <w:b/>
          <w:bCs/>
          <w:color w:val="auto"/>
          <w:sz w:val="24"/>
        </w:rPr>
        <w:t>.资格审查</w:t>
      </w:r>
    </w:p>
    <w:p>
      <w:pPr>
        <w:snapToGrid w:val="0"/>
        <w:spacing w:line="360" w:lineRule="auto"/>
        <w:ind w:firstLine="420" w:firstLineChars="200"/>
        <w:rPr>
          <w:rFonts w:ascii="宋体" w:hAnsi="宋体"/>
          <w:color w:val="auto"/>
        </w:rPr>
      </w:pPr>
      <w:r>
        <w:rPr>
          <w:rFonts w:ascii="宋体" w:hAnsi="宋体" w:cs="宋体"/>
          <w:color w:val="auto"/>
        </w:rPr>
        <w:t>1</w:t>
      </w:r>
      <w:r>
        <w:rPr>
          <w:rFonts w:hint="eastAsia" w:ascii="宋体" w:hAnsi="宋体" w:cs="宋体"/>
          <w:color w:val="auto"/>
        </w:rPr>
        <w:t>.1</w:t>
      </w:r>
      <w:r>
        <w:rPr>
          <w:rFonts w:hint="eastAsia" w:ascii="宋体" w:hAnsi="宋体"/>
          <w:color w:val="auto"/>
        </w:rPr>
        <w:t>响应文件开启后，磋商小组依法对供应商的资格证明文件进行审查。</w:t>
      </w:r>
    </w:p>
    <w:p>
      <w:pPr>
        <w:snapToGrid w:val="0"/>
        <w:spacing w:line="360" w:lineRule="auto"/>
        <w:ind w:firstLine="420" w:firstLineChars="200"/>
        <w:rPr>
          <w:rFonts w:ascii="宋体" w:hAnsi="宋体" w:cs="宋体"/>
          <w:color w:val="auto"/>
        </w:rPr>
      </w:pPr>
      <w:r>
        <w:rPr>
          <w:rFonts w:hint="eastAsia" w:ascii="宋体" w:hAnsi="宋体" w:cs="宋体"/>
          <w:color w:val="auto"/>
        </w:rPr>
        <w:t>注：</w:t>
      </w:r>
      <w:r>
        <w:rPr>
          <w:rFonts w:hint="eastAsia"/>
          <w:color w:val="auto"/>
        </w:rPr>
        <w:t>磋商小组</w:t>
      </w:r>
      <w:r>
        <w:rPr>
          <w:rFonts w:hint="eastAsia" w:ascii="宋体" w:hAnsi="宋体" w:cs="宋体"/>
          <w:color w:val="auto"/>
        </w:rPr>
        <w:t>在资格审查结束前，对供应商进行信用查询。</w:t>
      </w:r>
    </w:p>
    <w:p>
      <w:pPr>
        <w:snapToGrid w:val="0"/>
        <w:spacing w:line="360" w:lineRule="auto"/>
        <w:ind w:firstLine="420" w:firstLineChars="200"/>
        <w:rPr>
          <w:rFonts w:ascii="宋体" w:hAnsi="宋体" w:cs="宋体"/>
          <w:color w:val="auto"/>
        </w:rPr>
      </w:pPr>
      <w:r>
        <w:rPr>
          <w:rFonts w:hint="eastAsia" w:ascii="宋体" w:hAnsi="宋体" w:cs="宋体"/>
          <w:color w:val="auto"/>
        </w:rPr>
        <w:t>（1）查询渠道：“信用中国”网站(www.creditchina.gov.cn)、中国政府采购网(www.ccgp.gov.cn)。</w:t>
      </w:r>
    </w:p>
    <w:p>
      <w:pPr>
        <w:snapToGrid w:val="0"/>
        <w:spacing w:line="360" w:lineRule="auto"/>
        <w:ind w:firstLine="420" w:firstLineChars="200"/>
        <w:rPr>
          <w:rFonts w:ascii="宋体" w:hAnsi="宋体" w:cs="宋体"/>
          <w:color w:val="auto"/>
        </w:rPr>
      </w:pPr>
      <w:r>
        <w:rPr>
          <w:rFonts w:hint="eastAsia" w:ascii="宋体" w:hAnsi="宋体" w:cs="宋体"/>
          <w:color w:val="auto"/>
        </w:rPr>
        <w:t>（2）信用查询截止时点：资格审查结束前。</w:t>
      </w:r>
    </w:p>
    <w:p>
      <w:pPr>
        <w:snapToGrid w:val="0"/>
        <w:spacing w:line="360" w:lineRule="auto"/>
        <w:ind w:firstLine="420" w:firstLineChars="200"/>
        <w:rPr>
          <w:rFonts w:ascii="宋体" w:hAnsi="宋体" w:cs="宋体"/>
          <w:color w:val="auto"/>
        </w:rPr>
      </w:pPr>
      <w:r>
        <w:rPr>
          <w:rFonts w:hint="eastAsia" w:ascii="宋体" w:hAnsi="宋体" w:cs="宋体"/>
          <w:color w:val="auto"/>
        </w:rPr>
        <w:t>（3）查询记录和证据留存方式：在查询网站中直接查询，截图打印作为评审资料保存。</w:t>
      </w:r>
    </w:p>
    <w:p>
      <w:pPr>
        <w:snapToGrid w:val="0"/>
        <w:spacing w:line="360" w:lineRule="auto"/>
        <w:ind w:firstLine="420" w:firstLineChars="200"/>
        <w:rPr>
          <w:rFonts w:ascii="宋体" w:hAnsi="宋体" w:cs="宋体"/>
          <w:color w:val="auto"/>
        </w:rPr>
      </w:pPr>
      <w:r>
        <w:rPr>
          <w:rFonts w:hint="eastAsia" w:ascii="宋体" w:hAnsi="宋体" w:cs="宋体"/>
          <w:color w:val="auto"/>
        </w:rPr>
        <w:t>（4）信用信息使用规则：对在“信用中国”网站（www.creditchina.gov.cn） 、中国政府采购网（www.ccgp.gov.cn）被列入失信被执行人、重大税收违法案件当事人名单、政府采购严重违法失信行为记录名单及其他不符合《中华人民共和国政府采购法》第二十二条规定条件的供应商，资格审查不通过，不得参与政府采购活动。</w:t>
      </w:r>
      <w:r>
        <w:rPr>
          <w:rFonts w:hint="eastAsia" w:ascii="宋体" w:hAnsi="宋体"/>
          <w:color w:val="auto"/>
        </w:rPr>
        <w:t>两个以上的自然人、法人或者其他组织组成一个联合体，以一个供应商的身份共同参加政府采购活动的，应当对所有联合体成员进行信用记录查询，联合体成员存在不良信用记录（被列入失信被执行人、重大税收违法案件当事人名单、政府采购严重违法失信行为记录名单及其他不符合《中华人民共和国政府采购法》第二十二条规定条件的供应商）的，视同联合体存在不良信用记录</w:t>
      </w:r>
      <w:r>
        <w:rPr>
          <w:rFonts w:hint="eastAsia" w:ascii="宋体" w:hAnsi="宋体" w:cs="宋体"/>
          <w:color w:val="auto"/>
        </w:rPr>
        <w:t>。</w:t>
      </w:r>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.2资格审查标准为本磋商文件中载明对供应商资格要求的条件。资格审查采用合格制，凡符合磋商文件规定的供应商资格要求的响应文件均通过资格审查。</w:t>
      </w:r>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.3供应商有下列情形之一的，资格审查不通过，其响应文件按无效响应处理：</w:t>
      </w:r>
    </w:p>
    <w:p>
      <w:pPr>
        <w:snapToGrid w:val="0"/>
        <w:spacing w:line="360" w:lineRule="auto"/>
        <w:ind w:firstLine="420" w:firstLineChars="200"/>
        <w:rPr>
          <w:rFonts w:ascii="宋体" w:hAns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）不具备磋商文件中规定的资格要求的；</w:t>
      </w:r>
    </w:p>
    <w:p>
      <w:pPr>
        <w:spacing w:line="360" w:lineRule="auto"/>
        <w:ind w:firstLine="420" w:firstLineChars="200"/>
        <w:rPr>
          <w:rFonts w:ascii="宋体" w:hAnsi="宋体" w:cs="宋体"/>
          <w:color w:val="auto"/>
        </w:rPr>
      </w:pPr>
      <w:r>
        <w:rPr>
          <w:rFonts w:hint="eastAsia" w:ascii="宋体" w:hAnsi="宋体" w:cs="宋体"/>
          <w:color w:val="auto"/>
        </w:rPr>
        <w:t>（2）未按磋商文件规定的方式获取本磋商文件的供应商；</w:t>
      </w:r>
    </w:p>
    <w:p>
      <w:pPr>
        <w:spacing w:line="360" w:lineRule="auto"/>
        <w:ind w:firstLine="420" w:firstLineChars="200"/>
        <w:rPr>
          <w:rFonts w:ascii="宋体" w:hAnsi="宋体" w:cs="宋体"/>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）响应文件的资格证明文件缺少任一项“供应商须知前附表”资格证明文件规定的“必须提供”的文件资料的；</w:t>
      </w:r>
    </w:p>
    <w:p>
      <w:pPr>
        <w:spacing w:line="360" w:lineRule="auto"/>
        <w:ind w:firstLine="420" w:firstLineChars="200"/>
        <w:rPr>
          <w:rFonts w:ascii="宋体" w:hAnsi="宋体" w:cs="宋体"/>
          <w:color w:val="auto"/>
        </w:rPr>
      </w:pPr>
      <w:r>
        <w:rPr>
          <w:rFonts w:hint="eastAsia" w:ascii="宋体" w:hAnsi="宋体" w:cs="宋体"/>
          <w:color w:val="auto"/>
        </w:rPr>
        <w:t>（</w:t>
      </w:r>
      <w:r>
        <w:rPr>
          <w:rFonts w:ascii="宋体" w:hAnsi="宋体" w:cs="宋体"/>
          <w:color w:val="auto"/>
        </w:rPr>
        <w:t>4</w:t>
      </w:r>
      <w:r>
        <w:rPr>
          <w:rFonts w:hint="eastAsia" w:ascii="宋体" w:hAnsi="宋体" w:cs="宋体"/>
          <w:color w:val="auto"/>
        </w:rPr>
        <w:t>）响应文件中的资格证明文件出现任一项不符合“供应商须知前附表”资格证明文件规定的“必须提供”的文件资料要求或者无效的；</w:t>
      </w:r>
    </w:p>
    <w:p>
      <w:pPr>
        <w:spacing w:line="360" w:lineRule="auto"/>
        <w:ind w:firstLine="420" w:firstLineChars="200"/>
        <w:rPr>
          <w:rFonts w:ascii="宋体" w:hAnsi="宋体" w:cs="宋体"/>
          <w:color w:val="auto"/>
        </w:rPr>
      </w:pPr>
      <w:r>
        <w:rPr>
          <w:rFonts w:hint="eastAsia" w:ascii="宋体" w:hAnsi="宋体" w:cs="宋体"/>
          <w:color w:val="auto"/>
        </w:rPr>
        <w:t>（</w:t>
      </w:r>
      <w:r>
        <w:rPr>
          <w:rFonts w:ascii="宋体" w:hAnsi="宋体" w:cs="宋体"/>
          <w:color w:val="auto"/>
        </w:rPr>
        <w:t>5</w:t>
      </w:r>
      <w:r>
        <w:rPr>
          <w:rFonts w:hint="eastAsia" w:ascii="宋体" w:hAnsi="宋体" w:cs="宋体"/>
          <w:color w:val="auto"/>
        </w:rPr>
        <w:t>）同一合同项下的不同供应商，单位负责人为同一人或者存在直接控股、管理关系的；为本项目提供过整体设计、规范编制或者项目管理、监理、检测等服务的供应商，再参加该采购项目的其他采购活动的。</w:t>
      </w:r>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.4通过资格审查的合格供应商不足3家的，不得进入符合性审查环节，</w:t>
      </w:r>
      <w:r>
        <w:rPr>
          <w:rFonts w:hint="eastAsia" w:ascii="宋体" w:hAnsi="宋体"/>
          <w:color w:val="auto"/>
        </w:rPr>
        <w:t>采购人或者采购代理机构应当重新开展采购活动。</w:t>
      </w:r>
    </w:p>
    <w:p>
      <w:pPr>
        <w:spacing w:line="360" w:lineRule="auto"/>
        <w:ind w:firstLine="482" w:firstLineChars="200"/>
        <w:rPr>
          <w:rFonts w:ascii="黑体" w:hAnsi="黑体" w:eastAsia="黑体" w:cs="宋体"/>
          <w:b/>
          <w:bCs/>
          <w:color w:val="auto"/>
          <w:sz w:val="24"/>
        </w:rPr>
      </w:pPr>
      <w:r>
        <w:rPr>
          <w:rFonts w:ascii="黑体" w:hAnsi="黑体" w:eastAsia="黑体" w:cs="宋体"/>
          <w:b/>
          <w:bCs/>
          <w:color w:val="auto"/>
          <w:sz w:val="24"/>
        </w:rPr>
        <w:t>2</w:t>
      </w:r>
      <w:r>
        <w:rPr>
          <w:rFonts w:hint="eastAsia" w:ascii="黑体" w:hAnsi="黑体" w:eastAsia="黑体" w:cs="宋体"/>
          <w:b/>
          <w:bCs/>
          <w:color w:val="auto"/>
          <w:sz w:val="24"/>
        </w:rPr>
        <w:t>.符合性审查</w:t>
      </w:r>
    </w:p>
    <w:p>
      <w:pPr>
        <w:spacing w:line="360" w:lineRule="auto"/>
        <w:ind w:firstLine="420" w:firstLineChars="200"/>
        <w:rPr>
          <w:rFonts w:ascii="宋体" w:hAnsi="宋体" w:cs="宋体"/>
          <w:color w:val="auto"/>
        </w:rPr>
      </w:pPr>
      <w:bookmarkStart w:id="71" w:name="_Hlk42528882"/>
      <w:r>
        <w:rPr>
          <w:rFonts w:ascii="宋体" w:hAnsi="宋体" w:cs="宋体"/>
          <w:color w:val="auto"/>
        </w:rPr>
        <w:t>2.1</w:t>
      </w:r>
      <w:r>
        <w:rPr>
          <w:rFonts w:hint="eastAsia" w:ascii="宋体" w:hAnsi="宋体" w:cs="宋体"/>
          <w:color w:val="auto"/>
        </w:rPr>
        <w:t>由磋商小组对</w:t>
      </w:r>
      <w:r>
        <w:rPr>
          <w:rFonts w:hint="eastAsia" w:ascii="宋体" w:hAnsi="宋体"/>
          <w:color w:val="auto"/>
        </w:rPr>
        <w:t>通过资格审查的合格供应商</w:t>
      </w:r>
      <w:r>
        <w:rPr>
          <w:rFonts w:hint="eastAsia" w:ascii="宋体" w:hAnsi="宋体" w:cs="宋体"/>
          <w:color w:val="auto"/>
        </w:rPr>
        <w:t>的响应文件的竞标报价、商务、技术等实质性要求进行符合性审查，以确定其是否满足磋商文件的实质性要求。</w:t>
      </w:r>
    </w:p>
    <w:bookmarkEnd w:id="71"/>
    <w:p>
      <w:pPr>
        <w:spacing w:line="360" w:lineRule="auto"/>
        <w:ind w:firstLine="420" w:firstLineChars="200"/>
        <w:rPr>
          <w:rFonts w:ascii="宋体" w:hAnsi="宋体" w:cs="宋体"/>
          <w:color w:val="auto"/>
        </w:rPr>
      </w:pPr>
      <w:r>
        <w:rPr>
          <w:rFonts w:ascii="宋体" w:hAnsi="宋体" w:cs="宋体"/>
          <w:color w:val="auto"/>
        </w:rPr>
        <w:t>2.2</w:t>
      </w:r>
      <w:r>
        <w:rPr>
          <w:rFonts w:hint="eastAsia" w:ascii="宋体" w:hAnsi="宋体" w:cs="宋体"/>
          <w:color w:val="auto"/>
        </w:rPr>
        <w:t>磋商小组在对响应文件进行符合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firstLine="420" w:firstLineChars="200"/>
        <w:rPr>
          <w:rFonts w:ascii="宋体" w:hAnsi="宋体" w:cs="宋体"/>
          <w:color w:val="auto"/>
          <w:spacing w:val="-6"/>
        </w:rPr>
      </w:pPr>
      <w:r>
        <w:rPr>
          <w:rFonts w:ascii="宋体" w:hAnsi="宋体" w:cs="宋体"/>
          <w:color w:val="auto"/>
        </w:rPr>
        <w:t>2</w:t>
      </w:r>
      <w:r>
        <w:rPr>
          <w:rFonts w:hint="eastAsia" w:ascii="宋体" w:hAnsi="宋体" w:cs="宋体"/>
          <w:color w:val="auto"/>
        </w:rPr>
        <w:t>.</w:t>
      </w:r>
      <w:r>
        <w:rPr>
          <w:rFonts w:ascii="宋体" w:hAnsi="宋体" w:cs="宋体"/>
          <w:color w:val="auto"/>
        </w:rPr>
        <w:t>3</w:t>
      </w:r>
      <w:r>
        <w:rPr>
          <w:rFonts w:hint="eastAsia" w:ascii="宋体" w:hAnsi="宋体" w:cs="宋体"/>
          <w:color w:val="auto"/>
        </w:rPr>
        <w:t>磋商小组要求供应商澄清、说明或者更正响应文件应当以</w:t>
      </w:r>
      <w:r>
        <w:rPr>
          <w:rFonts w:hint="eastAsia" w:ascii="宋体" w:hAnsi="宋体" w:cs="宋体"/>
          <w:color w:val="auto"/>
          <w:lang w:eastAsia="zh-CN"/>
        </w:rPr>
        <w:t>书面</w:t>
      </w:r>
      <w:r>
        <w:rPr>
          <w:rFonts w:hint="eastAsia" w:ascii="宋体" w:hAnsi="宋体" w:cs="宋体"/>
          <w:color w:val="auto"/>
        </w:rPr>
        <w:t>澄清函形式作出。供应商的澄清、说明或者更正应当以</w:t>
      </w:r>
      <w:r>
        <w:rPr>
          <w:rFonts w:hint="eastAsia" w:ascii="宋体" w:hAnsi="宋体" w:cs="宋体"/>
          <w:color w:val="auto"/>
          <w:lang w:eastAsia="zh-CN"/>
        </w:rPr>
        <w:t>书面</w:t>
      </w:r>
      <w:r>
        <w:rPr>
          <w:rFonts w:hint="eastAsia" w:ascii="宋体" w:hAnsi="宋体" w:cs="宋体"/>
          <w:color w:val="auto"/>
        </w:rPr>
        <w:t>回函形式按照磋商小组的要求作出明确的澄清、说明或者更正，未按磋商小组的要求作出明确澄清、说明或者更正的供应商的响应文件将按照有利于采购人的原则由磋商小组进行判定。供应商的澄清、说明或者更正必须由法定代表人或授权代理人签字</w:t>
      </w:r>
      <w:r>
        <w:rPr>
          <w:rFonts w:hint="eastAsia" w:ascii="宋体" w:hAnsi="宋体" w:cs="宋体"/>
          <w:color w:val="auto"/>
          <w:spacing w:val="-6"/>
        </w:rPr>
        <w:t>。</w:t>
      </w:r>
    </w:p>
    <w:p>
      <w:pPr>
        <w:spacing w:line="360" w:lineRule="auto"/>
        <w:ind w:firstLine="396" w:firstLineChars="200"/>
        <w:rPr>
          <w:rFonts w:ascii="宋体" w:hAnsi="宋体" w:cs="宋体"/>
          <w:color w:val="auto"/>
        </w:rPr>
      </w:pPr>
      <w:r>
        <w:rPr>
          <w:rFonts w:ascii="宋体" w:hAnsi="宋体" w:cs="宋体"/>
          <w:color w:val="auto"/>
          <w:spacing w:val="-6"/>
        </w:rPr>
        <w:t>2.4</w:t>
      </w:r>
      <w:r>
        <w:rPr>
          <w:rFonts w:hint="eastAsia" w:ascii="宋体" w:hAnsi="宋体" w:cs="宋体"/>
          <w:color w:val="auto"/>
        </w:rPr>
        <w:t xml:space="preserve">首次响应文件报价出现前后不一致的，按照下列规定修正： </w:t>
      </w:r>
    </w:p>
    <w:p>
      <w:pPr>
        <w:spacing w:line="360" w:lineRule="auto"/>
        <w:ind w:firstLine="420" w:firstLineChars="200"/>
        <w:rPr>
          <w:rFonts w:ascii="宋体" w:hAnsi="宋体" w:cs="宋体"/>
          <w:color w:val="auto"/>
        </w:rPr>
      </w:pPr>
      <w:r>
        <w:rPr>
          <w:rFonts w:hint="eastAsia" w:ascii="宋体" w:hAnsi="宋体" w:cs="宋体"/>
          <w:color w:val="auto"/>
        </w:rPr>
        <w:t>（1）响应文件中报价表内容与响应文件中相应内容不一致的，以报价表为准；</w:t>
      </w:r>
    </w:p>
    <w:p>
      <w:pPr>
        <w:spacing w:line="360" w:lineRule="auto"/>
        <w:ind w:firstLine="420" w:firstLineChars="200"/>
        <w:rPr>
          <w:rFonts w:ascii="宋体" w:hAnsi="宋体" w:cs="宋体"/>
          <w:color w:val="auto"/>
        </w:rPr>
      </w:pPr>
      <w:r>
        <w:rPr>
          <w:rFonts w:hint="eastAsia" w:ascii="宋体" w:hAnsi="宋体" w:cs="宋体"/>
          <w:color w:val="auto"/>
        </w:rPr>
        <w:t>（2）大写金额和小写金额不一致的，以大写金额为准；</w:t>
      </w:r>
    </w:p>
    <w:p>
      <w:pPr>
        <w:spacing w:line="360" w:lineRule="auto"/>
        <w:ind w:firstLine="420" w:firstLineChars="200"/>
        <w:rPr>
          <w:rFonts w:ascii="宋体" w:hAnsi="宋体" w:cs="宋体"/>
          <w:color w:val="auto"/>
        </w:rPr>
      </w:pPr>
      <w:r>
        <w:rPr>
          <w:rFonts w:hint="eastAsia" w:ascii="宋体" w:hAnsi="宋体" w:cs="宋体"/>
          <w:color w:val="auto"/>
        </w:rPr>
        <w:t>（3）单价金额小数点或者百分比有明显错位的，以报价表的总价为准，并修改单价；</w:t>
      </w:r>
    </w:p>
    <w:p>
      <w:pPr>
        <w:spacing w:line="360" w:lineRule="auto"/>
        <w:ind w:firstLine="420" w:firstLineChars="200"/>
        <w:rPr>
          <w:rFonts w:ascii="宋体" w:hAnsi="宋体" w:cs="宋体"/>
          <w:color w:val="auto"/>
        </w:rPr>
      </w:pPr>
      <w:r>
        <w:rPr>
          <w:rFonts w:hint="eastAsia" w:ascii="宋体" w:hAnsi="宋体" w:cs="宋体"/>
          <w:color w:val="auto"/>
        </w:rPr>
        <w:t>（4）总价金额与按单价汇总金额不一致的，以单价金额计算结果为准。</w:t>
      </w:r>
    </w:p>
    <w:p>
      <w:pPr>
        <w:spacing w:line="360" w:lineRule="auto"/>
        <w:ind w:firstLine="420" w:firstLineChars="200"/>
        <w:rPr>
          <w:rFonts w:ascii="宋体" w:hAnsi="宋体" w:cs="宋体"/>
          <w:color w:val="auto"/>
        </w:rPr>
      </w:pPr>
      <w:r>
        <w:rPr>
          <w:rFonts w:hint="eastAsia" w:ascii="宋体" w:hAnsi="宋体" w:cs="宋体"/>
          <w:color w:val="auto"/>
        </w:rPr>
        <w:t>同时出现两种以上不一致的，按照以上（1）-（4）规定的顺序逐条进行修正。修正后的报价经供应商确认后产生约束力，供应商不确认的，其响应文件按无效响应处理。</w:t>
      </w:r>
    </w:p>
    <w:p>
      <w:pPr>
        <w:spacing w:line="360" w:lineRule="auto"/>
        <w:ind w:firstLine="420" w:firstLineChars="200"/>
        <w:rPr>
          <w:rFonts w:ascii="宋体" w:hAnsi="宋体" w:cs="宋体"/>
          <w:color w:val="auto"/>
        </w:rPr>
      </w:pPr>
      <w:r>
        <w:rPr>
          <w:rFonts w:ascii="宋体" w:hAnsi="宋体" w:cs="宋体"/>
          <w:color w:val="auto"/>
        </w:rPr>
        <w:t>2</w:t>
      </w:r>
      <w:r>
        <w:rPr>
          <w:rFonts w:hint="eastAsia" w:ascii="宋体" w:hAnsi="宋体" w:cs="宋体"/>
          <w:color w:val="auto"/>
        </w:rPr>
        <w:t>.</w:t>
      </w:r>
      <w:r>
        <w:rPr>
          <w:rFonts w:ascii="宋体" w:hAnsi="宋体" w:cs="宋体"/>
          <w:color w:val="auto"/>
        </w:rPr>
        <w:t>5</w:t>
      </w:r>
      <w:r>
        <w:rPr>
          <w:rFonts w:hint="eastAsia" w:ascii="宋体" w:hAnsi="宋体" w:cs="宋体"/>
          <w:color w:val="auto"/>
        </w:rPr>
        <w:t>商务技术报价评审</w:t>
      </w:r>
    </w:p>
    <w:p>
      <w:pPr>
        <w:spacing w:line="360" w:lineRule="auto"/>
        <w:ind w:firstLine="420" w:firstLineChars="200"/>
        <w:rPr>
          <w:rFonts w:ascii="宋体" w:hAnsi="宋体" w:cs="宋体"/>
          <w:color w:val="auto"/>
        </w:rPr>
      </w:pPr>
      <w:r>
        <w:rPr>
          <w:rFonts w:hint="eastAsia" w:ascii="宋体" w:hAnsi="宋体" w:cs="宋体"/>
          <w:color w:val="auto"/>
        </w:rPr>
        <w:t>在评审时，如发现下列情形之一的，将被视为响应文件无效处理：</w:t>
      </w:r>
    </w:p>
    <w:p>
      <w:pPr>
        <w:spacing w:line="360" w:lineRule="auto"/>
        <w:ind w:firstLine="420" w:firstLineChars="200"/>
        <w:rPr>
          <w:rFonts w:ascii="宋体" w:hAnsi="宋体" w:cs="宋体"/>
          <w:color w:val="auto"/>
        </w:rPr>
      </w:pPr>
      <w:r>
        <w:rPr>
          <w:rFonts w:hint="eastAsia" w:ascii="宋体" w:hAnsi="宋体" w:cs="宋体"/>
          <w:color w:val="auto"/>
        </w:rPr>
        <w:t>（1）商务技术评审</w:t>
      </w:r>
    </w:p>
    <w:p>
      <w:pPr>
        <w:spacing w:line="360" w:lineRule="auto"/>
        <w:ind w:firstLine="420" w:firstLineChars="200"/>
        <w:rPr>
          <w:rFonts w:ascii="宋体" w:hAnsi="宋体" w:cs="宋体"/>
          <w:color w:val="auto"/>
        </w:rPr>
      </w:pPr>
      <w:r>
        <w:rPr>
          <w:rFonts w:hint="eastAsia" w:ascii="宋体" w:hAnsi="宋体" w:cs="宋体"/>
          <w:color w:val="auto"/>
        </w:rPr>
        <w:t>1）响应文件未按磋商文件要求签署、盖章；</w:t>
      </w:r>
    </w:p>
    <w:p>
      <w:pPr>
        <w:spacing w:line="360" w:lineRule="auto"/>
        <w:ind w:firstLine="420" w:firstLineChars="200"/>
        <w:rPr>
          <w:rFonts w:ascii="宋体" w:hAnsi="宋体" w:cs="宋体"/>
          <w:color w:val="auto"/>
        </w:rPr>
      </w:pPr>
      <w:r>
        <w:rPr>
          <w:rFonts w:hint="eastAsia" w:ascii="宋体" w:hAnsi="宋体" w:cs="宋体"/>
          <w:color w:val="auto"/>
        </w:rPr>
        <w:t xml:space="preserve">2）委托代理人未能出具有效身份证或者出具的身份证与授权委托书中的信息不符的； </w:t>
      </w:r>
    </w:p>
    <w:p>
      <w:pPr>
        <w:spacing w:line="360" w:lineRule="auto"/>
        <w:ind w:firstLine="420" w:firstLineChars="200"/>
        <w:rPr>
          <w:rFonts w:ascii="宋体" w:hAnsi="宋体" w:cs="宋体"/>
          <w:color w:val="auto"/>
        </w:rPr>
      </w:pPr>
      <w:r>
        <w:rPr>
          <w:rFonts w:hint="eastAsia" w:ascii="宋体" w:hAnsi="宋体" w:cs="宋体"/>
          <w:color w:val="auto"/>
        </w:rPr>
        <w:t>3）提交的磋商保证金无效的或者未按照磋商文件的规定提交磋商保证金；</w:t>
      </w:r>
    </w:p>
    <w:p>
      <w:pPr>
        <w:spacing w:line="360" w:lineRule="auto"/>
        <w:ind w:firstLine="420" w:firstLineChars="200"/>
        <w:rPr>
          <w:rFonts w:ascii="宋体" w:hAnsi="宋体" w:cs="宋体"/>
          <w:color w:val="auto"/>
        </w:rPr>
      </w:pPr>
      <w:r>
        <w:rPr>
          <w:rFonts w:hint="eastAsia" w:ascii="宋体" w:hAnsi="宋体" w:cs="宋体"/>
          <w:color w:val="auto"/>
        </w:rPr>
        <w:t>4）响应文件未提供任一项“供应商须知前附表”商务技术文件中 “必须提供”或者“委托时必须提供”的文件资料；响应文件提供的商务技术文件出现任一项不符合“供应商须知前附表”商务技术文件中 “必须提供”或者“委托时必须提供”文件资料要求的规定或者提供的商务技术文件无效。</w:t>
      </w:r>
    </w:p>
    <w:p>
      <w:pPr>
        <w:spacing w:line="360" w:lineRule="auto"/>
        <w:ind w:firstLine="420" w:firstLineChars="200"/>
        <w:rPr>
          <w:rFonts w:ascii="宋体" w:hAnsi="宋体" w:cs="宋体"/>
          <w:color w:val="auto"/>
        </w:rPr>
      </w:pPr>
      <w:r>
        <w:rPr>
          <w:rFonts w:hint="eastAsia" w:ascii="宋体" w:hAnsi="宋体" w:cs="宋体"/>
          <w:color w:val="auto"/>
        </w:rPr>
        <w:t>5）商务要求允许负偏离的条款数超过“供应商须知前附表”规定项数的；</w:t>
      </w:r>
    </w:p>
    <w:p>
      <w:pPr>
        <w:spacing w:line="360" w:lineRule="auto"/>
        <w:ind w:firstLine="420" w:firstLineChars="200"/>
        <w:rPr>
          <w:rFonts w:ascii="宋体" w:hAnsi="宋体" w:cs="宋体"/>
          <w:color w:val="auto"/>
        </w:rPr>
      </w:pPr>
      <w:r>
        <w:rPr>
          <w:rFonts w:hint="eastAsia" w:ascii="宋体" w:hAnsi="宋体" w:cs="宋体"/>
          <w:color w:val="auto"/>
        </w:rPr>
        <w:t>6）未对竞标有效期作出响应或者响应文件承诺的竞标有效期不满足磋商文件要求；</w:t>
      </w:r>
    </w:p>
    <w:p>
      <w:pPr>
        <w:spacing w:line="360" w:lineRule="auto"/>
        <w:ind w:firstLine="420" w:firstLineChars="200"/>
        <w:rPr>
          <w:rFonts w:ascii="宋体" w:hAnsi="宋体" w:cs="宋体"/>
          <w:color w:val="auto"/>
        </w:rPr>
      </w:pPr>
      <w:r>
        <w:rPr>
          <w:rFonts w:hint="eastAsia" w:ascii="宋体" w:hAnsi="宋体" w:cs="宋体"/>
          <w:color w:val="auto"/>
        </w:rPr>
        <w:t>7）响应文件的实质性内容未使用中文表述、使用计量单位不符合磋商文件要求；</w:t>
      </w:r>
    </w:p>
    <w:p>
      <w:pPr>
        <w:spacing w:line="360" w:lineRule="auto"/>
        <w:ind w:firstLine="420" w:firstLineChars="200"/>
        <w:rPr>
          <w:rFonts w:ascii="宋体" w:hAnsi="宋体" w:cs="宋体"/>
          <w:color w:val="auto"/>
        </w:rPr>
      </w:pPr>
      <w:r>
        <w:rPr>
          <w:rFonts w:hint="eastAsia" w:ascii="宋体" w:hAnsi="宋体" w:cs="宋体"/>
          <w:color w:val="auto"/>
        </w:rPr>
        <w:t>8）响应文件中的文件资料因填写不齐全或者内容虚假或者出现其他情形而导致被磋商小组认定无效；</w:t>
      </w:r>
    </w:p>
    <w:p>
      <w:pPr>
        <w:spacing w:line="360" w:lineRule="auto"/>
        <w:ind w:firstLine="420" w:firstLineChars="200"/>
        <w:rPr>
          <w:rFonts w:ascii="宋体" w:hAnsi="宋体" w:cs="宋体"/>
          <w:color w:val="auto"/>
        </w:rPr>
      </w:pPr>
      <w:r>
        <w:rPr>
          <w:rFonts w:hint="eastAsia" w:ascii="宋体" w:hAnsi="宋体" w:cs="宋体"/>
          <w:color w:val="auto"/>
        </w:rPr>
        <w:t>9）响应文件含有采购人不能接受的附加条件；</w:t>
      </w:r>
    </w:p>
    <w:p>
      <w:pPr>
        <w:spacing w:line="360" w:lineRule="auto"/>
        <w:ind w:firstLine="420" w:firstLineChars="200"/>
        <w:rPr>
          <w:rFonts w:ascii="宋体" w:hAnsi="宋体" w:cs="宋体"/>
          <w:color w:val="auto"/>
        </w:rPr>
      </w:pPr>
      <w:r>
        <w:rPr>
          <w:rFonts w:hint="eastAsia" w:ascii="宋体" w:hAnsi="宋体" w:cs="宋体"/>
          <w:color w:val="auto"/>
        </w:rPr>
        <w:t>10）属于“供应商须知正文”第7.</w:t>
      </w:r>
      <w:r>
        <w:rPr>
          <w:rFonts w:ascii="宋体" w:hAnsi="宋体" w:cs="宋体"/>
          <w:color w:val="auto"/>
        </w:rPr>
        <w:t>5</w:t>
      </w:r>
      <w:r>
        <w:rPr>
          <w:rFonts w:hint="eastAsia" w:ascii="宋体" w:hAnsi="宋体" w:cs="宋体"/>
          <w:color w:val="auto"/>
        </w:rPr>
        <w:t>条情形；</w:t>
      </w:r>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1）技术要求允许负偏离的条款数超过“供应商须知前附表”规定项数；</w:t>
      </w:r>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2）虚假竞标，或者出现其他情形而导致被磋商小组认定无效；</w:t>
      </w:r>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3）</w:t>
      </w:r>
      <w:bookmarkStart w:id="72" w:name="_Hlk71704147"/>
      <w:r>
        <w:rPr>
          <w:rFonts w:hint="eastAsia" w:ascii="宋体" w:hAnsi="宋体" w:cs="宋体"/>
          <w:color w:val="auto"/>
        </w:rPr>
        <w:t>磋商文件未载明允许提供备选（替代）竞标方案或明确不允许提供备选（替代）竞标方案时，供应商提供了备选（替代）竞标方案的；</w:t>
      </w:r>
      <w:bookmarkEnd w:id="72"/>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4）响应文件标注的项目名称或者项目编号与磋商文件标注的项目名称或者项目编号不一致的；</w:t>
      </w:r>
    </w:p>
    <w:p>
      <w:pPr>
        <w:spacing w:line="360" w:lineRule="auto"/>
        <w:ind w:firstLine="420" w:firstLineChars="200"/>
        <w:rPr>
          <w:rFonts w:ascii="宋体" w:hAnsi="宋体" w:cs="宋体"/>
          <w:color w:val="auto"/>
        </w:rPr>
      </w:pPr>
      <w:r>
        <w:rPr>
          <w:rFonts w:hint="eastAsia" w:ascii="宋体" w:hAnsi="宋体" w:cs="宋体"/>
          <w:color w:val="auto"/>
        </w:rPr>
        <w:t>15）</w:t>
      </w:r>
      <w:r>
        <w:rPr>
          <w:rFonts w:hint="eastAsia" w:ascii="宋体" w:hAnsi="宋体"/>
          <w:b/>
          <w:color w:val="auto"/>
        </w:rPr>
        <w:t>竞争性磋商文件明确不允许分包，响应文件拟分包的；</w:t>
      </w:r>
    </w:p>
    <w:p>
      <w:pPr>
        <w:spacing w:line="360" w:lineRule="auto"/>
        <w:ind w:firstLine="420" w:firstLineChars="200"/>
        <w:rPr>
          <w:rFonts w:ascii="宋体" w:hAnsi="宋体" w:cs="宋体"/>
          <w:color w:val="auto"/>
        </w:rPr>
      </w:pPr>
      <w:r>
        <w:rPr>
          <w:rFonts w:ascii="宋体" w:hAnsi="宋体" w:cs="宋体"/>
          <w:color w:val="auto"/>
        </w:rPr>
        <w:t>1</w:t>
      </w:r>
      <w:r>
        <w:rPr>
          <w:rFonts w:hint="eastAsia" w:ascii="宋体" w:hAnsi="宋体" w:cs="宋体"/>
          <w:color w:val="auto"/>
        </w:rPr>
        <w:t>6）未响应磋商文件实质性要求；</w:t>
      </w:r>
    </w:p>
    <w:p>
      <w:pPr>
        <w:spacing w:line="360" w:lineRule="auto"/>
        <w:ind w:firstLine="420" w:firstLineChars="200"/>
        <w:rPr>
          <w:rFonts w:ascii="宋体" w:hAnsi="宋体" w:cs="宋体"/>
          <w:color w:val="auto"/>
        </w:rPr>
      </w:pPr>
      <w:r>
        <w:rPr>
          <w:rFonts w:hint="eastAsia" w:ascii="宋体" w:hAnsi="宋体" w:cs="宋体"/>
          <w:color w:val="auto"/>
        </w:rPr>
        <w:t>17）法律、法规和磋商文件规定的其他无效情形。</w:t>
      </w:r>
    </w:p>
    <w:p>
      <w:pPr>
        <w:spacing w:line="360" w:lineRule="auto"/>
        <w:ind w:firstLine="420" w:firstLineChars="200"/>
        <w:rPr>
          <w:rFonts w:ascii="宋体" w:hAns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）报价评审</w:t>
      </w:r>
    </w:p>
    <w:p>
      <w:pPr>
        <w:spacing w:line="360" w:lineRule="auto"/>
        <w:ind w:firstLine="420" w:firstLineChars="200"/>
        <w:rPr>
          <w:rFonts w:ascii="宋体" w:hAnsi="宋体" w:cs="宋体"/>
          <w:color w:val="auto"/>
        </w:rPr>
      </w:pPr>
      <w:r>
        <w:rPr>
          <w:rFonts w:hint="eastAsia" w:ascii="宋体" w:hAnsi="宋体" w:cs="宋体"/>
          <w:color w:val="auto"/>
        </w:rPr>
        <w:t>1）响应文件未提供“供应商须知前附表” 报价文件中规定的“竞标报价表”；</w:t>
      </w:r>
    </w:p>
    <w:p>
      <w:pPr>
        <w:spacing w:line="360" w:lineRule="auto"/>
        <w:ind w:firstLine="420" w:firstLineChars="200"/>
        <w:rPr>
          <w:rFonts w:ascii="宋体" w:hAnsi="宋体" w:cs="宋体"/>
          <w:color w:val="auto"/>
        </w:rPr>
      </w:pPr>
      <w:r>
        <w:rPr>
          <w:rFonts w:hint="eastAsia" w:ascii="宋体" w:hAnsi="宋体" w:cs="宋体"/>
          <w:color w:val="auto"/>
        </w:rPr>
        <w:t>2）未采用人民币报价或者未按照磋商文件标明的币种报价；</w:t>
      </w:r>
    </w:p>
    <w:p>
      <w:pPr>
        <w:spacing w:line="360" w:lineRule="auto"/>
        <w:ind w:firstLine="420" w:firstLineChars="200"/>
        <w:rPr>
          <w:rFonts w:ascii="宋体" w:hAnsi="宋体" w:cs="宋体"/>
          <w:color w:val="auto"/>
        </w:rPr>
      </w:pPr>
      <w:r>
        <w:rPr>
          <w:rFonts w:hint="eastAsia" w:ascii="宋体" w:hAnsi="宋体" w:cs="宋体"/>
          <w:color w:val="auto"/>
        </w:rPr>
        <w:t>3）供应商未就所竞标分标进行报价或者存在漏项报价；供应商未就所竞标分标的单项内容作唯一报价；供应商未就所竞标分标的全部内容作完整唯一总价报价；供应商响应文件中存在有选择、有条件报价的（磋商文件允许有备选方案或者其他约定的除外）；</w:t>
      </w:r>
    </w:p>
    <w:p>
      <w:pPr>
        <w:spacing w:line="360" w:lineRule="auto"/>
        <w:ind w:firstLine="420" w:firstLineChars="200"/>
        <w:rPr>
          <w:rFonts w:ascii="宋体" w:hAnsi="宋体" w:cs="宋体"/>
          <w:color w:val="auto"/>
        </w:rPr>
      </w:pPr>
      <w:r>
        <w:rPr>
          <w:rFonts w:hint="eastAsia" w:ascii="宋体" w:hAnsi="宋体" w:cs="宋体"/>
          <w:color w:val="auto"/>
        </w:rPr>
        <w:t>4）竞标报价（包含首次报价、最后报价）超过所竞标分标规定的采购预算金额或者最高限价的（如本项目公布了最高限价）；</w:t>
      </w:r>
      <w:bookmarkStart w:id="73" w:name="_Hlk42596405"/>
      <w:r>
        <w:rPr>
          <w:rFonts w:hint="eastAsia" w:ascii="宋体" w:hAnsi="宋体" w:cs="宋体"/>
          <w:color w:val="auto"/>
        </w:rPr>
        <w:t>竞标报价（包含首次报价、最后报价）</w:t>
      </w:r>
      <w:bookmarkEnd w:id="73"/>
      <w:bookmarkStart w:id="74" w:name="_Hlk42596276"/>
      <w:r>
        <w:rPr>
          <w:rFonts w:hint="eastAsia" w:ascii="宋体" w:hAnsi="宋体" w:cs="宋体"/>
          <w:color w:val="auto"/>
        </w:rPr>
        <w:t>超过磋商文件分项采购预算金额或者最高限价的</w:t>
      </w:r>
      <w:bookmarkEnd w:id="74"/>
      <w:r>
        <w:rPr>
          <w:rFonts w:hint="eastAsia" w:ascii="宋体" w:hAnsi="宋体" w:cs="宋体"/>
          <w:color w:val="auto"/>
        </w:rPr>
        <w:t>（如本项目公布了最高限价）；</w:t>
      </w:r>
    </w:p>
    <w:p>
      <w:pPr>
        <w:spacing w:line="360" w:lineRule="auto"/>
        <w:ind w:firstLine="420" w:firstLineChars="200"/>
        <w:rPr>
          <w:rFonts w:ascii="宋体" w:hAnsi="宋体" w:cs="宋体"/>
          <w:color w:val="auto"/>
        </w:rPr>
      </w:pPr>
      <w:r>
        <w:rPr>
          <w:rFonts w:hint="eastAsia" w:ascii="宋体" w:hAnsi="宋体" w:cs="宋体"/>
          <w:color w:val="auto"/>
        </w:rPr>
        <w:t>5）修正后的报价，供应商不确认的；或者经供应商确认修正后的竞标报价（包含首次报价、最后报价）超过所竞标分标规定的采购预算金额或者最高限价（如本项目公布了最高限价）；或者经供应商确认修正后竞标报价（包含首次报价、最后报价）超过磋商文件分项采购预算金额或者最高限价的（如本项目公布了最高限价）。</w:t>
      </w:r>
    </w:p>
    <w:p>
      <w:pPr>
        <w:spacing w:line="360" w:lineRule="auto"/>
        <w:ind w:firstLine="420" w:firstLineChars="200"/>
        <w:rPr>
          <w:rFonts w:ascii="宋体" w:hAnsi="宋体" w:cs="宋体"/>
          <w:color w:val="auto"/>
        </w:rPr>
      </w:pPr>
      <w:r>
        <w:rPr>
          <w:rFonts w:hint="eastAsia" w:ascii="宋体" w:hAnsi="宋体" w:cs="宋体"/>
          <w:color w:val="auto"/>
        </w:rPr>
        <w:t>6）</w:t>
      </w:r>
      <w:r>
        <w:rPr>
          <w:rFonts w:hint="eastAsia" w:ascii="宋体" w:hAnsi="宋体"/>
          <w:color w:val="auto"/>
        </w:rPr>
        <w:t>响应文件响应的标的数量及单位与竞争性磋商采购文件要求实质性不一致的。</w:t>
      </w:r>
    </w:p>
    <w:p>
      <w:pPr>
        <w:spacing w:line="360" w:lineRule="auto"/>
        <w:ind w:firstLine="420" w:firstLineChars="200"/>
        <w:rPr>
          <w:rFonts w:ascii="宋体" w:hAnsi="宋体" w:cs="宋体"/>
          <w:color w:val="auto"/>
        </w:rPr>
      </w:pPr>
      <w:r>
        <w:rPr>
          <w:rFonts w:ascii="宋体" w:hAnsi="宋体" w:cs="宋体"/>
          <w:color w:val="auto"/>
        </w:rPr>
        <w:t>2.6</w:t>
      </w:r>
      <w:r>
        <w:rPr>
          <w:rFonts w:hint="eastAsia" w:ascii="宋体" w:hAnsi="宋体" w:cs="宋体"/>
          <w:color w:val="auto"/>
        </w:rPr>
        <w:t>磋商小组对响应文件进行评审，未实质性响应磋商文件的响应文件按无效处理，磋商小组应当将资格和符合性不通过的情况告知有关供应商。磋商小组从符合磋商文件规定的相应资格条件的供应商名单中确定不少于3家的供应商参加磋商。</w:t>
      </w:r>
    </w:p>
    <w:p>
      <w:pPr>
        <w:spacing w:line="360" w:lineRule="auto"/>
        <w:ind w:firstLine="420" w:firstLineChars="200"/>
        <w:rPr>
          <w:rFonts w:ascii="宋体" w:hAnsi="宋体" w:cs="宋体"/>
          <w:color w:val="auto"/>
        </w:rPr>
      </w:pPr>
      <w:r>
        <w:rPr>
          <w:rFonts w:ascii="宋体" w:hAnsi="宋体" w:cs="宋体"/>
          <w:color w:val="auto"/>
        </w:rPr>
        <w:t>2.7</w:t>
      </w:r>
      <w:r>
        <w:rPr>
          <w:rFonts w:hint="eastAsia" w:ascii="宋体" w:hAnsi="宋体"/>
          <w:color w:val="auto"/>
        </w:rPr>
        <w:t>通过符合性审查的合格供应商不足3家的，不得进入磋商环节，采购人或者采购代理机构应当重新开展采购活动。</w:t>
      </w:r>
    </w:p>
    <w:p>
      <w:pPr>
        <w:spacing w:line="360" w:lineRule="auto"/>
        <w:ind w:firstLine="482" w:firstLineChars="200"/>
        <w:rPr>
          <w:rFonts w:ascii="黑体" w:hAnsi="黑体" w:eastAsia="黑体" w:cs="宋体"/>
          <w:b/>
          <w:bCs/>
          <w:color w:val="auto"/>
          <w:sz w:val="24"/>
        </w:rPr>
      </w:pPr>
      <w:r>
        <w:rPr>
          <w:rFonts w:ascii="黑体" w:hAnsi="黑体" w:eastAsia="黑体" w:cs="宋体"/>
          <w:b/>
          <w:bCs/>
          <w:color w:val="auto"/>
          <w:sz w:val="24"/>
        </w:rPr>
        <w:t>3</w:t>
      </w:r>
      <w:r>
        <w:rPr>
          <w:rFonts w:hint="eastAsia" w:ascii="黑体" w:hAnsi="黑体" w:eastAsia="黑体" w:cs="宋体"/>
          <w:b/>
          <w:bCs/>
          <w:color w:val="auto"/>
          <w:sz w:val="24"/>
        </w:rPr>
        <w:t>.磋商程序</w:t>
      </w:r>
    </w:p>
    <w:p>
      <w:pPr>
        <w:spacing w:line="360" w:lineRule="auto"/>
        <w:ind w:firstLine="420" w:firstLineChars="200"/>
        <w:rPr>
          <w:rFonts w:ascii="宋体" w:hAnsi="宋体" w:cs="宋体"/>
          <w:color w:val="auto"/>
          <w:kern w:val="0"/>
        </w:rPr>
      </w:pPr>
      <w:r>
        <w:rPr>
          <w:rFonts w:hint="eastAsia" w:ascii="宋体" w:hAnsi="宋体" w:cs="宋体"/>
          <w:color w:val="auto"/>
          <w:kern w:val="0"/>
        </w:rPr>
        <w:t>3</w:t>
      </w:r>
      <w:r>
        <w:rPr>
          <w:rFonts w:ascii="宋体" w:hAnsi="宋体" w:cs="宋体"/>
          <w:color w:val="auto"/>
          <w:kern w:val="0"/>
        </w:rPr>
        <w:t>.1</w:t>
      </w:r>
      <w:r>
        <w:rPr>
          <w:rFonts w:hint="eastAsia" w:ascii="宋体" w:hAnsi="宋体" w:cs="宋体"/>
          <w:color w:val="auto"/>
          <w:kern w:val="0"/>
        </w:rPr>
        <w:t>磋商小组</w:t>
      </w:r>
      <w:r>
        <w:rPr>
          <w:rFonts w:hint="eastAsia" w:ascii="宋体" w:hAnsi="宋体" w:cs="宋体"/>
          <w:color w:val="auto"/>
        </w:rPr>
        <w:t>集中与单一供应商分别进行磋商，并给予所有参加磋商的供应商平等的磋商机会。符合磋商资格的供应商必须在接到磋商通知后规定时间内参加磋商，未在规定时间内参加磋商的视同放弃参加磋商权利，其响应文件按无效响应处理。</w:t>
      </w:r>
    </w:p>
    <w:p>
      <w:pPr>
        <w:spacing w:line="360" w:lineRule="auto"/>
        <w:ind w:firstLine="420" w:firstLineChars="200"/>
        <w:rPr>
          <w:rFonts w:ascii="宋体" w:hAnsi="宋体" w:cs="宋体"/>
          <w:color w:val="auto"/>
        </w:rPr>
      </w:pPr>
      <w:r>
        <w:rPr>
          <w:rFonts w:ascii="宋体" w:hAnsi="宋体" w:cs="宋体"/>
          <w:color w:val="auto"/>
        </w:rPr>
        <w:t>3.2</w:t>
      </w:r>
      <w:r>
        <w:rPr>
          <w:rFonts w:hint="eastAsia" w:ascii="宋体" w:hAnsi="宋体" w:cs="宋体"/>
          <w:color w:val="auto"/>
        </w:rPr>
        <w:t>在磋商过程中，磋商小组可以根据磋商文件和磋商情况实质性变动采购需求中的技术、服务要求以及合同草案条款，但不得变动磋商文件中的其他内容。实质性变动的内容，须经采购人代表确认。可能实质性变动的内容为采购需求中的技术、服务要求以及合同草案条款。</w:t>
      </w:r>
    </w:p>
    <w:p>
      <w:pPr>
        <w:spacing w:line="360" w:lineRule="auto"/>
        <w:ind w:firstLine="420" w:firstLineChars="200"/>
        <w:rPr>
          <w:rFonts w:ascii="宋体" w:hAnsi="宋体" w:cs="宋体"/>
          <w:color w:val="auto"/>
        </w:rPr>
      </w:pPr>
      <w:r>
        <w:rPr>
          <w:rFonts w:ascii="宋体" w:hAnsi="宋体" w:cs="宋体"/>
          <w:color w:val="auto"/>
        </w:rPr>
        <w:t>3.3</w:t>
      </w:r>
      <w:r>
        <w:rPr>
          <w:rFonts w:hint="eastAsia" w:ascii="宋体" w:hAnsi="宋体" w:cs="宋体"/>
          <w:color w:val="auto"/>
        </w:rPr>
        <w:t>对磋商文件作出的实质性变动是磋商文件的有效组成部分，由磋商小组及时以纸质澄清函形式同时通知所有参加磋商的供应商。</w:t>
      </w:r>
    </w:p>
    <w:p>
      <w:pPr>
        <w:spacing w:line="360" w:lineRule="auto"/>
        <w:ind w:firstLine="420" w:firstLineChars="200"/>
        <w:rPr>
          <w:rFonts w:ascii="宋体" w:hAnsi="宋体" w:cs="宋体"/>
          <w:color w:val="auto"/>
        </w:rPr>
      </w:pPr>
      <w:r>
        <w:rPr>
          <w:rFonts w:ascii="宋体" w:hAnsi="宋体" w:cs="宋体"/>
          <w:color w:val="auto"/>
        </w:rPr>
        <w:t>3.4</w:t>
      </w:r>
      <w:r>
        <w:rPr>
          <w:rFonts w:hint="eastAsia" w:ascii="宋体" w:hAnsi="宋体" w:cs="宋体"/>
          <w:color w:val="auto"/>
        </w:rPr>
        <w:t>供应商必须按照磋商文件的变动情况和磋商小组的要求以回函的形式重新提交响应文件，并加盖公章。参加磋商的供应商未在规定时间内重新提交响应文件的，视同退出磋商，其响应文件按无效处理。</w:t>
      </w:r>
    </w:p>
    <w:p>
      <w:pPr>
        <w:spacing w:line="360" w:lineRule="auto"/>
        <w:ind w:firstLine="420" w:firstLineChars="200"/>
        <w:rPr>
          <w:rFonts w:ascii="宋体" w:hAnsi="宋体" w:cs="宋体"/>
          <w:color w:val="auto"/>
        </w:rPr>
      </w:pPr>
      <w:r>
        <w:rPr>
          <w:rFonts w:ascii="宋体" w:hAnsi="宋体" w:cs="宋体"/>
          <w:color w:val="auto"/>
        </w:rPr>
        <w:t>3.5</w:t>
      </w:r>
      <w:r>
        <w:rPr>
          <w:rFonts w:hint="eastAsia" w:ascii="宋体" w:hAnsi="宋体" w:cs="宋体"/>
          <w:color w:val="auto"/>
        </w:rPr>
        <w:t>磋商中，</w:t>
      </w:r>
      <w:r>
        <w:rPr>
          <w:rFonts w:hint="eastAsia" w:ascii="宋体" w:hAnsi="宋体" w:cs="宋体"/>
          <w:color w:val="auto"/>
          <w:spacing w:val="-6"/>
        </w:rPr>
        <w:t>磋商的任何一方不得透露与磋商有关的其他供应商的技术资料、价格和其他信息。</w:t>
      </w:r>
    </w:p>
    <w:p>
      <w:pPr>
        <w:widowControl/>
        <w:tabs>
          <w:tab w:val="left" w:pos="540"/>
        </w:tabs>
        <w:spacing w:line="360" w:lineRule="auto"/>
        <w:ind w:firstLine="420" w:firstLineChars="200"/>
        <w:jc w:val="left"/>
        <w:rPr>
          <w:rFonts w:ascii="宋体" w:hAnsi="宋体" w:cs="宋体"/>
          <w:color w:val="auto"/>
        </w:rPr>
      </w:pPr>
      <w:r>
        <w:rPr>
          <w:rFonts w:ascii="宋体" w:hAnsi="宋体" w:cs="宋体"/>
          <w:color w:val="auto"/>
        </w:rPr>
        <w:t>3.6</w:t>
      </w:r>
      <w:r>
        <w:rPr>
          <w:rFonts w:hint="eastAsia" w:ascii="宋体" w:hAnsi="宋体" w:cs="宋体"/>
          <w:color w:val="auto"/>
        </w:rPr>
        <w:t>采购代理机构对磋商过程和重要磋商内容进行记录。</w:t>
      </w:r>
    </w:p>
    <w:p>
      <w:pPr>
        <w:tabs>
          <w:tab w:val="left" w:pos="2835"/>
        </w:tabs>
        <w:spacing w:line="360" w:lineRule="auto"/>
        <w:ind w:firstLine="420" w:firstLineChars="200"/>
        <w:rPr>
          <w:rFonts w:ascii="宋体" w:hAnsi="宋体" w:cs="宋体"/>
          <w:color w:val="auto"/>
        </w:rPr>
      </w:pPr>
      <w:r>
        <w:rPr>
          <w:rFonts w:ascii="宋体" w:hAnsi="宋体" w:cs="宋体"/>
          <w:color w:val="auto"/>
        </w:rPr>
        <w:t>3.7</w:t>
      </w:r>
      <w:r>
        <w:rPr>
          <w:rFonts w:hint="eastAsia" w:ascii="宋体" w:hAnsi="宋体"/>
          <w:color w:val="auto"/>
        </w:rPr>
        <w:t>对磋商过程提交的响应文件进行有效性、完整性和响应程度审查，通过审查的合格供应商不足3家的，采购人或者采购代理机构应当重新开展采购活动。</w:t>
      </w:r>
    </w:p>
    <w:p>
      <w:pPr>
        <w:spacing w:line="360" w:lineRule="auto"/>
        <w:ind w:firstLine="482" w:firstLineChars="200"/>
        <w:rPr>
          <w:rFonts w:ascii="宋体" w:hAnsi="宋体" w:cs="宋体"/>
          <w:color w:val="auto"/>
        </w:rPr>
      </w:pPr>
      <w:r>
        <w:rPr>
          <w:rFonts w:ascii="黑体" w:hAnsi="黑体" w:eastAsia="黑体" w:cs="宋体"/>
          <w:b/>
          <w:bCs/>
          <w:color w:val="auto"/>
          <w:sz w:val="24"/>
        </w:rPr>
        <w:t>4.</w:t>
      </w:r>
      <w:r>
        <w:rPr>
          <w:rFonts w:hint="eastAsia" w:ascii="黑体" w:hAnsi="黑体" w:eastAsia="黑体" w:cs="宋体"/>
          <w:b/>
          <w:bCs/>
          <w:color w:val="auto"/>
          <w:sz w:val="24"/>
        </w:rPr>
        <w:t xml:space="preserve"> 最后报价</w:t>
      </w:r>
    </w:p>
    <w:p>
      <w:pPr>
        <w:spacing w:line="360" w:lineRule="auto"/>
        <w:ind w:firstLine="420" w:firstLineChars="200"/>
        <w:rPr>
          <w:rFonts w:ascii="宋体" w:hAnsi="宋体" w:cs="宋体"/>
          <w:color w:val="auto"/>
        </w:rPr>
      </w:pPr>
      <w:r>
        <w:rPr>
          <w:rFonts w:hint="eastAsia" w:ascii="宋体" w:hAnsi="宋体" w:cs="宋体"/>
          <w:color w:val="auto"/>
        </w:rPr>
        <w:t>4</w:t>
      </w:r>
      <w:r>
        <w:rPr>
          <w:rFonts w:ascii="宋体" w:hAnsi="宋体" w:cs="宋体"/>
          <w:color w:val="auto"/>
        </w:rPr>
        <w:t>.1</w:t>
      </w:r>
      <w:r>
        <w:rPr>
          <w:rFonts w:hint="eastAsia" w:ascii="宋体" w:hAnsi="宋体" w:cs="宋体"/>
          <w:color w:val="auto"/>
        </w:rPr>
        <w:t>磋商文件能够详细列明采购标的的技术、服务要求的，磋商结束后，磋商小组应当要求所有继续参加磋商的供应商在规定时间内提交最后报价，除本章第</w:t>
      </w:r>
      <w:r>
        <w:rPr>
          <w:rFonts w:ascii="宋体" w:hAnsi="宋体" w:cs="宋体"/>
          <w:color w:val="auto"/>
        </w:rPr>
        <w:t>4.3</w:t>
      </w:r>
      <w:r>
        <w:rPr>
          <w:rFonts w:hint="eastAsia" w:ascii="宋体" w:hAnsi="宋体" w:cs="宋体"/>
          <w:color w:val="auto"/>
        </w:rPr>
        <w:t>条外，提交最后报价的供应商不得少于3家，否则必须重新采购。</w:t>
      </w:r>
    </w:p>
    <w:p>
      <w:pPr>
        <w:spacing w:line="360" w:lineRule="auto"/>
        <w:ind w:firstLine="420" w:firstLineChars="200"/>
        <w:rPr>
          <w:rFonts w:ascii="宋体" w:hAnsi="宋体" w:cs="宋体"/>
          <w:color w:val="auto"/>
        </w:rPr>
      </w:pPr>
      <w:r>
        <w:rPr>
          <w:rFonts w:hint="eastAsia" w:ascii="宋体" w:hAnsi="宋体" w:cs="宋体"/>
          <w:color w:val="auto"/>
        </w:rPr>
        <w:t>4</w:t>
      </w:r>
      <w:r>
        <w:rPr>
          <w:rFonts w:ascii="宋体" w:hAnsi="宋体" w:cs="宋体"/>
          <w:color w:val="auto"/>
        </w:rPr>
        <w:t>.2</w:t>
      </w:r>
      <w:r>
        <w:rPr>
          <w:rFonts w:hint="eastAsia" w:ascii="宋体" w:hAnsi="宋体" w:cs="宋体"/>
          <w:color w:val="auto"/>
        </w:rPr>
        <w:t>磋商文件不能详细列明采购标的的技术、服务要求，需经磋商由供应商提供最后设计方案或者解决方案的，磋商结束后，由磋商小组按照少数服从多数的原则投票推荐3家以上供应商的设计方案或者解决方案，并要求其在规定时间内提交最后报价。</w:t>
      </w:r>
    </w:p>
    <w:p>
      <w:pPr>
        <w:spacing w:line="360" w:lineRule="auto"/>
        <w:ind w:firstLine="420" w:firstLineChars="200"/>
        <w:rPr>
          <w:rFonts w:ascii="宋体" w:hAnsi="宋体" w:cs="宋体"/>
          <w:color w:val="auto"/>
        </w:rPr>
      </w:pPr>
      <w:r>
        <w:rPr>
          <w:rFonts w:ascii="宋体" w:hAnsi="宋体" w:cs="宋体"/>
          <w:color w:val="auto"/>
        </w:rPr>
        <w:t>4.3</w:t>
      </w:r>
      <w:r>
        <w:rPr>
          <w:rFonts w:hint="eastAsia" w:ascii="宋体" w:hAnsi="宋体" w:cs="宋体"/>
          <w:color w:val="auto"/>
        </w:rPr>
        <w:t xml:space="preserve"> 最后报价是供应商响应文件的有效组成部分。符合《政府采购竞争性磋商采购方式管理暂行办法》（财库〔2014〕214号）第三条第四项“市场竞争不充分的科研项目，以及需要扶持的科技成果转化项目”的，提交最后报价的供应商可以为2家。</w:t>
      </w:r>
    </w:p>
    <w:p>
      <w:pPr>
        <w:spacing w:line="360" w:lineRule="auto"/>
        <w:ind w:firstLine="420" w:firstLineChars="200"/>
        <w:rPr>
          <w:rFonts w:ascii="宋体" w:hAnsi="宋体" w:cs="宋体"/>
          <w:color w:val="auto"/>
        </w:rPr>
      </w:pPr>
      <w:r>
        <w:rPr>
          <w:rFonts w:ascii="宋体" w:hAnsi="宋体" w:cs="宋体"/>
          <w:color w:val="auto"/>
        </w:rPr>
        <w:t>4.4</w:t>
      </w:r>
      <w:r>
        <w:rPr>
          <w:rFonts w:hint="eastAsia" w:ascii="宋体" w:hAnsi="宋体" w:cs="宋体"/>
          <w:color w:val="auto"/>
        </w:rPr>
        <w:t>已经提交响应文件的供应商，在提交最后报价之前，可以根据磋商情况退出磋商，退出磋商的供应商的响应文件按无效响应处理。采购人、采购代理机构将退还退出磋商的供应商的保证金。</w:t>
      </w:r>
    </w:p>
    <w:p>
      <w:pPr>
        <w:spacing w:line="360" w:lineRule="auto"/>
        <w:ind w:firstLine="420" w:firstLineChars="200"/>
        <w:rPr>
          <w:rFonts w:ascii="宋体" w:hAnsi="宋体" w:cs="宋体"/>
          <w:color w:val="auto"/>
        </w:rPr>
      </w:pPr>
      <w:r>
        <w:rPr>
          <w:rFonts w:ascii="宋体" w:hAnsi="宋体" w:cs="宋体"/>
          <w:color w:val="auto"/>
        </w:rPr>
        <w:t>4.5</w:t>
      </w:r>
      <w:r>
        <w:rPr>
          <w:rFonts w:hint="eastAsia" w:ascii="宋体" w:hAnsi="宋体" w:cs="宋体"/>
          <w:color w:val="auto"/>
        </w:rPr>
        <w:t>供应商未在规定时间内提交最后报价的，视同退出磋商，其响应文件按无效处理。</w:t>
      </w:r>
    </w:p>
    <w:p>
      <w:pPr>
        <w:spacing w:line="360" w:lineRule="auto"/>
        <w:ind w:firstLine="420" w:firstLineChars="200"/>
        <w:rPr>
          <w:rFonts w:ascii="宋体" w:hAnsi="宋体" w:cs="宋体"/>
          <w:color w:val="auto"/>
        </w:rPr>
      </w:pPr>
      <w:r>
        <w:rPr>
          <w:rFonts w:ascii="宋体" w:hAnsi="宋体" w:cs="宋体"/>
          <w:color w:val="auto"/>
        </w:rPr>
        <w:t>4.6</w:t>
      </w:r>
      <w:r>
        <w:rPr>
          <w:rFonts w:hint="eastAsia" w:ascii="宋体" w:hAnsi="宋体" w:cs="宋体"/>
          <w:color w:val="auto"/>
        </w:rPr>
        <w:t>最后报价统一开启后，磋商小组对最后报价进行有效性、完整性和响应程度的审查。</w:t>
      </w:r>
    </w:p>
    <w:p>
      <w:pPr>
        <w:spacing w:line="360" w:lineRule="auto"/>
        <w:ind w:firstLine="420" w:firstLineChars="200"/>
        <w:rPr>
          <w:rFonts w:ascii="宋体" w:hAnsi="宋体" w:cs="宋体"/>
          <w:color w:val="auto"/>
        </w:rPr>
      </w:pPr>
      <w:r>
        <w:rPr>
          <w:rFonts w:ascii="宋体" w:hAnsi="宋体" w:cs="宋体"/>
          <w:color w:val="auto"/>
        </w:rPr>
        <w:t>4.7</w:t>
      </w:r>
      <w:r>
        <w:rPr>
          <w:rFonts w:hint="eastAsia" w:ascii="宋体" w:hAnsi="宋体" w:cs="宋体"/>
          <w:color w:val="auto"/>
        </w:rPr>
        <w:t>最后报价出现前后不一致的，按照本章第</w:t>
      </w:r>
      <w:r>
        <w:rPr>
          <w:rFonts w:ascii="宋体" w:hAnsi="宋体" w:cs="宋体"/>
          <w:color w:val="auto"/>
        </w:rPr>
        <w:t>2.4</w:t>
      </w:r>
      <w:r>
        <w:rPr>
          <w:rFonts w:hint="eastAsia" w:ascii="宋体" w:hAnsi="宋体" w:cs="宋体"/>
          <w:color w:val="auto"/>
        </w:rPr>
        <w:t xml:space="preserve">条的规定修正。 </w:t>
      </w:r>
    </w:p>
    <w:p>
      <w:pPr>
        <w:spacing w:line="360" w:lineRule="auto"/>
        <w:ind w:firstLine="420" w:firstLineChars="200"/>
        <w:rPr>
          <w:rFonts w:ascii="宋体" w:hAnsi="宋体" w:cs="宋体"/>
          <w:color w:val="auto"/>
        </w:rPr>
      </w:pPr>
      <w:r>
        <w:rPr>
          <w:rFonts w:ascii="宋体" w:hAnsi="宋体" w:cs="宋体"/>
          <w:color w:val="auto"/>
        </w:rPr>
        <w:t>4.8</w:t>
      </w:r>
      <w:r>
        <w:rPr>
          <w:rFonts w:hint="eastAsia" w:ascii="宋体" w:hAnsi="宋体" w:cs="宋体"/>
          <w:color w:val="auto"/>
        </w:rPr>
        <w:t>修正后的报价出现下列情形的，按无效响应处理：</w:t>
      </w:r>
    </w:p>
    <w:p>
      <w:pPr>
        <w:spacing w:line="360" w:lineRule="auto"/>
        <w:ind w:firstLine="420" w:firstLineChars="200"/>
        <w:rPr>
          <w:rFonts w:ascii="宋体" w:hAnsi="宋体" w:cs="宋体"/>
          <w:color w:val="auto"/>
        </w:rPr>
      </w:pPr>
      <w:r>
        <w:rPr>
          <w:rFonts w:hint="eastAsia" w:ascii="宋体" w:hAnsi="宋体" w:cs="宋体"/>
          <w:color w:val="auto"/>
        </w:rPr>
        <w:t>（1）供应商不确认的；</w:t>
      </w:r>
    </w:p>
    <w:p>
      <w:pPr>
        <w:spacing w:line="360" w:lineRule="auto"/>
        <w:ind w:firstLine="420" w:firstLineChars="200"/>
        <w:rPr>
          <w:rFonts w:ascii="宋体" w:hAnsi="宋体" w:cs="宋体"/>
          <w:color w:val="auto"/>
        </w:rPr>
      </w:pPr>
      <w:r>
        <w:rPr>
          <w:rFonts w:hint="eastAsia" w:ascii="宋体" w:hAnsi="宋体" w:cs="宋体"/>
          <w:color w:val="auto"/>
        </w:rPr>
        <w:t>（2）经供应商确认修正后的竞标报价（包含首次报价、最后报价）超过所竞标分标规定的采购预算金额或者最高限价的（如本项目公布了最高限价）；</w:t>
      </w:r>
    </w:p>
    <w:p>
      <w:pPr>
        <w:spacing w:line="360" w:lineRule="auto"/>
        <w:ind w:firstLine="420" w:firstLineChars="200"/>
        <w:rPr>
          <w:rFonts w:ascii="宋体" w:hAnsi="宋体" w:cs="宋体"/>
          <w:color w:val="auto"/>
        </w:rPr>
      </w:pPr>
      <w:r>
        <w:rPr>
          <w:rFonts w:hint="eastAsia" w:ascii="宋体" w:hAnsi="宋体" w:cs="宋体"/>
          <w:color w:val="auto"/>
        </w:rPr>
        <w:t>（3）经供应商确认修正后的竞标报价（包含首次报价、最后报价）超过分项采购预算金额或者最高限价的（如本项目公布了最高限价）。</w:t>
      </w:r>
    </w:p>
    <w:p>
      <w:pPr>
        <w:spacing w:line="360" w:lineRule="auto"/>
        <w:ind w:firstLine="420" w:firstLineChars="200"/>
        <w:rPr>
          <w:rFonts w:ascii="宋体" w:hAnsi="宋体" w:cs="宋体"/>
          <w:color w:val="auto"/>
        </w:rPr>
      </w:pPr>
      <w:r>
        <w:rPr>
          <w:rFonts w:ascii="宋体" w:hAnsi="宋体" w:cs="宋体"/>
          <w:color w:val="auto"/>
        </w:rPr>
        <w:t>4.9</w:t>
      </w:r>
      <w:r>
        <w:rPr>
          <w:rFonts w:hint="eastAsia" w:ascii="宋体" w:hAnsi="宋体" w:cs="宋体"/>
          <w:color w:val="auto"/>
        </w:rPr>
        <w:t>经供应商确认修正后的最后报价作为评审及签订合同的依据。</w:t>
      </w:r>
    </w:p>
    <w:p>
      <w:pPr>
        <w:spacing w:line="360" w:lineRule="auto"/>
        <w:ind w:firstLine="420" w:firstLineChars="200"/>
        <w:rPr>
          <w:rFonts w:ascii="宋体" w:hAnsi="宋体" w:cs="宋体"/>
          <w:color w:val="auto"/>
        </w:rPr>
      </w:pPr>
      <w:r>
        <w:rPr>
          <w:rFonts w:hint="eastAsia" w:ascii="宋体" w:hAnsi="宋体" w:cs="宋体"/>
          <w:color w:val="auto"/>
        </w:rPr>
        <w:t>4.10供应商出现最后报价按无效响应处理或者响应文件按无效处理时</w:t>
      </w:r>
      <w:r>
        <w:rPr>
          <w:rFonts w:hint="eastAsia" w:ascii="宋体" w:hAnsi="宋体"/>
          <w:color w:val="auto"/>
          <w:sz w:val="22"/>
          <w:szCs w:val="22"/>
        </w:rPr>
        <w:t>，磋商小组应当告知有关供应商</w:t>
      </w:r>
      <w:r>
        <w:rPr>
          <w:rFonts w:hint="eastAsia" w:ascii="宋体" w:hAnsi="宋体" w:cs="宋体"/>
          <w:color w:val="auto"/>
        </w:rPr>
        <w:t>。</w:t>
      </w:r>
    </w:p>
    <w:p>
      <w:pPr>
        <w:spacing w:line="360" w:lineRule="auto"/>
        <w:ind w:firstLine="420" w:firstLineChars="200"/>
        <w:rPr>
          <w:rFonts w:ascii="宋体" w:hAnsi="宋体" w:cs="宋体"/>
          <w:color w:val="auto"/>
        </w:rPr>
      </w:pPr>
      <w:r>
        <w:rPr>
          <w:rFonts w:hint="eastAsia" w:ascii="宋体" w:hAnsi="宋体" w:cs="宋体"/>
          <w:color w:val="auto"/>
        </w:rPr>
        <w:t>4</w:t>
      </w:r>
      <w:r>
        <w:rPr>
          <w:rFonts w:ascii="宋体" w:hAnsi="宋体" w:cs="宋体"/>
          <w:color w:val="auto"/>
        </w:rPr>
        <w:t>.1</w:t>
      </w:r>
      <w:r>
        <w:rPr>
          <w:rFonts w:hint="eastAsia" w:ascii="宋体" w:hAnsi="宋体" w:cs="宋体"/>
          <w:color w:val="auto"/>
        </w:rPr>
        <w:t>1最后报价结束后，磋商小组不得再与供应商进行任何形式的商谈。</w:t>
      </w:r>
    </w:p>
    <w:p>
      <w:pPr>
        <w:spacing w:line="360" w:lineRule="auto"/>
        <w:ind w:firstLine="482" w:firstLineChars="200"/>
        <w:rPr>
          <w:rFonts w:ascii="黑体" w:hAnsi="黑体" w:eastAsia="黑体" w:cs="宋体"/>
          <w:b/>
          <w:bCs/>
          <w:color w:val="auto"/>
          <w:sz w:val="24"/>
        </w:rPr>
      </w:pPr>
      <w:r>
        <w:rPr>
          <w:rFonts w:hint="eastAsia" w:ascii="黑体" w:hAnsi="黑体" w:eastAsia="黑体" w:cs="宋体"/>
          <w:b/>
          <w:bCs/>
          <w:color w:val="auto"/>
          <w:sz w:val="24"/>
        </w:rPr>
        <w:t>5</w:t>
      </w:r>
      <w:r>
        <w:rPr>
          <w:rFonts w:ascii="黑体" w:hAnsi="黑体" w:eastAsia="黑体" w:cs="宋体"/>
          <w:b/>
          <w:bCs/>
          <w:color w:val="auto"/>
          <w:sz w:val="24"/>
        </w:rPr>
        <w:t>.</w:t>
      </w:r>
      <w:r>
        <w:rPr>
          <w:rFonts w:hint="eastAsia" w:ascii="黑体" w:hAnsi="黑体" w:eastAsia="黑体" w:cs="宋体"/>
          <w:b/>
          <w:bCs/>
          <w:color w:val="auto"/>
          <w:sz w:val="24"/>
        </w:rPr>
        <w:t>比较与评价</w:t>
      </w:r>
    </w:p>
    <w:p>
      <w:pPr>
        <w:spacing w:line="360" w:lineRule="auto"/>
        <w:ind w:firstLine="420" w:firstLineChars="200"/>
        <w:rPr>
          <w:rFonts w:ascii="宋体" w:hAnsi="宋体" w:cs="宋体"/>
          <w:color w:val="auto"/>
        </w:rPr>
      </w:pPr>
      <w:r>
        <w:rPr>
          <w:rFonts w:ascii="宋体" w:hAnsi="宋体" w:cs="宋体"/>
          <w:color w:val="auto"/>
        </w:rPr>
        <w:t>5.1</w:t>
      </w:r>
      <w:r>
        <w:rPr>
          <w:rFonts w:hint="eastAsia" w:ascii="宋体" w:hAnsi="宋体" w:cs="宋体"/>
          <w:color w:val="auto"/>
        </w:rPr>
        <w:t>评审方法：综合评分法。</w:t>
      </w:r>
    </w:p>
    <w:p>
      <w:pPr>
        <w:spacing w:line="360" w:lineRule="auto"/>
        <w:ind w:firstLine="420" w:firstLineChars="200"/>
        <w:rPr>
          <w:rFonts w:ascii="宋体" w:hAnsi="宋体" w:cs="宋体"/>
          <w:color w:val="auto"/>
        </w:rPr>
      </w:pPr>
      <w:r>
        <w:rPr>
          <w:rFonts w:ascii="宋体" w:hAnsi="宋体" w:cs="宋体"/>
          <w:color w:val="auto"/>
        </w:rPr>
        <w:t>5.2</w:t>
      </w:r>
      <w:r>
        <w:rPr>
          <w:rFonts w:hint="eastAsia" w:ascii="宋体" w:hAnsi="宋体" w:cs="宋体"/>
          <w:color w:val="auto"/>
        </w:rPr>
        <w:t>经磋商确定最终采购需求和提交最后报价的供应商后，由磋商小组采用综合评分法对提交最后报价的供应商的响应文件和最后报价进行综合评分。</w:t>
      </w:r>
    </w:p>
    <w:p>
      <w:pPr>
        <w:spacing w:line="360" w:lineRule="auto"/>
        <w:ind w:firstLine="420" w:firstLineChars="200"/>
        <w:rPr>
          <w:rFonts w:ascii="宋体" w:hAnsi="宋体" w:cs="宋体"/>
          <w:color w:val="auto"/>
        </w:rPr>
      </w:pPr>
      <w:r>
        <w:rPr>
          <w:rFonts w:ascii="宋体" w:hAnsi="宋体" w:cs="宋体"/>
          <w:color w:val="auto"/>
        </w:rPr>
        <w:t>5.3</w:t>
      </w:r>
      <w:r>
        <w:rPr>
          <w:rFonts w:hint="eastAsia" w:ascii="宋体" w:hAnsi="宋体" w:cs="宋体"/>
          <w:color w:val="auto"/>
        </w:rPr>
        <w:t>评审时，磋商小组各成员应当独立对每个有效响应的文件进行评价、打分，然后汇总每个供应商每项评分因素的得分。</w:t>
      </w:r>
    </w:p>
    <w:p>
      <w:pPr>
        <w:spacing w:line="360" w:lineRule="auto"/>
        <w:ind w:firstLine="420" w:firstLineChars="200"/>
        <w:rPr>
          <w:rFonts w:ascii="宋体" w:hAnsi="宋体" w:cs="宋体"/>
          <w:color w:val="auto"/>
        </w:rPr>
      </w:pPr>
      <w:r>
        <w:rPr>
          <w:rFonts w:hint="eastAsia" w:ascii="宋体" w:hAnsi="宋体" w:cs="宋体"/>
          <w:color w:val="auto"/>
        </w:rPr>
        <w:t>（1）磋商小组按照磋商文件中规定的评审标准计算各供应商的报价得分。项目评审过程中，不得去掉最后报价中的最高报价和最低报价。</w:t>
      </w:r>
    </w:p>
    <w:p>
      <w:pPr>
        <w:spacing w:line="360" w:lineRule="auto"/>
        <w:ind w:firstLine="420" w:firstLineChars="200"/>
        <w:rPr>
          <w:rFonts w:ascii="宋体" w:hAnsi="宋体" w:cs="宋体"/>
          <w:color w:val="auto"/>
        </w:rPr>
      </w:pPr>
      <w:r>
        <w:rPr>
          <w:rFonts w:hint="eastAsia" w:ascii="宋体" w:hAnsi="宋体" w:cs="宋体"/>
          <w:color w:val="auto"/>
        </w:rPr>
        <w:t>（2）各供应商的得分为磋商小组所有成员的有效评分的算术平均数。</w:t>
      </w:r>
    </w:p>
    <w:p>
      <w:pPr>
        <w:spacing w:line="360" w:lineRule="auto"/>
        <w:ind w:firstLine="420" w:firstLineChars="200"/>
        <w:rPr>
          <w:rFonts w:ascii="宋体" w:hAnsi="宋体" w:cs="宋体"/>
          <w:color w:val="auto"/>
        </w:rPr>
      </w:pPr>
      <w:r>
        <w:rPr>
          <w:rFonts w:ascii="宋体" w:hAnsi="宋体" w:cs="宋体"/>
          <w:color w:val="auto"/>
        </w:rPr>
        <w:t>5.4</w:t>
      </w:r>
      <w:r>
        <w:rPr>
          <w:rFonts w:hint="eastAsia" w:ascii="宋体" w:hAnsi="宋体" w:cs="宋体"/>
          <w:color w:val="auto"/>
        </w:rPr>
        <w:t>评审价为供应商的最后报价进行政策性扣除后的价格，评审价只是作为评审时使用。最终成交供应商的成交金额等于最后报价（如有修正，以确认修正后的最后报价为准）。</w:t>
      </w:r>
    </w:p>
    <w:p>
      <w:pPr>
        <w:spacing w:line="360" w:lineRule="auto"/>
        <w:ind w:firstLine="420" w:firstLineChars="200"/>
        <w:rPr>
          <w:rFonts w:ascii="宋体" w:hAnsi="宋体"/>
          <w:color w:val="auto"/>
          <w:kern w:val="0"/>
        </w:rPr>
      </w:pPr>
      <w:r>
        <w:rPr>
          <w:rFonts w:ascii="宋体" w:hAnsi="宋体" w:cs="宋体"/>
          <w:color w:val="auto"/>
        </w:rPr>
        <w:t>5.5</w:t>
      </w:r>
      <w:r>
        <w:rPr>
          <w:rFonts w:hint="eastAsia" w:ascii="宋体" w:hAnsi="宋体" w:cs="宋体"/>
          <w:color w:val="auto"/>
        </w:rPr>
        <w:t>由磋商小组根据综合评分情况，按照评审得分由高到低顺序推荐3名以上成交候选供应商，并编写评</w:t>
      </w:r>
      <w:r>
        <w:rPr>
          <w:rFonts w:hint="eastAsia" w:ascii="宋体" w:hAnsi="宋体"/>
          <w:color w:val="auto"/>
          <w:kern w:val="0"/>
        </w:rPr>
        <w:t>审报告。符合本章第</w:t>
      </w:r>
      <w:r>
        <w:rPr>
          <w:rFonts w:ascii="宋体" w:hAnsi="宋体"/>
          <w:color w:val="auto"/>
          <w:kern w:val="0"/>
        </w:rPr>
        <w:t>4.3</w:t>
      </w:r>
      <w:r>
        <w:rPr>
          <w:rFonts w:hint="eastAsia" w:ascii="宋体" w:hAnsi="宋体"/>
          <w:color w:val="auto"/>
          <w:kern w:val="0"/>
        </w:rPr>
        <w:t>条情形的，可以推荐2家成交候选供应商。评审得分相同的，按照最后报价由低到高的顺序推荐。评审得分且最后报价相同的，按照技术指标优劣顺序推荐。</w:t>
      </w:r>
    </w:p>
    <w:p>
      <w:pPr>
        <w:spacing w:line="360" w:lineRule="auto"/>
        <w:ind w:firstLine="420" w:firstLineChars="200"/>
        <w:rPr>
          <w:rFonts w:ascii="宋体" w:hAnsi="宋体" w:cs="宋体"/>
          <w:color w:val="auto"/>
        </w:rPr>
      </w:pPr>
      <w:r>
        <w:rPr>
          <w:rFonts w:ascii="宋体" w:hAnsi="宋体"/>
          <w:color w:val="auto"/>
          <w:kern w:val="0"/>
        </w:rPr>
        <w:t>5.6</w:t>
      </w:r>
      <w:r>
        <w:rPr>
          <w:rFonts w:hint="eastAsia" w:ascii="宋体" w:hAnsi="宋体"/>
          <w:color w:val="auto"/>
          <w:kern w:val="0"/>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spacing w:line="360" w:lineRule="auto"/>
        <w:jc w:val="center"/>
        <w:rPr>
          <w:rFonts w:ascii="宋体" w:hAnsi="宋体"/>
          <w:b/>
          <w:color w:val="auto"/>
          <w:sz w:val="32"/>
          <w:szCs w:val="32"/>
        </w:rPr>
      </w:pPr>
      <w:r>
        <w:rPr>
          <w:rFonts w:hint="eastAsia" w:ascii="宋体" w:hAnsi="宋体"/>
          <w:b/>
          <w:color w:val="auto"/>
          <w:sz w:val="32"/>
          <w:szCs w:val="32"/>
        </w:rPr>
        <w:t>二、评审标准</w:t>
      </w:r>
    </w:p>
    <w:p>
      <w:pPr>
        <w:spacing w:line="360" w:lineRule="auto"/>
        <w:ind w:firstLine="420" w:firstLineChars="200"/>
        <w:rPr>
          <w:rFonts w:ascii="宋体" w:hAnsi="宋体"/>
          <w:bCs/>
          <w:color w:val="auto"/>
        </w:rPr>
      </w:pPr>
      <w:r>
        <w:rPr>
          <w:rFonts w:hint="eastAsia" w:ascii="宋体" w:hAnsi="宋体"/>
          <w:bCs/>
          <w:color w:val="auto"/>
        </w:rPr>
        <w:t>6</w:t>
      </w:r>
      <w:r>
        <w:rPr>
          <w:rFonts w:ascii="宋体" w:hAnsi="宋体"/>
          <w:bCs/>
          <w:color w:val="auto"/>
        </w:rPr>
        <w:t>.</w:t>
      </w:r>
      <w:r>
        <w:rPr>
          <w:rFonts w:hint="eastAsia" w:ascii="宋体" w:hAnsi="宋体"/>
          <w:bCs/>
          <w:color w:val="auto"/>
        </w:rPr>
        <w:t>评审依据：磋商小组将以磋商响应文件为评审依据，对供应商的报价、技术、商务等方面内容按百分制打分。（计分方法按四舍五入取至百分位）</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559"/>
        <w:gridCol w:w="6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46"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b/>
                <w:bCs/>
                <w:color w:val="auto"/>
                <w:kern w:val="0"/>
              </w:rPr>
            </w:pPr>
            <w:r>
              <w:rPr>
                <w:rFonts w:hint="eastAsia" w:ascii="宋体" w:hAnsi="宋体" w:cs="Tahoma"/>
                <w:b/>
                <w:bCs/>
                <w:color w:val="auto"/>
                <w:kern w:val="0"/>
              </w:rPr>
              <w:t>序号</w:t>
            </w:r>
          </w:p>
        </w:tc>
        <w:tc>
          <w:tcPr>
            <w:tcW w:w="1559"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b/>
                <w:bCs/>
                <w:color w:val="auto"/>
                <w:kern w:val="0"/>
              </w:rPr>
            </w:pPr>
            <w:r>
              <w:rPr>
                <w:rFonts w:hint="eastAsia" w:ascii="宋体" w:hAnsi="宋体" w:cs="Tahoma"/>
                <w:b/>
                <w:bCs/>
                <w:color w:val="auto"/>
                <w:kern w:val="0"/>
              </w:rPr>
              <w:t>评审因素</w:t>
            </w:r>
          </w:p>
        </w:tc>
        <w:tc>
          <w:tcPr>
            <w:tcW w:w="6463"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b/>
                <w:bCs/>
                <w:color w:val="auto"/>
                <w:kern w:val="0"/>
              </w:rPr>
            </w:pPr>
            <w:r>
              <w:rPr>
                <w:rFonts w:hint="eastAsia" w:ascii="宋体" w:hAnsi="宋体" w:cs="Tahoma"/>
                <w:b/>
                <w:bCs/>
                <w:color w:val="auto"/>
                <w:kern w:val="0"/>
              </w:rPr>
              <w:t>评审因素具体内容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46"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cs="Tahoma"/>
                <w:color w:val="auto"/>
                <w:kern w:val="0"/>
              </w:rPr>
              <w:t>1</w:t>
            </w:r>
          </w:p>
        </w:tc>
        <w:tc>
          <w:tcPr>
            <w:tcW w:w="1559"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cs="Tahoma"/>
                <w:color w:val="auto"/>
                <w:kern w:val="0"/>
              </w:rPr>
              <w:t>价格分（满分30分）</w:t>
            </w:r>
          </w:p>
        </w:tc>
        <w:tc>
          <w:tcPr>
            <w:tcW w:w="6463" w:type="dxa"/>
            <w:noWrap/>
          </w:tcPr>
          <w:p>
            <w:pPr>
              <w:keepNext w:val="0"/>
              <w:keepLines w:val="0"/>
              <w:pageBreakBefore w:val="0"/>
              <w:kinsoku/>
              <w:wordWrap/>
              <w:overflowPunct/>
              <w:topLinePunct w:val="0"/>
              <w:autoSpaceDE/>
              <w:autoSpaceDN/>
              <w:bidi w:val="0"/>
              <w:snapToGrid w:val="0"/>
              <w:spacing w:line="312" w:lineRule="auto"/>
              <w:rPr>
                <w:rFonts w:ascii="宋体" w:hAnsi="宋体"/>
                <w:color w:val="auto"/>
              </w:rPr>
            </w:pPr>
            <w:r>
              <w:rPr>
                <w:rFonts w:hint="eastAsia" w:ascii="宋体" w:hAnsi="宋体" w:cs="Courier New"/>
                <w:bCs/>
                <w:color w:val="auto"/>
              </w:rPr>
              <w:t>（1）</w:t>
            </w:r>
            <w:r>
              <w:rPr>
                <w:rFonts w:hint="eastAsia" w:ascii="宋体" w:hAnsi="宋体"/>
                <w:color w:val="auto"/>
              </w:rPr>
              <w:t>评审价为供应商的最后报价进行政策性扣除后的价格，评审价只是作为评审时使用。最终成交供应商的成交金额等于最后报价（如有修正，以确认修正后的最后报价为准）。</w:t>
            </w:r>
          </w:p>
          <w:p>
            <w:pPr>
              <w:pStyle w:val="24"/>
              <w:keepNext w:val="0"/>
              <w:keepLines w:val="0"/>
              <w:pageBreakBefore w:val="0"/>
              <w:kinsoku/>
              <w:wordWrap/>
              <w:overflowPunct/>
              <w:topLinePunct w:val="0"/>
              <w:autoSpaceDE/>
              <w:autoSpaceDN/>
              <w:bidi w:val="0"/>
              <w:snapToGrid w:val="0"/>
              <w:spacing w:line="312" w:lineRule="auto"/>
              <w:rPr>
                <w:rFonts w:hAnsi="宋体"/>
                <w:color w:val="auto"/>
              </w:rPr>
            </w:pPr>
            <w:r>
              <w:rPr>
                <w:rFonts w:hint="eastAsia" w:hAnsi="宋体" w:cs="Courier New"/>
                <w:bCs/>
                <w:color w:val="auto"/>
              </w:rPr>
              <w:t>（2）政府采购政策性扣除计算方法</w:t>
            </w:r>
          </w:p>
          <w:p>
            <w:pPr>
              <w:keepNext w:val="0"/>
              <w:keepLines w:val="0"/>
              <w:pageBreakBefore w:val="0"/>
              <w:kinsoku/>
              <w:wordWrap/>
              <w:overflowPunct/>
              <w:topLinePunct w:val="0"/>
              <w:autoSpaceDE/>
              <w:autoSpaceDN/>
              <w:bidi w:val="0"/>
              <w:snapToGrid w:val="0"/>
              <w:spacing w:line="312" w:lineRule="auto"/>
              <w:rPr>
                <w:rFonts w:ascii="宋体" w:hAnsi="宋体" w:cs="宋体"/>
                <w:color w:val="auto"/>
              </w:rPr>
            </w:pPr>
            <w:r>
              <w:rPr>
                <w:rFonts w:hint="eastAsia" w:ascii="宋体" w:hAnsi="宋体" w:cs="宋体"/>
                <w:color w:val="auto"/>
              </w:rPr>
              <w:t>符合《政府采购促进中小企业发展管理办法》（财库〔2020〕46号）的规定条件且按该办法中规定的格式提供了《中小企业声明函》的小型和微型企业，对报价给予20%的扣除，扣除后的价格为</w:t>
            </w:r>
            <w:r>
              <w:rPr>
                <w:rFonts w:hint="eastAsia" w:ascii="宋体" w:hAnsi="宋体"/>
                <w:color w:val="auto"/>
              </w:rPr>
              <w:t>评审价</w:t>
            </w:r>
            <w:r>
              <w:rPr>
                <w:rFonts w:hint="eastAsia" w:ascii="宋体" w:hAnsi="宋体" w:cs="宋体"/>
                <w:color w:val="auto"/>
              </w:rPr>
              <w:t>，即评审价=竞标报价×（1-20%）；除上述情况外，评审价=竞标报价。</w:t>
            </w:r>
          </w:p>
          <w:p>
            <w:pPr>
              <w:keepNext w:val="0"/>
              <w:keepLines w:val="0"/>
              <w:pageBreakBefore w:val="0"/>
              <w:kinsoku/>
              <w:wordWrap/>
              <w:overflowPunct/>
              <w:topLinePunct w:val="0"/>
              <w:autoSpaceDE/>
              <w:autoSpaceDN/>
              <w:bidi w:val="0"/>
              <w:snapToGrid w:val="0"/>
              <w:spacing w:line="312" w:lineRule="auto"/>
              <w:rPr>
                <w:rFonts w:ascii="宋体" w:hAnsi="宋体" w:cs="宋体"/>
                <w:color w:val="auto"/>
              </w:rPr>
            </w:pPr>
            <w:r>
              <w:rPr>
                <w:rFonts w:hint="eastAsia" w:ascii="宋体" w:hAnsi="宋体" w:cs="宋体"/>
                <w:color w:val="auto"/>
              </w:rPr>
              <w:t>磋商产品生产企业或服务提供企业按《关于政府采购支持监狱企业发展有关问题的通知》(财库[2014]68号)认定为监狱企业的，在政府采购活动中，监狱企业视同小型、微型企业。供应商应当提供由省级以上监狱管理局、戒毒管理局(含新疆生产建设兵团)出具的磋商产品生产企业或服务提供企业属于监狱企业的证明文件，不再提供《中小企业声明函》；</w:t>
            </w:r>
          </w:p>
          <w:p>
            <w:pPr>
              <w:keepNext w:val="0"/>
              <w:keepLines w:val="0"/>
              <w:pageBreakBefore w:val="0"/>
              <w:kinsoku/>
              <w:wordWrap/>
              <w:overflowPunct/>
              <w:topLinePunct w:val="0"/>
              <w:autoSpaceDE/>
              <w:autoSpaceDN/>
              <w:bidi w:val="0"/>
              <w:snapToGrid w:val="0"/>
              <w:spacing w:line="312" w:lineRule="auto"/>
              <w:rPr>
                <w:rFonts w:ascii="宋体" w:hAnsi="宋体"/>
                <w:color w:val="auto"/>
              </w:rPr>
            </w:pPr>
            <w:r>
              <w:rPr>
                <w:rFonts w:hint="eastAsia" w:ascii="宋体" w:hAnsi="宋体" w:cs="宋体"/>
                <w:color w:val="auto"/>
              </w:rPr>
              <w:t>磋商产品生产单位或服务提供单位按《关于促进残疾人就业政府采购政策的通知》(财库〔2017〕141号)认定为残疾人福利性单位的，在政府采购活动中，残疾人福利性单位视同小型、微型企业。供应商应当提供该通知规定的磋商产品生产单位或服务提供单位属于残疾人福利性单位的《残疾人福利性单位声明函》，不再提供《中小企业声明函》。</w:t>
            </w:r>
          </w:p>
          <w:p>
            <w:pPr>
              <w:pStyle w:val="24"/>
              <w:keepNext w:val="0"/>
              <w:keepLines w:val="0"/>
              <w:pageBreakBefore w:val="0"/>
              <w:kinsoku/>
              <w:wordWrap/>
              <w:overflowPunct/>
              <w:topLinePunct w:val="0"/>
              <w:autoSpaceDE/>
              <w:autoSpaceDN/>
              <w:bidi w:val="0"/>
              <w:snapToGrid w:val="0"/>
              <w:spacing w:line="312" w:lineRule="auto"/>
              <w:rPr>
                <w:rFonts w:hAnsi="宋体" w:cs="Courier New"/>
                <w:bCs/>
                <w:color w:val="auto"/>
              </w:rPr>
            </w:pPr>
            <w:r>
              <w:rPr>
                <w:rFonts w:hint="eastAsia" w:hAnsi="宋体" w:cs="Courier New"/>
                <w:bCs/>
                <w:color w:val="auto"/>
              </w:rPr>
              <w:t>（3）以进入比较与评价环节的最低的评审价为基准价，基准价得分为30</w:t>
            </w:r>
            <w:r>
              <w:rPr>
                <w:rFonts w:hint="eastAsia" w:hAnsi="宋体" w:cs="Courier New"/>
                <w:bCs/>
                <w:color w:val="auto"/>
                <w:u w:val="single"/>
              </w:rPr>
              <w:t>分</w:t>
            </w:r>
            <w:r>
              <w:rPr>
                <w:rFonts w:hint="eastAsia" w:hAnsi="宋体" w:cs="Courier New"/>
                <w:bCs/>
                <w:color w:val="auto"/>
              </w:rPr>
              <w:t>。</w:t>
            </w:r>
          </w:p>
          <w:p>
            <w:pPr>
              <w:pStyle w:val="24"/>
              <w:keepNext w:val="0"/>
              <w:keepLines w:val="0"/>
              <w:pageBreakBefore w:val="0"/>
              <w:kinsoku/>
              <w:wordWrap/>
              <w:overflowPunct/>
              <w:topLinePunct w:val="0"/>
              <w:autoSpaceDE/>
              <w:autoSpaceDN/>
              <w:bidi w:val="0"/>
              <w:snapToGrid w:val="0"/>
              <w:spacing w:line="312" w:lineRule="auto"/>
              <w:rPr>
                <w:rFonts w:hint="eastAsia" w:hAnsi="宋体" w:cs="Courier New"/>
                <w:bCs/>
                <w:color w:val="auto"/>
              </w:rPr>
            </w:pPr>
            <w:r>
              <w:rPr>
                <w:rFonts w:hint="eastAsia" w:hAnsi="宋体" w:cs="Courier New"/>
                <w:bCs/>
                <w:color w:val="auto"/>
              </w:rPr>
              <w:t>（4）价格分计算公式：报价得分=（基准价/最后报价）×30分</w:t>
            </w:r>
          </w:p>
          <w:p>
            <w:pPr>
              <w:pStyle w:val="24"/>
              <w:keepNext w:val="0"/>
              <w:keepLines w:val="0"/>
              <w:pageBreakBefore w:val="0"/>
              <w:kinsoku/>
              <w:wordWrap/>
              <w:overflowPunct/>
              <w:topLinePunct w:val="0"/>
              <w:autoSpaceDE/>
              <w:autoSpaceDN/>
              <w:bidi w:val="0"/>
              <w:snapToGrid w:val="0"/>
              <w:spacing w:line="312" w:lineRule="auto"/>
              <w:rPr>
                <w:rFonts w:hint="eastAsia" w:hAnsi="宋体" w:cs="Courier New"/>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46"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bCs/>
                <w:color w:val="auto"/>
                <w:kern w:val="0"/>
              </w:rPr>
              <w:t>2</w:t>
            </w:r>
          </w:p>
        </w:tc>
        <w:tc>
          <w:tcPr>
            <w:tcW w:w="1559"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bCs/>
                <w:color w:val="auto"/>
                <w:kern w:val="0"/>
              </w:rPr>
              <w:t>技术分</w:t>
            </w:r>
          </w:p>
        </w:tc>
        <w:tc>
          <w:tcPr>
            <w:tcW w:w="6463" w:type="dxa"/>
            <w:noWrap/>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cs="Tahoma"/>
                <w:color w:val="auto"/>
                <w:kern w:val="0"/>
              </w:rPr>
              <w:t>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46" w:type="dxa"/>
            <w:noWrap/>
            <w:vAlign w:val="center"/>
          </w:tcPr>
          <w:p>
            <w:pPr>
              <w:keepNext w:val="0"/>
              <w:keepLines w:val="0"/>
              <w:pageBreakBefore w:val="0"/>
              <w:kinsoku/>
              <w:wordWrap/>
              <w:overflowPunct/>
              <w:topLinePunct w:val="0"/>
              <w:autoSpaceDE/>
              <w:autoSpaceDN/>
              <w:bidi w:val="0"/>
              <w:adjustRightInd w:val="0"/>
              <w:snapToGrid w:val="0"/>
              <w:spacing w:line="312" w:lineRule="auto"/>
              <w:ind w:left="-105" w:leftChars="-50" w:right="-105" w:rightChars="-50"/>
              <w:jc w:val="center"/>
              <w:textAlignment w:val="baseline"/>
              <w:rPr>
                <w:rFonts w:ascii="宋体" w:hAnsi="宋体"/>
                <w:bCs/>
                <w:color w:val="auto"/>
                <w:kern w:val="0"/>
              </w:rPr>
            </w:pPr>
            <w:r>
              <w:rPr>
                <w:rFonts w:hint="eastAsia" w:ascii="宋体" w:hAnsi="宋体"/>
                <w:bCs/>
                <w:color w:val="auto"/>
                <w:kern w:val="0"/>
              </w:rPr>
              <w:t>2</w:t>
            </w:r>
            <w:r>
              <w:rPr>
                <w:rFonts w:ascii="宋体" w:hAnsi="宋体"/>
                <w:bCs/>
                <w:color w:val="auto"/>
                <w:kern w:val="0"/>
              </w:rPr>
              <w:t>.1</w:t>
            </w:r>
          </w:p>
        </w:tc>
        <w:tc>
          <w:tcPr>
            <w:tcW w:w="1559" w:type="dxa"/>
            <w:noWrap/>
            <w:vAlign w:val="center"/>
          </w:tcPr>
          <w:p>
            <w:pPr>
              <w:keepNext w:val="0"/>
              <w:keepLines w:val="0"/>
              <w:pageBreakBefore w:val="0"/>
              <w:kinsoku/>
              <w:wordWrap/>
              <w:overflowPunct/>
              <w:topLinePunct w:val="0"/>
              <w:autoSpaceDE/>
              <w:autoSpaceDN/>
              <w:bidi w:val="0"/>
              <w:adjustRightInd w:val="0"/>
              <w:snapToGrid w:val="0"/>
              <w:spacing w:line="312" w:lineRule="auto"/>
              <w:textAlignment w:val="baseline"/>
              <w:rPr>
                <w:rFonts w:ascii="宋体" w:hAnsi="宋体"/>
                <w:bCs/>
                <w:color w:val="auto"/>
              </w:rPr>
            </w:pPr>
            <w:r>
              <w:rPr>
                <w:rFonts w:hint="eastAsia" w:ascii="宋体" w:hAnsi="宋体"/>
                <w:bCs/>
                <w:color w:val="auto"/>
                <w:kern w:val="0"/>
              </w:rPr>
              <w:t>质量控制方案（</w:t>
            </w:r>
            <w:r>
              <w:rPr>
                <w:rFonts w:hint="eastAsia" w:ascii="宋体" w:hAnsi="宋体"/>
                <w:color w:val="auto"/>
              </w:rPr>
              <w:t>满分20分）</w:t>
            </w:r>
          </w:p>
        </w:tc>
        <w:tc>
          <w:tcPr>
            <w:tcW w:w="6463" w:type="dxa"/>
            <w:noWrap/>
            <w:vAlign w:val="center"/>
          </w:tcPr>
          <w:p>
            <w:pPr>
              <w:keepNext w:val="0"/>
              <w:keepLines w:val="0"/>
              <w:pageBreakBefore w:val="0"/>
              <w:widowControl/>
              <w:kinsoku/>
              <w:wordWrap/>
              <w:overflowPunct/>
              <w:topLinePunct w:val="0"/>
              <w:autoSpaceDE/>
              <w:autoSpaceDN/>
              <w:bidi w:val="0"/>
              <w:snapToGrid w:val="0"/>
              <w:spacing w:line="312" w:lineRule="auto"/>
              <w:jc w:val="left"/>
              <w:rPr>
                <w:color w:val="auto"/>
              </w:rPr>
            </w:pPr>
            <w:r>
              <w:rPr>
                <w:rFonts w:hint="eastAsia" w:ascii="宋体" w:hAnsi="宋体" w:cs="宋体"/>
                <w:color w:val="auto"/>
                <w:kern w:val="0"/>
              </w:rPr>
              <w:t xml:space="preserve">磋商小组成员会在打分前根据采购文件要求，对比各供应商提供的“质量控制方案（质量控制流程、质检标准、入库、出库等方案）”内容进行独立评审并打分： </w:t>
            </w:r>
          </w:p>
          <w:p>
            <w:pPr>
              <w:keepNext w:val="0"/>
              <w:keepLines w:val="0"/>
              <w:pageBreakBefore w:val="0"/>
              <w:widowControl/>
              <w:kinsoku/>
              <w:wordWrap/>
              <w:overflowPunct/>
              <w:topLinePunct w:val="0"/>
              <w:autoSpaceDE/>
              <w:autoSpaceDN/>
              <w:bidi w:val="0"/>
              <w:snapToGrid w:val="0"/>
              <w:spacing w:line="312" w:lineRule="auto"/>
              <w:jc w:val="left"/>
              <w:rPr>
                <w:rFonts w:ascii="宋体" w:hAnsi="宋体" w:cs="宋体"/>
                <w:color w:val="auto"/>
                <w:kern w:val="0"/>
              </w:rPr>
            </w:pPr>
            <w:r>
              <w:rPr>
                <w:rFonts w:hint="eastAsia" w:ascii="宋体" w:hAnsi="宋体" w:cs="宋体"/>
                <w:color w:val="auto"/>
                <w:kern w:val="0"/>
              </w:rPr>
              <w:t>一档（5分）：方案内容不够详细，可行性差，无质量控制流程及质检标准规范的。</w:t>
            </w:r>
          </w:p>
          <w:p>
            <w:pPr>
              <w:keepNext w:val="0"/>
              <w:keepLines w:val="0"/>
              <w:pageBreakBefore w:val="0"/>
              <w:widowControl/>
              <w:kinsoku/>
              <w:wordWrap/>
              <w:overflowPunct/>
              <w:topLinePunct w:val="0"/>
              <w:autoSpaceDE/>
              <w:autoSpaceDN/>
              <w:bidi w:val="0"/>
              <w:snapToGrid w:val="0"/>
              <w:spacing w:line="312" w:lineRule="auto"/>
              <w:jc w:val="left"/>
              <w:rPr>
                <w:color w:val="auto"/>
              </w:rPr>
            </w:pPr>
            <w:r>
              <w:rPr>
                <w:rFonts w:hint="eastAsia" w:ascii="宋体" w:hAnsi="宋体" w:cs="宋体"/>
                <w:color w:val="auto"/>
                <w:kern w:val="0"/>
              </w:rPr>
              <w:t>二档（10分）：质量控制流程、质检标准、入库、出库等内容齐</w:t>
            </w:r>
          </w:p>
          <w:p>
            <w:pPr>
              <w:keepNext w:val="0"/>
              <w:keepLines w:val="0"/>
              <w:pageBreakBefore w:val="0"/>
              <w:widowControl/>
              <w:kinsoku/>
              <w:wordWrap/>
              <w:overflowPunct/>
              <w:topLinePunct w:val="0"/>
              <w:autoSpaceDE/>
              <w:autoSpaceDN/>
              <w:bidi w:val="0"/>
              <w:snapToGrid w:val="0"/>
              <w:spacing w:line="312" w:lineRule="auto"/>
              <w:jc w:val="left"/>
              <w:rPr>
                <w:color w:val="auto"/>
              </w:rPr>
            </w:pPr>
            <w:r>
              <w:rPr>
                <w:rFonts w:hint="eastAsia" w:ascii="宋体" w:hAnsi="宋体" w:cs="宋体"/>
                <w:color w:val="auto"/>
                <w:kern w:val="0"/>
              </w:rPr>
              <w:t xml:space="preserve">全，基本合理的，质量控制流程及质检标准规范一般； </w:t>
            </w:r>
          </w:p>
          <w:p>
            <w:pPr>
              <w:keepNext w:val="0"/>
              <w:keepLines w:val="0"/>
              <w:pageBreakBefore w:val="0"/>
              <w:widowControl/>
              <w:kinsoku/>
              <w:wordWrap/>
              <w:overflowPunct/>
              <w:topLinePunct w:val="0"/>
              <w:autoSpaceDE/>
              <w:autoSpaceDN/>
              <w:bidi w:val="0"/>
              <w:snapToGrid w:val="0"/>
              <w:spacing w:line="312" w:lineRule="auto"/>
              <w:jc w:val="left"/>
              <w:rPr>
                <w:rFonts w:ascii="宋体" w:hAnsi="宋体" w:cs="宋体"/>
                <w:color w:val="auto"/>
                <w:kern w:val="0"/>
              </w:rPr>
            </w:pPr>
            <w:r>
              <w:rPr>
                <w:rFonts w:hint="eastAsia" w:ascii="宋体" w:hAnsi="宋体" w:cs="宋体"/>
                <w:color w:val="auto"/>
                <w:kern w:val="0"/>
              </w:rPr>
              <w:t xml:space="preserve">三档（15分）：质量控制流程、质检标准、入库、出库等内容详细、调理清晰，且措施合理、可行的，质量控制流程及质检标准严谨规范； </w:t>
            </w:r>
          </w:p>
          <w:p>
            <w:pPr>
              <w:keepNext w:val="0"/>
              <w:keepLines w:val="0"/>
              <w:pageBreakBefore w:val="0"/>
              <w:widowControl/>
              <w:kinsoku/>
              <w:wordWrap/>
              <w:overflowPunct/>
              <w:topLinePunct w:val="0"/>
              <w:autoSpaceDE/>
              <w:autoSpaceDN/>
              <w:bidi w:val="0"/>
              <w:snapToGrid w:val="0"/>
              <w:spacing w:line="312" w:lineRule="auto"/>
              <w:jc w:val="left"/>
              <w:rPr>
                <w:rFonts w:hint="eastAsia" w:ascii="宋体" w:hAnsi="宋体" w:cs="宋体"/>
                <w:color w:val="auto"/>
                <w:kern w:val="0"/>
              </w:rPr>
            </w:pPr>
            <w:r>
              <w:rPr>
                <w:rFonts w:hint="eastAsia" w:ascii="宋体" w:hAnsi="宋体" w:cs="宋体"/>
                <w:color w:val="auto"/>
                <w:kern w:val="0"/>
              </w:rPr>
              <w:t>四档（20分）：质量控制流程、质检标准、入库、出库等内容描述详细、科学，条理清晰，科学合理，可行性强，针对性强，质量控制流程及质检标准严谨规范，且具有标本室或留样室（提供标本室或留样室照片）的。</w:t>
            </w:r>
          </w:p>
          <w:p>
            <w:pPr>
              <w:pStyle w:val="33"/>
              <w:keepNext w:val="0"/>
              <w:keepLines w:val="0"/>
              <w:pageBreakBefore w:val="0"/>
              <w:kinsoku/>
              <w:wordWrap/>
              <w:overflowPunct/>
              <w:topLinePunct w:val="0"/>
              <w:autoSpaceDE/>
              <w:autoSpaceDN/>
              <w:bidi w:val="0"/>
              <w:snapToGrid w:val="0"/>
              <w:spacing w:line="312" w:lineRule="auto"/>
              <w:ind w:left="0" w:leftChars="0" w:firstLine="0" w:firstLineChars="0"/>
              <w:rPr>
                <w:color w:val="auto"/>
              </w:rPr>
            </w:pPr>
            <w:r>
              <w:rPr>
                <w:rFonts w:hint="eastAsia" w:ascii="宋体" w:hAnsi="宋体" w:eastAsia="宋体" w:cs="宋体"/>
                <w:b/>
                <w:bCs/>
                <w:color w:val="auto"/>
                <w:sz w:val="21"/>
                <w:szCs w:val="21"/>
                <w:vertAlign w:val="baseline"/>
              </w:rPr>
              <w:t>注</w:t>
            </w:r>
            <w:r>
              <w:rPr>
                <w:rFonts w:hint="eastAsia" w:ascii="宋体" w:hAnsi="宋体" w:eastAsia="宋体" w:cs="宋体"/>
                <w:b/>
                <w:bCs/>
                <w:color w:val="auto"/>
                <w:sz w:val="21"/>
                <w:szCs w:val="21"/>
                <w:vertAlign w:val="baseline"/>
                <w:lang w:eastAsia="zh-CN"/>
              </w:rPr>
              <w:t>：未提供质量控制方案或质量控制方案不符合要求的</w:t>
            </w:r>
            <w:r>
              <w:rPr>
                <w:rFonts w:hint="eastAsia" w:ascii="宋体" w:hAnsi="宋体" w:cs="宋体"/>
                <w:b/>
                <w:bCs/>
                <w:color w:val="auto"/>
                <w:sz w:val="21"/>
                <w:szCs w:val="21"/>
                <w:vertAlign w:val="baseline"/>
                <w:lang w:eastAsia="zh-CN"/>
              </w:rPr>
              <w:t>则不得分</w:t>
            </w:r>
            <w:r>
              <w:rPr>
                <w:rFonts w:hint="eastAsia" w:ascii="宋体" w:hAnsi="宋体" w:eastAsia="宋体" w:cs="宋体"/>
                <w:b/>
                <w:bCs/>
                <w:color w:val="auto"/>
                <w:sz w:val="21"/>
                <w:szCs w:val="21"/>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46" w:type="dxa"/>
            <w:noWrap/>
            <w:vAlign w:val="center"/>
          </w:tcPr>
          <w:p>
            <w:pPr>
              <w:keepNext w:val="0"/>
              <w:keepLines w:val="0"/>
              <w:pageBreakBefore w:val="0"/>
              <w:kinsoku/>
              <w:wordWrap/>
              <w:overflowPunct/>
              <w:topLinePunct w:val="0"/>
              <w:autoSpaceDE/>
              <w:autoSpaceDN/>
              <w:bidi w:val="0"/>
              <w:adjustRightInd w:val="0"/>
              <w:snapToGrid w:val="0"/>
              <w:spacing w:line="312" w:lineRule="auto"/>
              <w:ind w:left="-105" w:leftChars="-50" w:right="-105" w:rightChars="-50"/>
              <w:jc w:val="center"/>
              <w:textAlignment w:val="baseline"/>
              <w:rPr>
                <w:rFonts w:ascii="宋体" w:hAnsi="宋体"/>
                <w:bCs/>
                <w:color w:val="auto"/>
                <w:kern w:val="0"/>
              </w:rPr>
            </w:pPr>
            <w:r>
              <w:rPr>
                <w:rFonts w:hint="eastAsia" w:ascii="宋体" w:hAnsi="宋体"/>
                <w:bCs/>
                <w:color w:val="auto"/>
                <w:kern w:val="0"/>
              </w:rPr>
              <w:t>2.2</w:t>
            </w:r>
          </w:p>
        </w:tc>
        <w:tc>
          <w:tcPr>
            <w:tcW w:w="1559" w:type="dxa"/>
            <w:noWrap/>
            <w:vAlign w:val="center"/>
          </w:tcPr>
          <w:p>
            <w:pPr>
              <w:keepNext w:val="0"/>
              <w:keepLines w:val="0"/>
              <w:pageBreakBefore w:val="0"/>
              <w:kinsoku/>
              <w:wordWrap/>
              <w:overflowPunct/>
              <w:topLinePunct w:val="0"/>
              <w:autoSpaceDE/>
              <w:autoSpaceDN/>
              <w:bidi w:val="0"/>
              <w:adjustRightInd w:val="0"/>
              <w:snapToGrid w:val="0"/>
              <w:spacing w:line="312" w:lineRule="auto"/>
              <w:textAlignment w:val="baseline"/>
              <w:rPr>
                <w:rFonts w:ascii="宋体" w:hAnsi="宋体"/>
                <w:bCs/>
                <w:color w:val="auto"/>
                <w:kern w:val="0"/>
              </w:rPr>
            </w:pPr>
            <w:r>
              <w:rPr>
                <w:rFonts w:hint="eastAsia" w:ascii="宋体" w:hAnsi="宋体"/>
                <w:color w:val="auto"/>
                <w:kern w:val="0"/>
              </w:rPr>
              <w:t>服务承诺分（满分20分）</w:t>
            </w:r>
          </w:p>
        </w:tc>
        <w:tc>
          <w:tcPr>
            <w:tcW w:w="6463" w:type="dxa"/>
            <w:noWrap/>
            <w:vAlign w:val="center"/>
          </w:tcPr>
          <w:p>
            <w:pPr>
              <w:keepNext w:val="0"/>
              <w:keepLines w:val="0"/>
              <w:pageBreakBefore w:val="0"/>
              <w:kinsoku/>
              <w:wordWrap/>
              <w:overflowPunct/>
              <w:topLinePunct w:val="0"/>
              <w:autoSpaceDE/>
              <w:autoSpaceDN/>
              <w:bidi w:val="0"/>
              <w:snapToGrid w:val="0"/>
              <w:spacing w:line="312" w:lineRule="auto"/>
              <w:rPr>
                <w:rFonts w:ascii="宋体" w:hAnsi="宋体"/>
                <w:bCs/>
                <w:color w:val="auto"/>
                <w:kern w:val="0"/>
              </w:rPr>
            </w:pPr>
            <w:r>
              <w:rPr>
                <w:rFonts w:hint="eastAsia" w:ascii="宋体" w:hAnsi="宋体"/>
                <w:bCs/>
                <w:color w:val="auto"/>
                <w:kern w:val="0"/>
              </w:rPr>
              <w:t>由磋商小组成员根据供应商提供的服务承诺按以下评审标准独立打分：</w:t>
            </w:r>
          </w:p>
          <w:p>
            <w:pPr>
              <w:keepNext w:val="0"/>
              <w:keepLines w:val="0"/>
              <w:pageBreakBefore w:val="0"/>
              <w:kinsoku/>
              <w:wordWrap/>
              <w:overflowPunct/>
              <w:topLinePunct w:val="0"/>
              <w:autoSpaceDE/>
              <w:autoSpaceDN/>
              <w:bidi w:val="0"/>
              <w:snapToGrid w:val="0"/>
              <w:spacing w:line="312" w:lineRule="auto"/>
              <w:rPr>
                <w:rFonts w:ascii="宋体" w:hAnsi="宋体"/>
                <w:bCs/>
                <w:color w:val="auto"/>
                <w:kern w:val="0"/>
              </w:rPr>
            </w:pPr>
            <w:r>
              <w:rPr>
                <w:rFonts w:hint="eastAsia" w:ascii="宋体" w:hAnsi="宋体"/>
                <w:bCs/>
                <w:color w:val="auto"/>
                <w:kern w:val="0"/>
                <w:lang w:eastAsia="zh-CN"/>
              </w:rPr>
              <w:t>一</w:t>
            </w:r>
            <w:r>
              <w:rPr>
                <w:rFonts w:hint="eastAsia" w:ascii="宋体" w:hAnsi="宋体"/>
                <w:bCs/>
                <w:color w:val="auto"/>
                <w:kern w:val="0"/>
              </w:rPr>
              <w:t>档（7分）：供应商提供了服务承诺，服务承诺满足采购文件商务要求的；</w:t>
            </w:r>
          </w:p>
          <w:p>
            <w:pPr>
              <w:keepNext w:val="0"/>
              <w:keepLines w:val="0"/>
              <w:pageBreakBefore w:val="0"/>
              <w:kinsoku/>
              <w:wordWrap/>
              <w:overflowPunct/>
              <w:topLinePunct w:val="0"/>
              <w:autoSpaceDE/>
              <w:autoSpaceDN/>
              <w:bidi w:val="0"/>
              <w:snapToGrid w:val="0"/>
              <w:spacing w:line="312" w:lineRule="auto"/>
              <w:rPr>
                <w:rFonts w:ascii="宋体" w:hAnsi="宋体"/>
                <w:bCs/>
                <w:color w:val="auto"/>
                <w:kern w:val="0"/>
              </w:rPr>
            </w:pPr>
            <w:r>
              <w:rPr>
                <w:rFonts w:hint="eastAsia" w:ascii="宋体" w:hAnsi="宋体"/>
                <w:bCs/>
                <w:color w:val="auto"/>
                <w:kern w:val="0"/>
                <w:lang w:eastAsia="zh-CN"/>
              </w:rPr>
              <w:t>二</w:t>
            </w:r>
            <w:r>
              <w:rPr>
                <w:rFonts w:hint="eastAsia" w:ascii="宋体" w:hAnsi="宋体"/>
                <w:bCs/>
                <w:color w:val="auto"/>
                <w:kern w:val="0"/>
              </w:rPr>
              <w:t>档（14分）：供应商提供的服务承诺，服务承诺满足采购文件要求，有详细的配送方案，配送人员为3人，配送车辆为2辆的（响应文件中提供供应商2023年4月至2023年9月期间连续三个月为配送人员缴纳社保的证明材料及配送车辆车辆产权证明或者租赁合同，未经采购人允许，固定人员不得随意变更）；</w:t>
            </w:r>
          </w:p>
          <w:p>
            <w:pPr>
              <w:keepNext w:val="0"/>
              <w:keepLines w:val="0"/>
              <w:pageBreakBefore w:val="0"/>
              <w:kinsoku/>
              <w:wordWrap/>
              <w:overflowPunct/>
              <w:topLinePunct w:val="0"/>
              <w:autoSpaceDE/>
              <w:autoSpaceDN/>
              <w:bidi w:val="0"/>
              <w:snapToGrid w:val="0"/>
              <w:spacing w:line="312" w:lineRule="auto"/>
              <w:rPr>
                <w:rFonts w:hint="eastAsia" w:ascii="宋体" w:hAnsi="宋体"/>
                <w:bCs/>
                <w:color w:val="auto"/>
                <w:kern w:val="0"/>
              </w:rPr>
            </w:pPr>
            <w:r>
              <w:rPr>
                <w:rFonts w:hint="eastAsia" w:ascii="宋体" w:hAnsi="宋体"/>
                <w:bCs/>
                <w:color w:val="auto"/>
                <w:kern w:val="0"/>
                <w:lang w:eastAsia="zh-CN"/>
              </w:rPr>
              <w:t>三</w:t>
            </w:r>
            <w:r>
              <w:rPr>
                <w:rFonts w:hint="eastAsia" w:ascii="宋体" w:hAnsi="宋体"/>
                <w:bCs/>
                <w:color w:val="auto"/>
                <w:kern w:val="0"/>
              </w:rPr>
              <w:t>档（20分）：供应商提供的服务承诺，服务承诺满足采购文件商务要求，有详细的配送方案体现完善的配送体系，提供药品存储能力证明（提供存储设备清单、照片，仓库照片及产权或租赁证明）及应急管理措施，配送人员为4人及以上，配送车辆为2辆及以上（响应文件中提供供应商2023年4月至2023年9月期间连续三个月为配送人员缴纳社保的证明材料及配送车辆产权证明或者租赁合同，未经采购人允许，固定人员不得随意变更），且承诺中药饮片自收货之日起一年内如有质量问题的可换货并承担相应费用。</w:t>
            </w:r>
          </w:p>
          <w:p>
            <w:pPr>
              <w:pStyle w:val="33"/>
              <w:keepNext w:val="0"/>
              <w:keepLines w:val="0"/>
              <w:pageBreakBefore w:val="0"/>
              <w:kinsoku/>
              <w:wordWrap/>
              <w:overflowPunct/>
              <w:topLinePunct w:val="0"/>
              <w:autoSpaceDE/>
              <w:autoSpaceDN/>
              <w:bidi w:val="0"/>
              <w:snapToGrid w:val="0"/>
              <w:spacing w:line="312" w:lineRule="auto"/>
              <w:rPr>
                <w:color w:val="auto"/>
              </w:rPr>
            </w:pPr>
            <w:r>
              <w:rPr>
                <w:rFonts w:hint="eastAsia" w:ascii="宋体" w:hAnsi="宋体" w:eastAsia="宋体" w:cs="宋体"/>
                <w:b/>
                <w:bCs/>
                <w:color w:val="auto"/>
                <w:sz w:val="21"/>
                <w:szCs w:val="21"/>
                <w:vertAlign w:val="baseline"/>
              </w:rPr>
              <w:t>注</w:t>
            </w:r>
            <w:r>
              <w:rPr>
                <w:rFonts w:hint="eastAsia" w:ascii="宋体" w:hAnsi="宋体" w:eastAsia="宋体" w:cs="宋体"/>
                <w:b/>
                <w:bCs/>
                <w:color w:val="auto"/>
                <w:sz w:val="21"/>
                <w:szCs w:val="21"/>
                <w:vertAlign w:val="baseline"/>
                <w:lang w:eastAsia="zh-CN"/>
              </w:rPr>
              <w:t>：未提供服务承诺或服务承诺不符合要求的</w:t>
            </w:r>
            <w:r>
              <w:rPr>
                <w:rFonts w:hint="eastAsia" w:ascii="宋体" w:hAnsi="宋体" w:cs="宋体"/>
                <w:b/>
                <w:bCs/>
                <w:color w:val="auto"/>
                <w:sz w:val="21"/>
                <w:szCs w:val="21"/>
                <w:vertAlign w:val="baseline"/>
                <w:lang w:eastAsia="zh-CN"/>
              </w:rPr>
              <w:t>则不得分</w:t>
            </w:r>
            <w:r>
              <w:rPr>
                <w:rFonts w:hint="eastAsia" w:ascii="宋体" w:hAnsi="宋体" w:eastAsia="宋体" w:cs="宋体"/>
                <w:b/>
                <w:bCs/>
                <w:color w:val="auto"/>
                <w:sz w:val="21"/>
                <w:szCs w:val="21"/>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46" w:type="dxa"/>
            <w:noWrap/>
            <w:vAlign w:val="center"/>
          </w:tcPr>
          <w:p>
            <w:pPr>
              <w:keepNext w:val="0"/>
              <w:keepLines w:val="0"/>
              <w:pageBreakBefore w:val="0"/>
              <w:kinsoku/>
              <w:wordWrap/>
              <w:overflowPunct/>
              <w:topLinePunct w:val="0"/>
              <w:autoSpaceDE/>
              <w:autoSpaceDN/>
              <w:bidi w:val="0"/>
              <w:adjustRightInd w:val="0"/>
              <w:snapToGrid w:val="0"/>
              <w:spacing w:line="312" w:lineRule="auto"/>
              <w:ind w:left="-105" w:leftChars="-50" w:right="-105" w:rightChars="-50"/>
              <w:jc w:val="center"/>
              <w:textAlignment w:val="baseline"/>
              <w:rPr>
                <w:rFonts w:ascii="宋体" w:hAnsi="宋体"/>
                <w:bCs/>
                <w:color w:val="auto"/>
                <w:kern w:val="0"/>
              </w:rPr>
            </w:pPr>
            <w:r>
              <w:rPr>
                <w:rFonts w:hint="eastAsia" w:ascii="宋体" w:hAnsi="宋体"/>
                <w:bCs/>
                <w:color w:val="auto"/>
                <w:kern w:val="0"/>
              </w:rPr>
              <w:t>2.3</w:t>
            </w:r>
          </w:p>
        </w:tc>
        <w:tc>
          <w:tcPr>
            <w:tcW w:w="1559" w:type="dxa"/>
            <w:noWrap/>
            <w:vAlign w:val="center"/>
          </w:tcPr>
          <w:p>
            <w:pPr>
              <w:keepNext w:val="0"/>
              <w:keepLines w:val="0"/>
              <w:pageBreakBefore w:val="0"/>
              <w:kinsoku/>
              <w:wordWrap/>
              <w:overflowPunct/>
              <w:topLinePunct w:val="0"/>
              <w:autoSpaceDE/>
              <w:autoSpaceDN/>
              <w:bidi w:val="0"/>
              <w:adjustRightInd w:val="0"/>
              <w:snapToGrid w:val="0"/>
              <w:spacing w:line="312" w:lineRule="auto"/>
              <w:jc w:val="center"/>
              <w:textAlignment w:val="baseline"/>
              <w:rPr>
                <w:rFonts w:ascii="宋体" w:hAnsi="宋体"/>
                <w:bCs/>
                <w:color w:val="auto"/>
                <w:kern w:val="0"/>
              </w:rPr>
            </w:pPr>
            <w:r>
              <w:rPr>
                <w:rFonts w:hint="eastAsia" w:ascii="宋体" w:hAnsi="宋体"/>
                <w:bCs/>
                <w:color w:val="auto"/>
                <w:kern w:val="0"/>
              </w:rPr>
              <w:t>售后服务分（满分15分）</w:t>
            </w:r>
          </w:p>
        </w:tc>
        <w:tc>
          <w:tcPr>
            <w:tcW w:w="6463" w:type="dxa"/>
            <w:noWrap/>
            <w:vAlign w:val="center"/>
          </w:tcPr>
          <w:p>
            <w:pPr>
              <w:keepNext w:val="0"/>
              <w:keepLines w:val="0"/>
              <w:pageBreakBefore w:val="0"/>
              <w:kinsoku/>
              <w:wordWrap/>
              <w:overflowPunct/>
              <w:topLinePunct w:val="0"/>
              <w:autoSpaceDE/>
              <w:autoSpaceDN/>
              <w:bidi w:val="0"/>
              <w:snapToGrid w:val="0"/>
              <w:spacing w:line="312" w:lineRule="auto"/>
              <w:rPr>
                <w:rFonts w:ascii="宋体" w:hAnsi="宋体" w:cs="微软雅黑"/>
                <w:color w:val="auto"/>
              </w:rPr>
            </w:pPr>
            <w:r>
              <w:rPr>
                <w:rFonts w:hint="eastAsia" w:ascii="宋体" w:hAnsi="宋体"/>
                <w:bCs/>
                <w:color w:val="auto"/>
                <w:kern w:val="0"/>
              </w:rPr>
              <w:t>磋商小组成员</w:t>
            </w:r>
            <w:r>
              <w:rPr>
                <w:rFonts w:hint="eastAsia" w:ascii="宋体" w:hAnsi="宋体" w:cs="微软雅黑"/>
                <w:color w:val="auto"/>
              </w:rPr>
              <w:t>对供应商提供的售后服务方案内容（包含但不限于：退换货方案、上门服务方案、售后响应时间、问题处理周期、纠纷解决方案、其他优惠措施等）进行独立评审并打分：</w:t>
            </w:r>
          </w:p>
          <w:p>
            <w:pPr>
              <w:keepNext w:val="0"/>
              <w:keepLines w:val="0"/>
              <w:pageBreakBefore w:val="0"/>
              <w:kinsoku/>
              <w:wordWrap/>
              <w:overflowPunct/>
              <w:topLinePunct w:val="0"/>
              <w:autoSpaceDE/>
              <w:autoSpaceDN/>
              <w:bidi w:val="0"/>
              <w:snapToGrid w:val="0"/>
              <w:spacing w:line="312" w:lineRule="auto"/>
              <w:rPr>
                <w:rFonts w:ascii="宋体" w:hAnsi="宋体" w:cs="微软雅黑"/>
                <w:color w:val="auto"/>
              </w:rPr>
            </w:pPr>
            <w:r>
              <w:rPr>
                <w:rFonts w:hint="eastAsia" w:ascii="宋体" w:hAnsi="宋体" w:cs="微软雅黑"/>
                <w:color w:val="auto"/>
              </w:rPr>
              <w:t>一档（3分）：方案内容不全面、合理性一般、可行性差。</w:t>
            </w:r>
          </w:p>
          <w:p>
            <w:pPr>
              <w:keepNext w:val="0"/>
              <w:keepLines w:val="0"/>
              <w:pageBreakBefore w:val="0"/>
              <w:kinsoku/>
              <w:wordWrap/>
              <w:overflowPunct/>
              <w:topLinePunct w:val="0"/>
              <w:autoSpaceDE/>
              <w:autoSpaceDN/>
              <w:bidi w:val="0"/>
              <w:snapToGrid w:val="0"/>
              <w:spacing w:line="312" w:lineRule="auto"/>
              <w:rPr>
                <w:rFonts w:ascii="宋体" w:hAnsi="宋体" w:cs="微软雅黑"/>
                <w:color w:val="auto"/>
              </w:rPr>
            </w:pPr>
            <w:r>
              <w:rPr>
                <w:rFonts w:hint="eastAsia" w:ascii="宋体" w:hAnsi="宋体" w:cs="微软雅黑"/>
                <w:color w:val="auto"/>
              </w:rPr>
              <w:t>二档（7分）：退换货方案、上门服务方案、售后响应时间、问题处理周期、纠纷解决方案、其他优惠措施等内容齐全，基本合理的；</w:t>
            </w:r>
          </w:p>
          <w:p>
            <w:pPr>
              <w:keepNext w:val="0"/>
              <w:keepLines w:val="0"/>
              <w:pageBreakBefore w:val="0"/>
              <w:kinsoku/>
              <w:wordWrap/>
              <w:overflowPunct/>
              <w:topLinePunct w:val="0"/>
              <w:autoSpaceDE/>
              <w:autoSpaceDN/>
              <w:bidi w:val="0"/>
              <w:snapToGrid w:val="0"/>
              <w:spacing w:line="312" w:lineRule="auto"/>
              <w:rPr>
                <w:rFonts w:ascii="宋体" w:hAnsi="宋体" w:cs="微软雅黑"/>
                <w:color w:val="auto"/>
              </w:rPr>
            </w:pPr>
            <w:r>
              <w:rPr>
                <w:rFonts w:hint="eastAsia" w:ascii="宋体" w:hAnsi="宋体" w:cs="微软雅黑"/>
                <w:color w:val="auto"/>
              </w:rPr>
              <w:t>三档（10 分）：退换货方案、上门服务方案、售后响应时间、问题处理周期、纠纷解决方案、其他优惠措施等内容详细、调理清晰，且措施合理、可行的；</w:t>
            </w:r>
          </w:p>
          <w:p>
            <w:pPr>
              <w:keepNext w:val="0"/>
              <w:keepLines w:val="0"/>
              <w:pageBreakBefore w:val="0"/>
              <w:kinsoku/>
              <w:wordWrap/>
              <w:overflowPunct/>
              <w:topLinePunct w:val="0"/>
              <w:autoSpaceDE/>
              <w:autoSpaceDN/>
              <w:bidi w:val="0"/>
              <w:snapToGrid w:val="0"/>
              <w:spacing w:line="312" w:lineRule="auto"/>
              <w:rPr>
                <w:rFonts w:hint="eastAsia" w:ascii="宋体" w:hAnsi="宋体" w:cs="微软雅黑"/>
                <w:color w:val="auto"/>
              </w:rPr>
            </w:pPr>
            <w:r>
              <w:rPr>
                <w:rFonts w:hint="eastAsia" w:ascii="宋体" w:hAnsi="宋体" w:cs="微软雅黑"/>
                <w:color w:val="auto"/>
              </w:rPr>
              <w:t>四档（15分）：退换货方案、上门服务方案、售后响应时间、问题处理周期、纠纷解决方案、其他优惠措施等内容描述详细、科学，条理清晰，科学合理，可行性强，针对性强的。</w:t>
            </w:r>
          </w:p>
          <w:p>
            <w:pPr>
              <w:pStyle w:val="33"/>
              <w:keepNext w:val="0"/>
              <w:keepLines w:val="0"/>
              <w:pageBreakBefore w:val="0"/>
              <w:kinsoku/>
              <w:wordWrap/>
              <w:overflowPunct/>
              <w:topLinePunct w:val="0"/>
              <w:autoSpaceDE/>
              <w:autoSpaceDN/>
              <w:bidi w:val="0"/>
              <w:snapToGrid w:val="0"/>
              <w:spacing w:line="312" w:lineRule="auto"/>
              <w:rPr>
                <w:color w:val="auto"/>
              </w:rPr>
            </w:pPr>
            <w:r>
              <w:rPr>
                <w:rFonts w:hint="eastAsia" w:ascii="宋体" w:hAnsi="宋体" w:eastAsia="宋体" w:cs="宋体"/>
                <w:b/>
                <w:bCs/>
                <w:color w:val="auto"/>
                <w:sz w:val="21"/>
                <w:szCs w:val="21"/>
                <w:vertAlign w:val="baseline"/>
              </w:rPr>
              <w:t>注</w:t>
            </w:r>
            <w:r>
              <w:rPr>
                <w:rFonts w:hint="eastAsia" w:ascii="宋体" w:hAnsi="宋体" w:eastAsia="宋体" w:cs="宋体"/>
                <w:b/>
                <w:bCs/>
                <w:color w:val="auto"/>
                <w:sz w:val="21"/>
                <w:szCs w:val="21"/>
                <w:vertAlign w:val="baseline"/>
                <w:lang w:eastAsia="zh-CN"/>
              </w:rPr>
              <w:t>：未提供售后服务或售后服务不符合要求的</w:t>
            </w:r>
            <w:r>
              <w:rPr>
                <w:rFonts w:hint="eastAsia" w:ascii="宋体" w:hAnsi="宋体" w:cs="宋体"/>
                <w:b/>
                <w:bCs/>
                <w:color w:val="auto"/>
                <w:sz w:val="21"/>
                <w:szCs w:val="21"/>
                <w:vertAlign w:val="baseline"/>
                <w:lang w:eastAsia="zh-CN"/>
              </w:rPr>
              <w:t>则不得分</w:t>
            </w:r>
            <w:r>
              <w:rPr>
                <w:rFonts w:hint="eastAsia" w:ascii="宋体" w:hAnsi="宋体" w:eastAsia="宋体" w:cs="宋体"/>
                <w:b/>
                <w:bCs/>
                <w:color w:val="auto"/>
                <w:sz w:val="21"/>
                <w:szCs w:val="21"/>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cs="Tahoma"/>
                <w:color w:val="auto"/>
                <w:kern w:val="0"/>
              </w:rPr>
              <w:t>3</w:t>
            </w:r>
          </w:p>
        </w:tc>
        <w:tc>
          <w:tcPr>
            <w:tcW w:w="1559"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Courier New"/>
                <w:bCs/>
                <w:color w:val="auto"/>
              </w:rPr>
            </w:pPr>
            <w:r>
              <w:rPr>
                <w:rFonts w:hint="eastAsia" w:ascii="宋体" w:hAnsi="宋体" w:cs="Courier New"/>
                <w:bCs/>
                <w:color w:val="auto"/>
              </w:rPr>
              <w:t>商务分</w:t>
            </w:r>
          </w:p>
        </w:tc>
        <w:tc>
          <w:tcPr>
            <w:tcW w:w="6463"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cs="Tahoma"/>
                <w:color w:val="auto"/>
                <w:kern w:val="0"/>
              </w:rPr>
              <w:t>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ign w:val="center"/>
          </w:tcPr>
          <w:p>
            <w:pPr>
              <w:keepNext w:val="0"/>
              <w:keepLines w:val="0"/>
              <w:pageBreakBefore w:val="0"/>
              <w:kinsoku/>
              <w:wordWrap/>
              <w:overflowPunct/>
              <w:topLinePunct w:val="0"/>
              <w:autoSpaceDE/>
              <w:autoSpaceDN/>
              <w:bidi w:val="0"/>
              <w:snapToGrid w:val="0"/>
              <w:spacing w:line="312" w:lineRule="auto"/>
              <w:jc w:val="center"/>
              <w:rPr>
                <w:rFonts w:ascii="宋体" w:hAnsi="宋体" w:cs="Tahoma"/>
                <w:color w:val="auto"/>
                <w:kern w:val="0"/>
              </w:rPr>
            </w:pPr>
            <w:r>
              <w:rPr>
                <w:rFonts w:hint="eastAsia" w:ascii="宋体" w:hAnsi="宋体" w:cs="Tahoma"/>
                <w:color w:val="auto"/>
                <w:kern w:val="0"/>
              </w:rPr>
              <w:t>3</w:t>
            </w:r>
            <w:r>
              <w:rPr>
                <w:rFonts w:ascii="宋体" w:hAnsi="宋体" w:cs="Tahoma"/>
                <w:color w:val="auto"/>
                <w:kern w:val="0"/>
              </w:rPr>
              <w:t>.1</w:t>
            </w:r>
          </w:p>
        </w:tc>
        <w:tc>
          <w:tcPr>
            <w:tcW w:w="1559" w:type="dxa"/>
            <w:noWrap/>
            <w:vAlign w:val="center"/>
          </w:tcPr>
          <w:p>
            <w:pPr>
              <w:keepNext w:val="0"/>
              <w:keepLines w:val="0"/>
              <w:pageBreakBefore w:val="0"/>
              <w:kinsoku/>
              <w:wordWrap/>
              <w:overflowPunct/>
              <w:topLinePunct w:val="0"/>
              <w:autoSpaceDE/>
              <w:autoSpaceDN/>
              <w:bidi w:val="0"/>
              <w:snapToGrid w:val="0"/>
              <w:spacing w:line="312" w:lineRule="auto"/>
              <w:jc w:val="center"/>
              <w:rPr>
                <w:rFonts w:ascii="宋体" w:hAnsi="宋体"/>
                <w:color w:val="auto"/>
              </w:rPr>
            </w:pPr>
            <w:r>
              <w:rPr>
                <w:rFonts w:hint="eastAsia" w:ascii="宋体" w:hAnsi="宋体"/>
                <w:color w:val="auto"/>
              </w:rPr>
              <w:t>业绩分</w:t>
            </w:r>
            <w:r>
              <w:rPr>
                <w:rFonts w:hint="eastAsia" w:ascii="宋体" w:hAnsi="宋体"/>
                <w:bCs/>
                <w:color w:val="auto"/>
              </w:rPr>
              <w:t>（</w:t>
            </w:r>
            <w:r>
              <w:rPr>
                <w:rFonts w:hint="eastAsia" w:ascii="宋体" w:hAnsi="宋体"/>
                <w:color w:val="auto"/>
              </w:rPr>
              <w:t>满分10分</w:t>
            </w:r>
            <w:r>
              <w:rPr>
                <w:rFonts w:hint="eastAsia" w:ascii="宋体" w:hAnsi="宋体"/>
                <w:bCs/>
                <w:color w:val="auto"/>
              </w:rPr>
              <w:t>）</w:t>
            </w:r>
          </w:p>
        </w:tc>
        <w:tc>
          <w:tcPr>
            <w:tcW w:w="6463" w:type="dxa"/>
            <w:noWrap/>
          </w:tcPr>
          <w:p>
            <w:pPr>
              <w:keepNext w:val="0"/>
              <w:keepLines w:val="0"/>
              <w:pageBreakBefore w:val="0"/>
              <w:kinsoku/>
              <w:wordWrap/>
              <w:overflowPunct/>
              <w:topLinePunct w:val="0"/>
              <w:autoSpaceDE/>
              <w:autoSpaceDN/>
              <w:bidi w:val="0"/>
              <w:snapToGrid w:val="0"/>
              <w:spacing w:line="312" w:lineRule="auto"/>
              <w:rPr>
                <w:rFonts w:ascii="宋体" w:hAnsi="宋体"/>
                <w:color w:val="auto"/>
              </w:rPr>
            </w:pPr>
            <w:r>
              <w:rPr>
                <w:rFonts w:hint="eastAsia" w:ascii="宋体" w:hAnsi="宋体"/>
                <w:bCs/>
                <w:color w:val="auto"/>
                <w:kern w:val="0"/>
              </w:rPr>
              <w:t>供应商自2021年1月1日以来（以签订合同日期为准）承担过同类项目的（需提供合同复印件并加盖供应商单位公章），每个项目得2.5分，其他或没有的不得分，满分10分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ign w:val="center"/>
          </w:tcPr>
          <w:p>
            <w:pPr>
              <w:keepNext w:val="0"/>
              <w:keepLines w:val="0"/>
              <w:pageBreakBefore w:val="0"/>
              <w:widowControl/>
              <w:kinsoku/>
              <w:wordWrap/>
              <w:overflowPunct/>
              <w:topLinePunct w:val="0"/>
              <w:autoSpaceDE/>
              <w:autoSpaceDN/>
              <w:bidi w:val="0"/>
              <w:snapToGrid w:val="0"/>
              <w:spacing w:line="312" w:lineRule="auto"/>
              <w:jc w:val="center"/>
              <w:rPr>
                <w:rFonts w:ascii="宋体" w:hAnsi="宋体" w:cs="Tahoma"/>
                <w:color w:val="auto"/>
                <w:kern w:val="0"/>
              </w:rPr>
            </w:pPr>
            <w:r>
              <w:rPr>
                <w:rFonts w:ascii="宋体" w:hAnsi="宋体" w:cs="Tahoma"/>
                <w:color w:val="auto"/>
                <w:kern w:val="0"/>
              </w:rPr>
              <w:t>3.2</w:t>
            </w:r>
          </w:p>
        </w:tc>
        <w:tc>
          <w:tcPr>
            <w:tcW w:w="1559" w:type="dxa"/>
            <w:noWrap/>
            <w:vAlign w:val="center"/>
          </w:tcPr>
          <w:p>
            <w:pPr>
              <w:keepNext w:val="0"/>
              <w:keepLines w:val="0"/>
              <w:pageBreakBefore w:val="0"/>
              <w:kinsoku/>
              <w:wordWrap/>
              <w:overflowPunct/>
              <w:topLinePunct w:val="0"/>
              <w:autoSpaceDE/>
              <w:autoSpaceDN/>
              <w:bidi w:val="0"/>
              <w:snapToGrid w:val="0"/>
              <w:spacing w:line="312" w:lineRule="auto"/>
              <w:jc w:val="center"/>
              <w:rPr>
                <w:rFonts w:ascii="宋体" w:hAnsi="宋体"/>
                <w:color w:val="auto"/>
              </w:rPr>
            </w:pPr>
            <w:r>
              <w:rPr>
                <w:rFonts w:hint="eastAsia" w:ascii="宋体" w:hAnsi="宋体"/>
                <w:color w:val="auto"/>
              </w:rPr>
              <w:t>履约能力分</w:t>
            </w:r>
            <w:r>
              <w:rPr>
                <w:rFonts w:hint="eastAsia" w:ascii="宋体" w:hAnsi="宋体"/>
                <w:bCs/>
                <w:color w:val="auto"/>
              </w:rPr>
              <w:t>（</w:t>
            </w:r>
            <w:r>
              <w:rPr>
                <w:rFonts w:hint="eastAsia" w:ascii="宋体" w:hAnsi="宋体"/>
                <w:color w:val="auto"/>
              </w:rPr>
              <w:t>满分5分</w:t>
            </w:r>
            <w:r>
              <w:rPr>
                <w:rFonts w:hint="eastAsia" w:ascii="宋体" w:hAnsi="宋体"/>
                <w:bCs/>
                <w:color w:val="auto"/>
              </w:rPr>
              <w:t>）</w:t>
            </w:r>
          </w:p>
        </w:tc>
        <w:tc>
          <w:tcPr>
            <w:tcW w:w="6463" w:type="dxa"/>
            <w:noWrap/>
          </w:tcPr>
          <w:p>
            <w:pPr>
              <w:keepNext w:val="0"/>
              <w:keepLines w:val="0"/>
              <w:pageBreakBefore w:val="0"/>
              <w:kinsoku/>
              <w:wordWrap/>
              <w:overflowPunct/>
              <w:topLinePunct w:val="0"/>
              <w:autoSpaceDE/>
              <w:autoSpaceDN/>
              <w:bidi w:val="0"/>
              <w:snapToGrid w:val="0"/>
              <w:spacing w:line="312" w:lineRule="auto"/>
              <w:rPr>
                <w:rFonts w:ascii="宋体" w:hAnsi="宋体"/>
                <w:color w:val="auto"/>
              </w:rPr>
            </w:pPr>
            <w:r>
              <w:rPr>
                <w:rFonts w:hint="eastAsia" w:ascii="宋体" w:hAnsi="宋体"/>
                <w:color w:val="auto"/>
              </w:rPr>
              <w:t>供货商中药饮片经营品种齐全，配备足够库存的饮片，能够按医院的采购计划（品种、规格和数量）供货。</w:t>
            </w:r>
          </w:p>
          <w:p>
            <w:pPr>
              <w:keepNext w:val="0"/>
              <w:keepLines w:val="0"/>
              <w:pageBreakBefore w:val="0"/>
              <w:kinsoku/>
              <w:wordWrap/>
              <w:overflowPunct/>
              <w:topLinePunct w:val="0"/>
              <w:autoSpaceDE/>
              <w:autoSpaceDN/>
              <w:bidi w:val="0"/>
              <w:snapToGrid w:val="0"/>
              <w:spacing w:line="312" w:lineRule="auto"/>
              <w:rPr>
                <w:rFonts w:ascii="宋体" w:hAnsi="宋体"/>
                <w:color w:val="auto"/>
              </w:rPr>
            </w:pPr>
            <w:r>
              <w:rPr>
                <w:rFonts w:hint="eastAsia" w:ascii="宋体" w:hAnsi="宋体"/>
                <w:color w:val="auto"/>
              </w:rPr>
              <w:t>三档（5分）：货源非常充足，经营品种700种以上（含700）；</w:t>
            </w:r>
          </w:p>
          <w:p>
            <w:pPr>
              <w:keepNext w:val="0"/>
              <w:keepLines w:val="0"/>
              <w:pageBreakBefore w:val="0"/>
              <w:kinsoku/>
              <w:wordWrap/>
              <w:overflowPunct/>
              <w:topLinePunct w:val="0"/>
              <w:autoSpaceDE/>
              <w:autoSpaceDN/>
              <w:bidi w:val="0"/>
              <w:snapToGrid w:val="0"/>
              <w:spacing w:line="312" w:lineRule="auto"/>
              <w:rPr>
                <w:rFonts w:ascii="宋体" w:hAnsi="宋体"/>
                <w:color w:val="auto"/>
              </w:rPr>
            </w:pPr>
            <w:r>
              <w:rPr>
                <w:rFonts w:hint="eastAsia" w:ascii="宋体" w:hAnsi="宋体"/>
                <w:color w:val="auto"/>
              </w:rPr>
              <w:t>二档（3分）：货源较充足，经营品种500-699种；</w:t>
            </w:r>
          </w:p>
          <w:p>
            <w:pPr>
              <w:keepNext w:val="0"/>
              <w:keepLines w:val="0"/>
              <w:pageBreakBefore w:val="0"/>
              <w:kinsoku/>
              <w:wordWrap/>
              <w:overflowPunct/>
              <w:topLinePunct w:val="0"/>
              <w:autoSpaceDE/>
              <w:autoSpaceDN/>
              <w:bidi w:val="0"/>
              <w:snapToGrid w:val="0"/>
              <w:spacing w:line="312" w:lineRule="auto"/>
              <w:rPr>
                <w:rFonts w:ascii="宋体" w:hAnsi="宋体"/>
                <w:color w:val="auto"/>
              </w:rPr>
            </w:pPr>
            <w:r>
              <w:rPr>
                <w:rFonts w:hint="eastAsia" w:ascii="宋体" w:hAnsi="宋体"/>
                <w:color w:val="auto"/>
              </w:rPr>
              <w:t>一档（1分）：货源少，经营品种500种以下；</w:t>
            </w:r>
          </w:p>
          <w:p>
            <w:pPr>
              <w:pStyle w:val="33"/>
              <w:keepNext w:val="0"/>
              <w:keepLines w:val="0"/>
              <w:pageBreakBefore w:val="0"/>
              <w:kinsoku/>
              <w:wordWrap/>
              <w:overflowPunct/>
              <w:topLinePunct w:val="0"/>
              <w:autoSpaceDE/>
              <w:autoSpaceDN/>
              <w:bidi w:val="0"/>
              <w:snapToGrid w:val="0"/>
              <w:spacing w:line="312" w:lineRule="auto"/>
              <w:ind w:left="0" w:leftChars="0" w:firstLine="0" w:firstLineChars="0"/>
              <w:rPr>
                <w:color w:val="auto"/>
              </w:rPr>
            </w:pPr>
            <w:r>
              <w:rPr>
                <w:rFonts w:hint="eastAsia" w:ascii="宋体" w:hAnsi="宋体" w:eastAsia="宋体" w:cs="宋体"/>
                <w:b/>
                <w:bCs/>
                <w:color w:val="auto"/>
                <w:sz w:val="21"/>
                <w:szCs w:val="21"/>
                <w:vertAlign w:val="baseline"/>
              </w:rPr>
              <w:t>注</w:t>
            </w:r>
            <w:r>
              <w:rPr>
                <w:rFonts w:hint="eastAsia" w:ascii="宋体" w:hAnsi="宋体" w:eastAsia="宋体" w:cs="宋体"/>
                <w:b/>
                <w:bCs/>
                <w:color w:val="auto"/>
                <w:sz w:val="21"/>
                <w:szCs w:val="21"/>
                <w:vertAlign w:val="baseline"/>
                <w:lang w:eastAsia="zh-CN"/>
              </w:rPr>
              <w:t>：提供经营品种目录。未提供经营品种目录或经营品种目录不符合要求的</w:t>
            </w:r>
            <w:r>
              <w:rPr>
                <w:rFonts w:hint="eastAsia" w:ascii="宋体" w:hAnsi="宋体" w:cs="宋体"/>
                <w:b/>
                <w:bCs/>
                <w:color w:val="auto"/>
                <w:sz w:val="21"/>
                <w:szCs w:val="21"/>
                <w:vertAlign w:val="baseline"/>
                <w:lang w:eastAsia="zh-CN"/>
              </w:rPr>
              <w:t>则不得分</w:t>
            </w:r>
            <w:r>
              <w:rPr>
                <w:rFonts w:hint="eastAsia" w:ascii="宋体" w:hAnsi="宋体" w:eastAsia="宋体" w:cs="宋体"/>
                <w:b/>
                <w:bCs/>
                <w:color w:val="auto"/>
                <w:sz w:val="21"/>
                <w:szCs w:val="21"/>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868" w:type="dxa"/>
            <w:gridSpan w:val="3"/>
            <w:noWrap/>
          </w:tcPr>
          <w:p>
            <w:pPr>
              <w:pStyle w:val="24"/>
              <w:keepNext w:val="0"/>
              <w:keepLines w:val="0"/>
              <w:pageBreakBefore w:val="0"/>
              <w:kinsoku/>
              <w:wordWrap/>
              <w:overflowPunct/>
              <w:topLinePunct w:val="0"/>
              <w:autoSpaceDE/>
              <w:autoSpaceDN/>
              <w:bidi w:val="0"/>
              <w:snapToGrid w:val="0"/>
              <w:spacing w:line="312" w:lineRule="auto"/>
              <w:ind w:firstLine="420" w:firstLineChars="200"/>
              <w:rPr>
                <w:rFonts w:hAnsi="宋体" w:cs="Courier New"/>
                <w:bCs/>
                <w:color w:val="auto"/>
              </w:rPr>
            </w:pPr>
            <w:r>
              <w:rPr>
                <w:rFonts w:hint="eastAsia" w:hAnsi="宋体" w:cs="Courier New"/>
                <w:bCs/>
                <w:color w:val="auto"/>
              </w:rPr>
              <w:t>总得分＝1＋2＋3</w:t>
            </w:r>
          </w:p>
        </w:tc>
      </w:tr>
    </w:tbl>
    <w:p>
      <w:pPr>
        <w:spacing w:line="360" w:lineRule="auto"/>
        <w:ind w:firstLine="420" w:firstLineChars="200"/>
        <w:rPr>
          <w:rFonts w:ascii="宋体" w:hAnsi="宋体"/>
          <w:color w:val="auto"/>
        </w:rPr>
      </w:pPr>
      <w:r>
        <w:rPr>
          <w:rFonts w:ascii="宋体" w:hAnsi="宋体"/>
          <w:bCs/>
          <w:color w:val="auto"/>
        </w:rPr>
        <w:t>7.</w:t>
      </w:r>
      <w:r>
        <w:rPr>
          <w:rFonts w:hint="eastAsia" w:ascii="宋体" w:hAnsi="宋体"/>
          <w:bCs/>
          <w:color w:val="auto"/>
        </w:rPr>
        <w:t>由磋商小组根据综合评分情况，按照评审得分由高到低顺序推荐3名以上成交候选供应商，并编写评审报告，</w:t>
      </w:r>
      <w:r>
        <w:rPr>
          <w:rFonts w:hint="eastAsia" w:ascii="宋体" w:hAnsi="宋体" w:cs="宋体"/>
          <w:color w:val="auto"/>
        </w:rPr>
        <w:t>评审报告</w:t>
      </w:r>
      <w:r>
        <w:rPr>
          <w:rFonts w:hint="eastAsia" w:hAnsi="宋体"/>
          <w:color w:val="auto"/>
        </w:rPr>
        <w:t>向采购人、采购代理机构提交。</w:t>
      </w:r>
      <w:r>
        <w:rPr>
          <w:rFonts w:hint="eastAsia" w:ascii="宋体" w:hAnsi="宋体"/>
          <w:bCs/>
          <w:color w:val="auto"/>
        </w:rPr>
        <w:t>符合本章第</w:t>
      </w:r>
      <w:r>
        <w:rPr>
          <w:rFonts w:ascii="宋体" w:hAnsi="宋体"/>
          <w:bCs/>
          <w:color w:val="auto"/>
        </w:rPr>
        <w:t>4.3</w:t>
      </w:r>
      <w:r>
        <w:rPr>
          <w:rFonts w:hint="eastAsia" w:ascii="宋体" w:hAnsi="宋体"/>
          <w:bCs/>
          <w:color w:val="auto"/>
        </w:rPr>
        <w:t>条情形的，可以推荐</w:t>
      </w:r>
      <w:r>
        <w:rPr>
          <w:rFonts w:hint="eastAsia" w:ascii="宋体" w:hAnsi="宋体"/>
          <w:bCs/>
          <w:color w:val="auto"/>
          <w:lang w:val="en-US" w:eastAsia="zh-CN"/>
        </w:rPr>
        <w:t>2</w:t>
      </w:r>
      <w:r>
        <w:rPr>
          <w:rFonts w:hint="eastAsia" w:ascii="宋体" w:hAnsi="宋体"/>
          <w:bCs/>
          <w:color w:val="auto"/>
        </w:rPr>
        <w:t>家成交候选供应商。评审得分相同的，按照最后报价（不计算价格折扣）由低到高的顺序推荐。评审得分且最后报价（不计算价格折扣）相同的，按照技术指标优劣顺序推荐（按技术得分由高到低排序，技术得分相同的按照技术要求偏离分由高到低排序）。评审得分、最后报价（不计算价格折扣）、技术得分、技术要求偏离分均相同的，由磋商小组随机抽取推荐。</w:t>
      </w:r>
    </w:p>
    <w:p>
      <w:pPr>
        <w:spacing w:line="400" w:lineRule="exact"/>
        <w:ind w:firstLine="420" w:firstLineChars="200"/>
        <w:rPr>
          <w:rFonts w:ascii="宋体" w:hAnsi="宋体" w:cs="宋体"/>
          <w:color w:val="auto"/>
        </w:rPr>
      </w:pPr>
    </w:p>
    <w:p>
      <w:pPr>
        <w:spacing w:line="400" w:lineRule="exact"/>
        <w:ind w:firstLine="420" w:firstLineChars="200"/>
        <w:rPr>
          <w:rFonts w:ascii="宋体" w:hAnsi="宋体" w:cs="宋体"/>
          <w:color w:val="auto"/>
        </w:rPr>
      </w:pPr>
      <w:bookmarkStart w:id="182" w:name="_GoBack"/>
      <w:bookmarkEnd w:id="182"/>
    </w:p>
    <w:p>
      <w:pPr>
        <w:rPr>
          <w:color w:val="auto"/>
        </w:rPr>
      </w:pPr>
      <w:r>
        <w:rPr>
          <w:color w:val="auto"/>
        </w:rPr>
        <w:br w:type="page"/>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5"/>
        <w:jc w:val="center"/>
        <w:rPr>
          <w:color w:val="auto"/>
        </w:rPr>
      </w:pPr>
      <w:bookmarkStart w:id="75" w:name="_Toc10322"/>
      <w:bookmarkStart w:id="76" w:name="_Toc27737"/>
      <w:bookmarkStart w:id="77" w:name="_Toc74322609"/>
      <w:r>
        <w:rPr>
          <w:rFonts w:hint="eastAsia"/>
          <w:color w:val="auto"/>
        </w:rPr>
        <w:t>第五章 响应文件格式</w:t>
      </w:r>
      <w:bookmarkEnd w:id="75"/>
      <w:bookmarkEnd w:id="76"/>
      <w:bookmarkEnd w:id="77"/>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spacing w:line="240" w:lineRule="atLeast"/>
        <w:rPr>
          <w:rFonts w:ascii="宋体" w:hAnsi="宋体"/>
          <w:b/>
          <w:color w:val="auto"/>
          <w:sz w:val="32"/>
          <w:szCs w:val="32"/>
        </w:rPr>
      </w:pPr>
    </w:p>
    <w:p>
      <w:pPr>
        <w:rPr>
          <w:b/>
          <w:color w:val="auto"/>
          <w:sz w:val="32"/>
          <w:szCs w:val="32"/>
        </w:rPr>
      </w:pPr>
      <w:bookmarkStart w:id="78" w:name="_Toc71366186"/>
      <w:bookmarkStart w:id="79" w:name="_Toc31728084"/>
      <w:bookmarkStart w:id="80" w:name="_Toc44229899"/>
      <w:bookmarkStart w:id="81" w:name="_Toc35611438"/>
      <w:bookmarkStart w:id="82" w:name="_Toc31723070"/>
      <w:bookmarkStart w:id="83" w:name="_Toc35611516"/>
      <w:r>
        <w:rPr>
          <w:rFonts w:hint="eastAsia"/>
          <w:b/>
          <w:color w:val="auto"/>
          <w:sz w:val="32"/>
          <w:szCs w:val="32"/>
        </w:rPr>
        <w:t>一、资格证明文件格式</w:t>
      </w:r>
      <w:bookmarkEnd w:id="78"/>
      <w:bookmarkEnd w:id="79"/>
      <w:bookmarkEnd w:id="80"/>
      <w:bookmarkEnd w:id="81"/>
      <w:bookmarkEnd w:id="82"/>
      <w:bookmarkEnd w:id="83"/>
    </w:p>
    <w:p>
      <w:pPr>
        <w:snapToGrid w:val="0"/>
        <w:spacing w:beforeLines="50" w:after="50" w:line="360" w:lineRule="auto"/>
        <w:jc w:val="left"/>
        <w:rPr>
          <w:rFonts w:ascii="宋体" w:hAnsi="宋体"/>
          <w:b/>
          <w:color w:val="auto"/>
          <w:sz w:val="24"/>
        </w:rPr>
      </w:pPr>
      <w:r>
        <w:rPr>
          <w:rFonts w:hint="eastAsia" w:ascii="宋体" w:hAnsi="宋体"/>
          <w:b/>
          <w:color w:val="auto"/>
          <w:sz w:val="32"/>
          <w:szCs w:val="32"/>
        </w:rPr>
        <w:t>1.资格证明文件封面格式：</w:t>
      </w:r>
    </w:p>
    <w:p>
      <w:pPr>
        <w:snapToGrid w:val="0"/>
        <w:spacing w:beforeLines="50" w:after="50"/>
        <w:jc w:val="center"/>
        <w:rPr>
          <w:rFonts w:ascii="宋体" w:hAnsi="宋体"/>
          <w:color w:val="auto"/>
          <w:sz w:val="44"/>
          <w:szCs w:val="44"/>
        </w:rPr>
      </w:pPr>
    </w:p>
    <w:p>
      <w:pPr>
        <w:snapToGrid w:val="0"/>
        <w:spacing w:beforeLines="50" w:after="50"/>
        <w:jc w:val="center"/>
        <w:rPr>
          <w:rFonts w:ascii="宋体" w:hAnsi="宋体"/>
          <w:color w:val="auto"/>
          <w:sz w:val="44"/>
          <w:szCs w:val="44"/>
        </w:rPr>
      </w:pPr>
      <w:r>
        <w:rPr>
          <w:rFonts w:hint="eastAsia" w:ascii="宋体" w:hAnsi="宋体"/>
          <w:color w:val="auto"/>
          <w:sz w:val="44"/>
          <w:szCs w:val="44"/>
        </w:rPr>
        <w:t xml:space="preserve"> 响 应 文 件</w:t>
      </w:r>
    </w:p>
    <w:p>
      <w:pPr>
        <w:snapToGrid w:val="0"/>
        <w:spacing w:beforeLines="50" w:after="50"/>
        <w:rPr>
          <w:rFonts w:ascii="宋体" w:hAnsi="宋体"/>
          <w:color w:val="auto"/>
          <w:sz w:val="24"/>
          <w:szCs w:val="20"/>
        </w:rPr>
      </w:pPr>
    </w:p>
    <w:p>
      <w:pPr>
        <w:snapToGrid w:val="0"/>
        <w:spacing w:beforeLines="50" w:after="50"/>
        <w:jc w:val="center"/>
        <w:outlineLvl w:val="1"/>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资格证明文件</w:t>
      </w: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项目名称：</w:t>
      </w:r>
    </w:p>
    <w:p>
      <w:pPr>
        <w:snapToGrid w:val="0"/>
        <w:spacing w:beforeLines="50" w:after="50"/>
        <w:ind w:firstLine="720" w:firstLineChars="225"/>
        <w:rPr>
          <w:rFonts w:ascii="宋体" w:hAnsi="宋体" w:cs="仿宋_GB2312"/>
          <w:bCs/>
          <w:color w:val="auto"/>
          <w:sz w:val="32"/>
          <w:szCs w:val="32"/>
        </w:rPr>
      </w:pPr>
    </w:p>
    <w:p>
      <w:pPr>
        <w:snapToGrid w:val="0"/>
        <w:spacing w:beforeLines="50" w:after="50"/>
        <w:ind w:firstLine="720" w:firstLineChars="225"/>
        <w:rPr>
          <w:rFonts w:ascii="宋体" w:hAnsi="宋体" w:cs="仿宋_GB2312"/>
          <w:bCs/>
          <w:color w:val="auto"/>
          <w:sz w:val="32"/>
          <w:szCs w:val="32"/>
        </w:rPr>
      </w:pPr>
      <w:r>
        <w:rPr>
          <w:rFonts w:hint="eastAsia" w:ascii="宋体" w:hAnsi="宋体" w:cs="仿宋_GB2312"/>
          <w:bCs/>
          <w:color w:val="auto"/>
          <w:sz w:val="32"/>
          <w:szCs w:val="32"/>
        </w:rPr>
        <w:t>项目编号：</w:t>
      </w:r>
    </w:p>
    <w:p>
      <w:pPr>
        <w:snapToGrid w:val="0"/>
        <w:spacing w:beforeLines="50" w:after="50"/>
        <w:ind w:firstLine="720" w:firstLineChars="225"/>
        <w:rPr>
          <w:rFonts w:ascii="宋体" w:hAnsi="宋体" w:cs="仿宋_GB2312"/>
          <w:bCs/>
          <w:color w:val="auto"/>
          <w:sz w:val="32"/>
          <w:szCs w:val="32"/>
        </w:rPr>
      </w:pPr>
    </w:p>
    <w:p>
      <w:pPr>
        <w:snapToGrid w:val="0"/>
        <w:spacing w:beforeLines="50" w:after="50"/>
        <w:ind w:firstLine="720" w:firstLineChars="225"/>
        <w:rPr>
          <w:rFonts w:ascii="宋体" w:hAnsi="宋体" w:cs="仿宋_GB2312"/>
          <w:bCs/>
          <w:color w:val="auto"/>
          <w:sz w:val="32"/>
          <w:szCs w:val="32"/>
        </w:rPr>
      </w:pPr>
      <w:r>
        <w:rPr>
          <w:rFonts w:hint="eastAsia" w:ascii="宋体" w:hAnsi="宋体" w:cs="仿宋_GB2312"/>
          <w:bCs/>
          <w:color w:val="auto"/>
          <w:sz w:val="32"/>
          <w:szCs w:val="32"/>
        </w:rPr>
        <w:t>所竞分标（如有则填写，无分标时填写“无”或者留空）：</w:t>
      </w:r>
    </w:p>
    <w:p>
      <w:pPr>
        <w:snapToGrid w:val="0"/>
        <w:spacing w:beforeLines="50" w:after="50"/>
        <w:ind w:firstLine="720" w:firstLineChars="225"/>
        <w:rPr>
          <w:rFonts w:ascii="宋体" w:hAnsi="宋体" w:cs="仿宋_GB2312"/>
          <w:bCs/>
          <w:color w:val="auto"/>
          <w:sz w:val="32"/>
          <w:szCs w:val="32"/>
        </w:rPr>
      </w:pPr>
    </w:p>
    <w:p>
      <w:pPr>
        <w:pStyle w:val="10"/>
        <w:snapToGrid w:val="0"/>
        <w:spacing w:before="50" w:after="50"/>
        <w:ind w:firstLine="720" w:firstLineChars="225"/>
        <w:rPr>
          <w:rFonts w:ascii="宋体" w:hAnsi="宋体" w:cs="仿宋_GB2312"/>
          <w:bCs/>
          <w:color w:val="auto"/>
          <w:sz w:val="32"/>
          <w:szCs w:val="32"/>
        </w:rPr>
      </w:pPr>
      <w:r>
        <w:rPr>
          <w:rFonts w:hint="eastAsia" w:ascii="宋体" w:hAnsi="宋体" w:cs="仿宋_GB2312"/>
          <w:bCs/>
          <w:color w:val="auto"/>
          <w:sz w:val="32"/>
          <w:szCs w:val="32"/>
        </w:rPr>
        <w:t>供应商名称：</w:t>
      </w:r>
    </w:p>
    <w:p>
      <w:pPr>
        <w:snapToGrid w:val="0"/>
        <w:spacing w:beforeLines="50" w:after="50"/>
        <w:ind w:firstLine="640" w:firstLineChars="200"/>
        <w:rPr>
          <w:rFonts w:ascii="宋体" w:hAnsi="宋体" w:cs="仿宋_GB2312"/>
          <w:bCs/>
          <w:color w:val="auto"/>
          <w:sz w:val="32"/>
          <w:szCs w:val="32"/>
        </w:rPr>
      </w:pPr>
    </w:p>
    <w:p>
      <w:pPr>
        <w:pStyle w:val="10"/>
        <w:snapToGrid w:val="0"/>
        <w:spacing w:before="50" w:after="50"/>
        <w:ind w:firstLine="720" w:firstLineChars="225"/>
        <w:rPr>
          <w:rFonts w:ascii="宋体" w:hAnsi="宋体" w:cs="仿宋_GB2312"/>
          <w:bCs/>
          <w:color w:val="auto"/>
          <w:sz w:val="32"/>
          <w:szCs w:val="32"/>
        </w:rPr>
      </w:pPr>
    </w:p>
    <w:p>
      <w:pPr>
        <w:pStyle w:val="10"/>
        <w:snapToGrid w:val="0"/>
        <w:spacing w:before="50" w:after="50"/>
        <w:ind w:firstLine="720" w:firstLineChars="225"/>
        <w:rPr>
          <w:rFonts w:ascii="宋体" w:hAnsi="宋体" w:cs="仿宋_GB2312"/>
          <w:bCs/>
          <w:color w:val="auto"/>
          <w:sz w:val="32"/>
          <w:szCs w:val="32"/>
        </w:rPr>
      </w:pPr>
    </w:p>
    <w:p>
      <w:pPr>
        <w:pStyle w:val="10"/>
        <w:snapToGrid w:val="0"/>
        <w:spacing w:before="50" w:after="50"/>
        <w:ind w:firstLine="1280" w:firstLineChars="400"/>
        <w:rPr>
          <w:rFonts w:ascii="宋体" w:hAnsi="宋体" w:cs="仿宋_GB2312"/>
          <w:bCs/>
          <w:color w:val="auto"/>
          <w:sz w:val="32"/>
          <w:szCs w:val="32"/>
        </w:rPr>
      </w:pPr>
    </w:p>
    <w:p>
      <w:pPr>
        <w:snapToGrid w:val="0"/>
        <w:spacing w:beforeLines="50" w:after="50"/>
        <w:jc w:val="center"/>
        <w:rPr>
          <w:rFonts w:ascii="宋体" w:hAnsi="宋体" w:cs="仿宋_GB2312"/>
          <w:color w:val="auto"/>
          <w:sz w:val="32"/>
          <w:szCs w:val="32"/>
        </w:rPr>
      </w:pPr>
      <w:r>
        <w:rPr>
          <w:rFonts w:hint="eastAsia" w:ascii="宋体" w:hAnsi="宋体" w:cs="仿宋_GB2312"/>
          <w:color w:val="auto"/>
          <w:sz w:val="32"/>
          <w:szCs w:val="32"/>
        </w:rPr>
        <w:t>年    月    日</w:t>
      </w:r>
    </w:p>
    <w:p>
      <w:pPr>
        <w:snapToGrid w:val="0"/>
        <w:spacing w:beforeLines="50" w:after="50"/>
        <w:rPr>
          <w:rFonts w:ascii="宋体" w:hAnsi="宋体"/>
          <w:b/>
          <w:bCs/>
          <w:color w:val="auto"/>
          <w:sz w:val="32"/>
          <w:szCs w:val="32"/>
        </w:rPr>
      </w:pPr>
      <w:r>
        <w:rPr>
          <w:rFonts w:ascii="宋体" w:hAnsi="宋体"/>
          <w:color w:val="auto"/>
          <w:sz w:val="24"/>
        </w:rPr>
        <w:br w:type="page"/>
      </w:r>
      <w:r>
        <w:rPr>
          <w:rFonts w:hint="eastAsia" w:ascii="宋体" w:hAnsi="宋体"/>
          <w:b/>
          <w:bCs/>
          <w:color w:val="auto"/>
          <w:sz w:val="32"/>
          <w:szCs w:val="32"/>
        </w:rPr>
        <w:t>2.资格证明文件目录</w:t>
      </w:r>
    </w:p>
    <w:p>
      <w:pPr>
        <w:snapToGrid w:val="0"/>
        <w:spacing w:beforeLines="50" w:after="50" w:line="360" w:lineRule="auto"/>
        <w:ind w:firstLine="645"/>
        <w:rPr>
          <w:rFonts w:ascii="宋体" w:hAnsi="宋体"/>
          <w:color w:val="auto"/>
          <w:sz w:val="32"/>
          <w:szCs w:val="32"/>
        </w:rPr>
      </w:pPr>
      <w:r>
        <w:rPr>
          <w:rFonts w:hint="eastAsia" w:ascii="宋体" w:hAnsi="宋体"/>
          <w:color w:val="auto"/>
          <w:sz w:val="32"/>
          <w:szCs w:val="32"/>
        </w:rPr>
        <w:t>根据磋商文件规定及供应商提供的材料自行编写目录（部分格式后附）。</w:t>
      </w:r>
    </w:p>
    <w:p>
      <w:pPr>
        <w:snapToGrid w:val="0"/>
        <w:spacing w:beforeLines="50" w:after="50"/>
        <w:rPr>
          <w:rFonts w:ascii="宋体" w:hAnsi="宋体"/>
          <w:color w:val="auto"/>
          <w:sz w:val="24"/>
          <w:szCs w:val="20"/>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00" w:lineRule="auto"/>
        <w:rPr>
          <w:rFonts w:ascii="宋体" w:hAnsi="宋体"/>
          <w:color w:val="auto"/>
        </w:rPr>
      </w:pPr>
    </w:p>
    <w:p>
      <w:pPr>
        <w:spacing w:line="320" w:lineRule="exact"/>
        <w:jc w:val="left"/>
        <w:rPr>
          <w:rFonts w:ascii="宋体" w:hAnsi="宋体"/>
          <w:color w:val="auto"/>
        </w:rPr>
      </w:pPr>
      <w:r>
        <w:rPr>
          <w:rFonts w:ascii="宋体" w:hAnsi="宋体"/>
          <w:color w:val="auto"/>
        </w:rPr>
        <w:br w:type="page"/>
      </w:r>
    </w:p>
    <w:p>
      <w:pPr>
        <w:wordWrap w:val="0"/>
        <w:spacing w:beforeLines="50" w:after="50" w:line="320" w:lineRule="exact"/>
        <w:ind w:right="482" w:firstLine="210" w:firstLineChars="100"/>
        <w:contextualSpacing/>
        <w:jc w:val="center"/>
        <w:rPr>
          <w:rFonts w:ascii="宋体" w:hAnsi="宋体"/>
          <w:color w:val="auto"/>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b/>
          <w:color w:val="auto"/>
          <w:sz w:val="32"/>
          <w:szCs w:val="32"/>
        </w:rPr>
      </w:pPr>
      <w:r>
        <w:rPr>
          <w:rFonts w:hint="eastAsia" w:ascii="宋体" w:hAnsi="宋体"/>
          <w:b/>
          <w:color w:val="auto"/>
          <w:sz w:val="32"/>
          <w:szCs w:val="32"/>
        </w:rPr>
        <w:t>供应商直接控股、管理关系信息表</w:t>
      </w:r>
    </w:p>
    <w:p>
      <w:pPr>
        <w:snapToGrid w:val="0"/>
        <w:spacing w:beforeLines="50" w:after="50" w:line="360" w:lineRule="auto"/>
        <w:jc w:val="center"/>
        <w:rPr>
          <w:rFonts w:ascii="宋体" w:hAnsi="宋体"/>
          <w:b/>
          <w:color w:val="auto"/>
          <w:sz w:val="24"/>
        </w:rPr>
      </w:pPr>
    </w:p>
    <w:p>
      <w:pPr>
        <w:spacing w:line="320" w:lineRule="exact"/>
        <w:jc w:val="center"/>
        <w:rPr>
          <w:rFonts w:ascii="宋体" w:hAnsi="宋体"/>
          <w:b/>
          <w:color w:val="auto"/>
          <w:sz w:val="32"/>
          <w:szCs w:val="32"/>
        </w:rPr>
      </w:pPr>
      <w:r>
        <w:rPr>
          <w:rFonts w:hint="eastAsia" w:ascii="宋体" w:hAnsi="宋体"/>
          <w:b/>
          <w:color w:val="auto"/>
          <w:sz w:val="32"/>
          <w:szCs w:val="32"/>
        </w:rPr>
        <w:t>供应商直接控股股东信息表</w:t>
      </w:r>
    </w:p>
    <w:p>
      <w:pPr>
        <w:snapToGrid w:val="0"/>
        <w:spacing w:before="50" w:afterLines="50" w:line="360" w:lineRule="auto"/>
        <w:jc w:val="center"/>
        <w:rPr>
          <w:rFonts w:ascii="宋体" w:hAnsi="宋体"/>
          <w:b/>
          <w:color w:val="auto"/>
          <w:sz w:val="24"/>
        </w:rPr>
      </w:pPr>
    </w:p>
    <w:tbl>
      <w:tblPr>
        <w:tblStyle w:val="41"/>
        <w:tblW w:w="0" w:type="auto"/>
        <w:jc w:val="center"/>
        <w:shd w:val="clear" w:color="auto" w:fill="FBFBFB"/>
        <w:tblLayout w:type="fixed"/>
        <w:tblCellMar>
          <w:top w:w="0" w:type="dxa"/>
          <w:left w:w="0" w:type="dxa"/>
          <w:bottom w:w="0" w:type="dxa"/>
          <w:right w:w="0" w:type="dxa"/>
        </w:tblCellMar>
      </w:tblPr>
      <w:tblGrid>
        <w:gridCol w:w="880"/>
        <w:gridCol w:w="2655"/>
        <w:gridCol w:w="1455"/>
        <w:gridCol w:w="4287"/>
        <w:gridCol w:w="870"/>
      </w:tblGrid>
      <w:tr>
        <w:tblPrEx>
          <w:shd w:val="clear" w:color="auto" w:fill="FBFBFB"/>
          <w:tblCellMar>
            <w:top w:w="0" w:type="dxa"/>
            <w:left w:w="0" w:type="dxa"/>
            <w:bottom w:w="0" w:type="dxa"/>
            <w:right w:w="0" w:type="dxa"/>
          </w:tblCellMar>
        </w:tblPrEx>
        <w:trPr>
          <w:tblHeader/>
          <w:jc w:val="center"/>
        </w:trPr>
        <w:tc>
          <w:tcPr>
            <w:tcW w:w="88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序号</w:t>
            </w:r>
          </w:p>
        </w:tc>
        <w:tc>
          <w:tcPr>
            <w:tcW w:w="26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直接控股股东名称</w:t>
            </w:r>
          </w:p>
        </w:tc>
        <w:tc>
          <w:tcPr>
            <w:tcW w:w="14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出资比例</w:t>
            </w:r>
          </w:p>
        </w:tc>
        <w:tc>
          <w:tcPr>
            <w:tcW w:w="4287"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身份证号码或者统一社会信用代码</w:t>
            </w:r>
          </w:p>
        </w:tc>
        <w:tc>
          <w:tcPr>
            <w:tcW w:w="87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备注</w:t>
            </w: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1</w:t>
            </w:r>
          </w:p>
        </w:tc>
        <w:tc>
          <w:tcPr>
            <w:tcW w:w="26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4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4287"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87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2</w:t>
            </w:r>
          </w:p>
        </w:tc>
        <w:tc>
          <w:tcPr>
            <w:tcW w:w="26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4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4287"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87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3</w:t>
            </w:r>
          </w:p>
        </w:tc>
        <w:tc>
          <w:tcPr>
            <w:tcW w:w="26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4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4287"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87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r>
        <w:tblPrEx>
          <w:tblCellMar>
            <w:top w:w="0" w:type="dxa"/>
            <w:left w:w="0" w:type="dxa"/>
            <w:bottom w:w="0" w:type="dxa"/>
            <w:right w:w="0" w:type="dxa"/>
          </w:tblCellMar>
        </w:tblPrEx>
        <w:trPr>
          <w:jc w:val="center"/>
        </w:trPr>
        <w:tc>
          <w:tcPr>
            <w:tcW w:w="88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w:t>
            </w:r>
          </w:p>
        </w:tc>
        <w:tc>
          <w:tcPr>
            <w:tcW w:w="26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4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4287"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87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bl>
    <w:p>
      <w:pPr>
        <w:spacing w:line="360" w:lineRule="auto"/>
        <w:contextualSpacing/>
        <w:jc w:val="left"/>
        <w:rPr>
          <w:rFonts w:ascii="宋体" w:hAnsi="宋体" w:cs="宋体"/>
          <w:color w:val="auto"/>
          <w:sz w:val="24"/>
        </w:rPr>
      </w:pPr>
      <w:r>
        <w:rPr>
          <w:rFonts w:hint="eastAsia" w:ascii="宋体" w:hAnsi="宋体" w:cs="宋体"/>
          <w:color w:val="auto"/>
          <w:sz w:val="24"/>
        </w:rPr>
        <w:t>注：</w:t>
      </w:r>
    </w:p>
    <w:p>
      <w:pPr>
        <w:spacing w:line="360" w:lineRule="auto"/>
        <w:ind w:firstLine="480" w:firstLineChars="200"/>
        <w:contextualSpacing/>
        <w:jc w:val="left"/>
        <w:rPr>
          <w:rFonts w:ascii="宋体" w:hAnsi="宋体" w:cs="宋体"/>
          <w:color w:val="auto"/>
          <w:sz w:val="24"/>
        </w:rPr>
      </w:pPr>
      <w:r>
        <w:rPr>
          <w:rFonts w:hint="eastAsia" w:ascii="宋体" w:hAnsi="宋体" w:cs="宋体"/>
          <w:color w:val="auto"/>
          <w:sz w:val="24"/>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spacing w:line="360" w:lineRule="auto"/>
        <w:ind w:firstLine="480" w:firstLineChars="200"/>
        <w:contextualSpacing/>
        <w:jc w:val="left"/>
        <w:rPr>
          <w:rFonts w:ascii="宋体" w:hAnsi="宋体" w:cs="宋体"/>
          <w:color w:val="auto"/>
          <w:sz w:val="24"/>
        </w:rPr>
      </w:pPr>
      <w:r>
        <w:rPr>
          <w:rFonts w:hint="eastAsia" w:ascii="宋体" w:hAnsi="宋体" w:cs="宋体"/>
          <w:color w:val="auto"/>
          <w:sz w:val="24"/>
        </w:rPr>
        <w:t>2.本表所指的控股关系仅限于直接控股关系，不包括间接的控股关系。公司实际控制人与公司之间的关系不属于本表所指的直接控股关系。</w:t>
      </w:r>
    </w:p>
    <w:p>
      <w:pPr>
        <w:spacing w:line="360" w:lineRule="auto"/>
        <w:ind w:firstLine="480" w:firstLineChars="200"/>
        <w:contextualSpacing/>
        <w:jc w:val="left"/>
        <w:rPr>
          <w:rFonts w:ascii="宋体" w:hAnsi="宋体" w:cs="宋体"/>
          <w:color w:val="auto"/>
          <w:sz w:val="24"/>
        </w:rPr>
      </w:pPr>
      <w:r>
        <w:rPr>
          <w:rFonts w:hint="eastAsia" w:ascii="宋体" w:hAnsi="宋体" w:cs="宋体"/>
          <w:color w:val="auto"/>
          <w:sz w:val="24"/>
        </w:rPr>
        <w:t>3.供应商不存在直接控股股东的，</w:t>
      </w:r>
      <w:r>
        <w:rPr>
          <w:rFonts w:hint="eastAsia" w:ascii="宋体" w:hAnsi="宋体"/>
          <w:color w:val="auto"/>
          <w:sz w:val="24"/>
        </w:rPr>
        <w:t>则在“直接控股股东名称”填“无”</w:t>
      </w:r>
      <w:r>
        <w:rPr>
          <w:rFonts w:hint="eastAsia" w:ascii="宋体" w:hAnsi="宋体" w:cs="宋体"/>
          <w:color w:val="auto"/>
          <w:sz w:val="24"/>
        </w:rPr>
        <w:t>。</w:t>
      </w:r>
    </w:p>
    <w:p>
      <w:pPr>
        <w:spacing w:line="360" w:lineRule="auto"/>
        <w:ind w:firstLine="420" w:firstLineChars="200"/>
        <w:contextualSpacing/>
        <w:jc w:val="left"/>
        <w:rPr>
          <w:rFonts w:ascii="宋体" w:hAnsi="宋体" w:cs="宋体"/>
          <w:color w:val="auto"/>
        </w:rPr>
      </w:pPr>
    </w:p>
    <w:p>
      <w:pPr>
        <w:spacing w:line="360" w:lineRule="auto"/>
        <w:ind w:firstLine="560" w:firstLineChars="200"/>
        <w:contextualSpacing/>
        <w:jc w:val="left"/>
        <w:rPr>
          <w:rFonts w:ascii="宋体" w:hAnsi="宋体" w:cs="宋体"/>
          <w:color w:val="auto"/>
          <w:sz w:val="28"/>
          <w:szCs w:val="28"/>
        </w:rPr>
      </w:pPr>
    </w:p>
    <w:p>
      <w:pPr>
        <w:spacing w:line="360" w:lineRule="auto"/>
        <w:ind w:right="480"/>
        <w:contextualSpacing/>
        <w:jc w:val="center"/>
        <w:rPr>
          <w:rFonts w:ascii="宋体" w:hAnsi="宋体" w:cs="宋体"/>
          <w:color w:val="auto"/>
          <w:sz w:val="24"/>
          <w:u w:val="single"/>
        </w:rPr>
      </w:pPr>
      <w:r>
        <w:rPr>
          <w:rFonts w:hint="eastAsia" w:ascii="宋体" w:hAnsi="宋体" w:cs="宋体"/>
          <w:color w:val="auto"/>
          <w:sz w:val="24"/>
        </w:rPr>
        <w:t>法定代表人或者委托代理人</w:t>
      </w:r>
      <w:r>
        <w:rPr>
          <w:rFonts w:hint="eastAsia" w:ascii="宋体" w:hAnsi="宋体"/>
          <w:color w:val="auto"/>
          <w:sz w:val="24"/>
        </w:rPr>
        <w:t>（签字）</w:t>
      </w:r>
      <w:r>
        <w:rPr>
          <w:rFonts w:hint="eastAsia" w:ascii="宋体" w:hAnsi="宋体" w:cs="宋体"/>
          <w:color w:val="auto"/>
          <w:sz w:val="24"/>
        </w:rPr>
        <w:t>：</w:t>
      </w:r>
    </w:p>
    <w:p>
      <w:pPr>
        <w:spacing w:line="360" w:lineRule="auto"/>
        <w:ind w:right="480" w:firstLine="3000" w:firstLineChars="1250"/>
        <w:contextualSpacing/>
        <w:rPr>
          <w:rFonts w:ascii="宋体" w:hAnsi="宋体" w:cs="宋体"/>
          <w:color w:val="auto"/>
          <w:sz w:val="24"/>
          <w:u w:val="single"/>
        </w:rPr>
      </w:pPr>
      <w:r>
        <w:rPr>
          <w:rFonts w:hint="eastAsia" w:ascii="宋体" w:hAnsi="宋体" w:cs="宋体"/>
          <w:color w:val="auto"/>
          <w:sz w:val="24"/>
        </w:rPr>
        <w:t>供应商</w:t>
      </w:r>
      <w:r>
        <w:rPr>
          <w:rFonts w:hint="eastAsia" w:ascii="宋体" w:hAnsi="宋体"/>
          <w:color w:val="auto"/>
          <w:sz w:val="24"/>
        </w:rPr>
        <w:t>（盖单位公章）</w:t>
      </w:r>
      <w:r>
        <w:rPr>
          <w:rFonts w:hint="eastAsia" w:ascii="宋体" w:hAnsi="宋体" w:cs="宋体"/>
          <w:color w:val="auto"/>
          <w:sz w:val="24"/>
        </w:rPr>
        <w:t xml:space="preserve">： </w:t>
      </w:r>
    </w:p>
    <w:p>
      <w:pPr>
        <w:spacing w:line="360" w:lineRule="auto"/>
        <w:ind w:firstLine="480" w:firstLineChars="200"/>
        <w:contextualSpacing/>
        <w:jc w:val="right"/>
        <w:rPr>
          <w:rFonts w:ascii="宋体" w:hAnsi="宋体" w:cs="宋体"/>
          <w:color w:val="auto"/>
          <w:sz w:val="28"/>
          <w:szCs w:val="28"/>
        </w:rPr>
      </w:pPr>
      <w:r>
        <w:rPr>
          <w:rFonts w:hint="eastAsia" w:ascii="宋体" w:hAnsi="宋体" w:cs="宋体"/>
          <w:color w:val="auto"/>
          <w:sz w:val="24"/>
        </w:rPr>
        <w:t>年    月    日</w:t>
      </w:r>
    </w:p>
    <w:p>
      <w:pPr>
        <w:snapToGrid w:val="0"/>
        <w:jc w:val="center"/>
        <w:rPr>
          <w:rFonts w:ascii="宋体" w:hAnsi="宋体"/>
          <w:b/>
          <w:color w:val="auto"/>
          <w:sz w:val="28"/>
          <w:szCs w:val="28"/>
        </w:rPr>
      </w:pPr>
      <w:r>
        <w:rPr>
          <w:rFonts w:ascii="宋体" w:hAnsi="宋体"/>
          <w:b/>
          <w:color w:val="auto"/>
          <w:sz w:val="28"/>
          <w:szCs w:val="28"/>
        </w:rPr>
        <w:br w:type="page"/>
      </w:r>
    </w:p>
    <w:p>
      <w:pPr>
        <w:spacing w:line="320" w:lineRule="exact"/>
        <w:jc w:val="center"/>
        <w:rPr>
          <w:rFonts w:ascii="宋体" w:hAnsi="宋体"/>
          <w:b/>
          <w:color w:val="auto"/>
          <w:sz w:val="32"/>
          <w:szCs w:val="32"/>
        </w:rPr>
      </w:pPr>
      <w:r>
        <w:rPr>
          <w:rFonts w:hint="eastAsia" w:ascii="宋体" w:hAnsi="宋体"/>
          <w:b/>
          <w:color w:val="auto"/>
          <w:sz w:val="32"/>
          <w:szCs w:val="32"/>
        </w:rPr>
        <w:t>供应商直接管理关系信息表</w:t>
      </w:r>
    </w:p>
    <w:p>
      <w:pPr>
        <w:snapToGrid w:val="0"/>
        <w:spacing w:line="360" w:lineRule="auto"/>
        <w:jc w:val="center"/>
        <w:rPr>
          <w:rFonts w:ascii="宋体" w:hAnsi="宋体"/>
          <w:b/>
          <w:color w:val="auto"/>
          <w:sz w:val="24"/>
        </w:rPr>
      </w:pPr>
    </w:p>
    <w:tbl>
      <w:tblPr>
        <w:tblStyle w:val="41"/>
        <w:tblW w:w="0" w:type="auto"/>
        <w:jc w:val="center"/>
        <w:shd w:val="clear" w:color="auto" w:fill="FBFBFB"/>
        <w:tblLayout w:type="fixed"/>
        <w:tblCellMar>
          <w:top w:w="0" w:type="dxa"/>
          <w:left w:w="0" w:type="dxa"/>
          <w:bottom w:w="0" w:type="dxa"/>
          <w:right w:w="0" w:type="dxa"/>
        </w:tblCellMar>
      </w:tblPr>
      <w:tblGrid>
        <w:gridCol w:w="808"/>
        <w:gridCol w:w="3600"/>
        <w:gridCol w:w="3555"/>
        <w:gridCol w:w="1689"/>
      </w:tblGrid>
      <w:tr>
        <w:tblPrEx>
          <w:shd w:val="clear" w:color="auto" w:fill="FBFBFB"/>
          <w:tblCellMar>
            <w:top w:w="0" w:type="dxa"/>
            <w:left w:w="0" w:type="dxa"/>
            <w:bottom w:w="0" w:type="dxa"/>
            <w:right w:w="0" w:type="dxa"/>
          </w:tblCellMar>
        </w:tblPrEx>
        <w:trPr>
          <w:tblHeader/>
          <w:jc w:val="center"/>
        </w:trPr>
        <w:tc>
          <w:tcPr>
            <w:tcW w:w="808"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序号</w:t>
            </w:r>
          </w:p>
        </w:tc>
        <w:tc>
          <w:tcPr>
            <w:tcW w:w="360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直接管理关系单位名称</w:t>
            </w:r>
          </w:p>
        </w:tc>
        <w:tc>
          <w:tcPr>
            <w:tcW w:w="35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统一社会信用代码</w:t>
            </w:r>
          </w:p>
        </w:tc>
        <w:tc>
          <w:tcPr>
            <w:tcW w:w="1689"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b/>
                <w:bCs/>
                <w:color w:val="auto"/>
                <w:kern w:val="0"/>
                <w:sz w:val="24"/>
              </w:rPr>
            </w:pPr>
            <w:r>
              <w:rPr>
                <w:rFonts w:hint="eastAsia" w:ascii="宋体" w:hAnsi="宋体" w:cs="宋体"/>
                <w:b/>
                <w:bCs/>
                <w:color w:val="auto"/>
                <w:kern w:val="0"/>
                <w:sz w:val="24"/>
              </w:rPr>
              <w:t>备注</w:t>
            </w: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1</w:t>
            </w:r>
          </w:p>
        </w:tc>
        <w:tc>
          <w:tcPr>
            <w:tcW w:w="360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35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689"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2</w:t>
            </w:r>
          </w:p>
        </w:tc>
        <w:tc>
          <w:tcPr>
            <w:tcW w:w="360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35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689"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3</w:t>
            </w:r>
          </w:p>
        </w:tc>
        <w:tc>
          <w:tcPr>
            <w:tcW w:w="360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35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689"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r>
        <w:tblPrEx>
          <w:tblCellMar>
            <w:top w:w="0" w:type="dxa"/>
            <w:left w:w="0" w:type="dxa"/>
            <w:bottom w:w="0" w:type="dxa"/>
            <w:right w:w="0" w:type="dxa"/>
          </w:tblCellMar>
        </w:tblPrEx>
        <w:trPr>
          <w:jc w:val="center"/>
        </w:trPr>
        <w:tc>
          <w:tcPr>
            <w:tcW w:w="808"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r>
              <w:rPr>
                <w:rFonts w:hint="eastAsia" w:ascii="宋体" w:hAnsi="宋体" w:cs="宋体"/>
                <w:color w:val="auto"/>
                <w:kern w:val="0"/>
                <w:sz w:val="24"/>
              </w:rPr>
              <w:t>……</w:t>
            </w:r>
          </w:p>
        </w:tc>
        <w:tc>
          <w:tcPr>
            <w:tcW w:w="3600"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3555"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c>
          <w:tcPr>
            <w:tcW w:w="1689" w:type="dxa"/>
            <w:tcBorders>
              <w:top w:val="single" w:color="auto" w:sz="4" w:space="0"/>
              <w:left w:val="single" w:color="auto" w:sz="4" w:space="0"/>
              <w:bottom w:val="single" w:color="auto" w:sz="4" w:space="0"/>
              <w:right w:val="single" w:color="auto" w:sz="4" w:space="0"/>
            </w:tcBorders>
            <w:shd w:val="clear" w:color="auto" w:fill="auto"/>
            <w:noWrap/>
            <w:tcMar>
              <w:top w:w="120" w:type="dxa"/>
              <w:left w:w="120" w:type="dxa"/>
              <w:bottom w:w="120" w:type="dxa"/>
              <w:right w:w="120" w:type="dxa"/>
            </w:tcMar>
            <w:vAlign w:val="center"/>
          </w:tcPr>
          <w:p>
            <w:pPr>
              <w:widowControl/>
              <w:spacing w:line="360" w:lineRule="auto"/>
              <w:jc w:val="center"/>
              <w:rPr>
                <w:rFonts w:ascii="宋体" w:hAnsi="宋体" w:cs="宋体"/>
                <w:color w:val="auto"/>
                <w:kern w:val="0"/>
                <w:sz w:val="24"/>
              </w:rPr>
            </w:pPr>
          </w:p>
        </w:tc>
      </w:tr>
    </w:tbl>
    <w:p>
      <w:pPr>
        <w:spacing w:line="360" w:lineRule="auto"/>
        <w:contextualSpacing/>
        <w:jc w:val="left"/>
        <w:rPr>
          <w:rFonts w:ascii="宋体" w:hAnsi="宋体"/>
          <w:color w:val="auto"/>
          <w:sz w:val="24"/>
        </w:rPr>
      </w:pPr>
      <w:r>
        <w:rPr>
          <w:rFonts w:hint="eastAsia" w:ascii="宋体" w:hAnsi="宋体"/>
          <w:color w:val="auto"/>
          <w:sz w:val="24"/>
        </w:rPr>
        <w:t>注：</w:t>
      </w:r>
    </w:p>
    <w:p>
      <w:pPr>
        <w:spacing w:line="360" w:lineRule="auto"/>
        <w:ind w:firstLine="480" w:firstLineChars="200"/>
        <w:contextualSpacing/>
        <w:jc w:val="left"/>
        <w:rPr>
          <w:rFonts w:ascii="宋体" w:hAnsi="宋体"/>
          <w:color w:val="auto"/>
          <w:sz w:val="24"/>
        </w:rPr>
      </w:pPr>
      <w:r>
        <w:rPr>
          <w:rFonts w:hint="eastAsia" w:ascii="宋体" w:hAnsi="宋体"/>
          <w:color w:val="auto"/>
          <w:sz w:val="24"/>
        </w:rPr>
        <w:t>1.管理关系：是指不具有出资持股关系的其他单位之间存在的管理与被管理关系，如一些上下级关系的事业单位和团体组织。</w:t>
      </w:r>
    </w:p>
    <w:p>
      <w:pPr>
        <w:spacing w:line="360" w:lineRule="auto"/>
        <w:ind w:firstLine="480" w:firstLineChars="200"/>
        <w:contextualSpacing/>
        <w:jc w:val="left"/>
        <w:rPr>
          <w:rFonts w:ascii="宋体" w:hAnsi="宋体"/>
          <w:color w:val="auto"/>
          <w:sz w:val="24"/>
        </w:rPr>
      </w:pPr>
      <w:r>
        <w:rPr>
          <w:rFonts w:hint="eastAsia" w:ascii="宋体" w:hAnsi="宋体"/>
          <w:color w:val="auto"/>
          <w:sz w:val="24"/>
        </w:rPr>
        <w:t>2.</w:t>
      </w:r>
      <w:r>
        <w:rPr>
          <w:rFonts w:hint="eastAsia" w:ascii="宋体" w:hAnsi="宋体"/>
          <w:color w:val="auto"/>
          <w:spacing w:val="-6"/>
          <w:sz w:val="24"/>
        </w:rPr>
        <w:t>本表所指的管理关系仅限于直接管理关系，不包括间接的管理关系。</w:t>
      </w:r>
    </w:p>
    <w:p>
      <w:pPr>
        <w:spacing w:line="360" w:lineRule="auto"/>
        <w:ind w:firstLine="480" w:firstLineChars="200"/>
        <w:contextualSpacing/>
        <w:jc w:val="left"/>
        <w:rPr>
          <w:rFonts w:ascii="宋体" w:hAnsi="宋体"/>
          <w:color w:val="auto"/>
          <w:sz w:val="24"/>
        </w:rPr>
      </w:pPr>
      <w:r>
        <w:rPr>
          <w:rFonts w:hint="eastAsia" w:ascii="宋体" w:hAnsi="宋体"/>
          <w:color w:val="auto"/>
          <w:sz w:val="24"/>
        </w:rPr>
        <w:t>3.供应商不存在直接管理关系的，则在“直接管理关系单位名称”填“无”。</w:t>
      </w:r>
    </w:p>
    <w:p>
      <w:pPr>
        <w:spacing w:line="360" w:lineRule="auto"/>
        <w:contextualSpacing/>
        <w:jc w:val="left"/>
        <w:rPr>
          <w:rFonts w:ascii="宋体" w:hAnsi="宋体"/>
          <w:color w:val="auto"/>
          <w:sz w:val="28"/>
          <w:szCs w:val="28"/>
        </w:rPr>
      </w:pPr>
    </w:p>
    <w:p>
      <w:pPr>
        <w:spacing w:line="360" w:lineRule="auto"/>
        <w:contextualSpacing/>
        <w:jc w:val="left"/>
        <w:rPr>
          <w:rFonts w:ascii="宋体" w:hAnsi="宋体"/>
          <w:color w:val="auto"/>
          <w:sz w:val="28"/>
          <w:szCs w:val="28"/>
        </w:rPr>
      </w:pPr>
    </w:p>
    <w:p>
      <w:pPr>
        <w:spacing w:line="360" w:lineRule="auto"/>
        <w:contextualSpacing/>
        <w:jc w:val="left"/>
        <w:rPr>
          <w:color w:val="auto"/>
          <w:sz w:val="28"/>
          <w:szCs w:val="28"/>
        </w:rPr>
      </w:pPr>
    </w:p>
    <w:p>
      <w:pPr>
        <w:spacing w:line="360" w:lineRule="auto"/>
        <w:contextualSpacing/>
        <w:jc w:val="left"/>
        <w:rPr>
          <w:color w:val="auto"/>
          <w:sz w:val="28"/>
          <w:szCs w:val="28"/>
        </w:rPr>
      </w:pPr>
    </w:p>
    <w:p>
      <w:pPr>
        <w:spacing w:line="360" w:lineRule="auto"/>
        <w:contextualSpacing/>
        <w:jc w:val="left"/>
        <w:rPr>
          <w:color w:val="auto"/>
          <w:sz w:val="28"/>
          <w:szCs w:val="28"/>
        </w:rPr>
      </w:pPr>
    </w:p>
    <w:p>
      <w:pPr>
        <w:spacing w:line="360" w:lineRule="auto"/>
        <w:contextualSpacing/>
        <w:jc w:val="left"/>
        <w:rPr>
          <w:rFonts w:ascii="宋体" w:hAnsi="宋体"/>
          <w:color w:val="auto"/>
          <w:sz w:val="28"/>
          <w:szCs w:val="28"/>
        </w:rPr>
      </w:pPr>
    </w:p>
    <w:p>
      <w:pPr>
        <w:spacing w:line="360" w:lineRule="auto"/>
        <w:ind w:right="480"/>
        <w:contextualSpacing/>
        <w:jc w:val="center"/>
        <w:rPr>
          <w:rFonts w:ascii="宋体" w:hAnsi="宋体" w:cs="宋体"/>
          <w:color w:val="auto"/>
          <w:sz w:val="24"/>
          <w:u w:val="single"/>
        </w:rPr>
      </w:pPr>
      <w:r>
        <w:rPr>
          <w:rFonts w:hint="eastAsia" w:ascii="宋体" w:hAnsi="宋体" w:cs="宋体"/>
          <w:color w:val="auto"/>
          <w:sz w:val="24"/>
        </w:rPr>
        <w:t>法定代表人或者委托代理人</w:t>
      </w:r>
      <w:r>
        <w:rPr>
          <w:rFonts w:hint="eastAsia" w:ascii="宋体" w:hAnsi="宋体"/>
          <w:color w:val="auto"/>
          <w:sz w:val="24"/>
        </w:rPr>
        <w:t>（签字）</w:t>
      </w:r>
      <w:r>
        <w:rPr>
          <w:rFonts w:hint="eastAsia" w:ascii="宋体" w:hAnsi="宋体" w:cs="宋体"/>
          <w:color w:val="auto"/>
          <w:sz w:val="24"/>
        </w:rPr>
        <w:t>：</w:t>
      </w:r>
    </w:p>
    <w:p>
      <w:pPr>
        <w:spacing w:line="360" w:lineRule="auto"/>
        <w:ind w:right="480" w:firstLine="3000" w:firstLineChars="1250"/>
        <w:contextualSpacing/>
        <w:rPr>
          <w:rFonts w:ascii="宋体" w:hAnsi="宋体" w:cs="宋体"/>
          <w:color w:val="auto"/>
          <w:sz w:val="24"/>
          <w:u w:val="single"/>
        </w:rPr>
      </w:pPr>
      <w:r>
        <w:rPr>
          <w:rFonts w:hint="eastAsia" w:ascii="宋体" w:hAnsi="宋体" w:cs="宋体"/>
          <w:color w:val="auto"/>
          <w:sz w:val="24"/>
        </w:rPr>
        <w:t>供应商</w:t>
      </w:r>
      <w:r>
        <w:rPr>
          <w:rFonts w:hint="eastAsia" w:ascii="宋体" w:hAnsi="宋体"/>
          <w:color w:val="auto"/>
          <w:sz w:val="24"/>
        </w:rPr>
        <w:t>（盖单位公章）</w:t>
      </w:r>
      <w:r>
        <w:rPr>
          <w:rFonts w:hint="eastAsia" w:ascii="宋体" w:hAnsi="宋体" w:cs="宋体"/>
          <w:color w:val="auto"/>
          <w:sz w:val="24"/>
        </w:rPr>
        <w:t xml:space="preserve">： </w:t>
      </w:r>
    </w:p>
    <w:p>
      <w:pPr>
        <w:spacing w:line="360" w:lineRule="auto"/>
        <w:ind w:firstLine="480" w:firstLineChars="200"/>
        <w:contextualSpacing/>
        <w:jc w:val="left"/>
        <w:rPr>
          <w:rFonts w:ascii="宋体" w:hAnsi="宋体"/>
          <w:color w:val="auto"/>
          <w:sz w:val="28"/>
          <w:szCs w:val="28"/>
        </w:rPr>
      </w:pPr>
      <w:r>
        <w:rPr>
          <w:rFonts w:hint="eastAsia" w:ascii="宋体" w:hAnsi="宋体"/>
          <w:color w:val="auto"/>
          <w:sz w:val="24"/>
        </w:rPr>
        <w:t xml:space="preserve">                                        年    月    日</w:t>
      </w:r>
    </w:p>
    <w:p>
      <w:pPr>
        <w:spacing w:line="320" w:lineRule="exact"/>
        <w:jc w:val="center"/>
        <w:rPr>
          <w:rFonts w:ascii="宋体" w:hAnsi="宋体"/>
          <w:b/>
          <w:color w:val="auto"/>
          <w:sz w:val="32"/>
          <w:szCs w:val="32"/>
        </w:rPr>
      </w:pPr>
      <w:r>
        <w:rPr>
          <w:rFonts w:ascii="宋体" w:hAnsi="宋体"/>
          <w:color w:val="auto"/>
          <w:sz w:val="28"/>
          <w:szCs w:val="28"/>
        </w:rPr>
        <w:br w:type="page"/>
      </w:r>
      <w:r>
        <w:rPr>
          <w:rFonts w:hint="eastAsia" w:ascii="宋体" w:hAnsi="宋体"/>
          <w:b/>
          <w:color w:val="auto"/>
          <w:sz w:val="32"/>
          <w:szCs w:val="32"/>
        </w:rPr>
        <w:t>资格声明函</w:t>
      </w:r>
    </w:p>
    <w:p>
      <w:pPr>
        <w:spacing w:line="320" w:lineRule="exact"/>
        <w:jc w:val="center"/>
        <w:rPr>
          <w:rFonts w:ascii="宋体" w:hAnsi="宋体"/>
          <w:color w:val="auto"/>
          <w:sz w:val="24"/>
          <w:szCs w:val="20"/>
        </w:rPr>
      </w:pPr>
    </w:p>
    <w:p>
      <w:pPr>
        <w:spacing w:line="360" w:lineRule="auto"/>
        <w:contextualSpacing/>
        <w:rPr>
          <w:rFonts w:ascii="宋体" w:hAnsi="宋体" w:cs="宋体"/>
          <w:color w:val="auto"/>
          <w:sz w:val="24"/>
        </w:rPr>
      </w:pPr>
      <w:r>
        <w:rPr>
          <w:rFonts w:hint="eastAsia" w:ascii="宋体" w:hAnsi="宋体" w:cs="宋体"/>
          <w:color w:val="auto"/>
          <w:sz w:val="24"/>
        </w:rPr>
        <w:t>致：</w:t>
      </w:r>
      <w:r>
        <w:rPr>
          <w:rFonts w:hint="eastAsia" w:ascii="宋体" w:hAnsi="宋体" w:cs="宋体"/>
          <w:color w:val="auto"/>
          <w:sz w:val="24"/>
          <w:u w:val="single"/>
        </w:rPr>
        <w:t>（采购人名称）</w:t>
      </w:r>
      <w:r>
        <w:rPr>
          <w:rFonts w:hint="eastAsia" w:ascii="宋体" w:hAnsi="宋体" w:cs="宋体"/>
          <w:color w:val="auto"/>
          <w:sz w:val="24"/>
        </w:rPr>
        <w:t>：</w:t>
      </w:r>
    </w:p>
    <w:p>
      <w:pPr>
        <w:spacing w:line="360" w:lineRule="auto"/>
        <w:ind w:firstLine="480" w:firstLineChars="200"/>
        <w:contextualSpacing/>
        <w:jc w:val="left"/>
        <w:rPr>
          <w:rFonts w:ascii="宋体" w:hAnsi="宋体" w:cs="宋体"/>
          <w:color w:val="auto"/>
          <w:sz w:val="24"/>
        </w:rPr>
      </w:pPr>
      <w:r>
        <w:rPr>
          <w:rFonts w:hint="eastAsia" w:ascii="宋体" w:hAnsi="宋体" w:cs="宋体"/>
          <w:color w:val="auto"/>
          <w:sz w:val="24"/>
          <w:u w:val="single"/>
        </w:rPr>
        <w:t>（供应商名称）</w:t>
      </w:r>
      <w:r>
        <w:rPr>
          <w:rFonts w:hint="eastAsia" w:ascii="宋体" w:hAnsi="宋体" w:cs="宋体"/>
          <w:color w:val="auto"/>
          <w:sz w:val="24"/>
        </w:rPr>
        <w:t>系中华人民共和国合法供应商，经营地址。</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我方愿意参加贵方组织的</w:t>
      </w:r>
      <w:r>
        <w:rPr>
          <w:rFonts w:hint="eastAsia" w:ascii="宋体" w:hAnsi="宋体" w:cs="宋体"/>
          <w:color w:val="auto"/>
          <w:sz w:val="24"/>
          <w:u w:val="single"/>
        </w:rPr>
        <w:t>（项目名称）</w:t>
      </w:r>
      <w:r>
        <w:rPr>
          <w:rFonts w:hint="eastAsia" w:ascii="宋体" w:hAnsi="宋体" w:cs="宋体"/>
          <w:color w:val="auto"/>
          <w:sz w:val="24"/>
        </w:rPr>
        <w:t>项目的竞标，为便于贵方公正、择优地确定成交供应商及其竞标产品和服务，我方就本次竞标有关事项郑重声明如下：</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1.我方向贵方提交的所有响应文件、资料都是准确的和真实的。</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2.我方不是为本次采购项目提供整体设计、规范编制或者项目管理、监理、检测等服务的供应商。</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3.在此，我方宣布同意如下：</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（1）将按磋商文件的约定履行合同责任和义务；</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（2）已详细审查全部磋商文件，包括澄清或者更正公告（如有）；</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（3）同意提供按照贵方可能要求的与磋商有关的一切数据或者资料；</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（4）响应磋商文件规定的竞标有效期。</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4.我方承诺符合《中华人民共和国政府采购法》第二十二条规定：</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（1）具有独立承担民事责任的能力；</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（2）具有良好的商业信誉和健全的财务会计制度；</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（3）具有履行合同所必需的设备和专业技术能力；</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（4）有依法缴纳税收和社会保障资金的良好记录；</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（5）参加采购活动前三年内，在经营活动中没有重大违法记录；</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（6）法律、行政法规规定的其他条件。</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5.我方在此声明，我方在参加本项目的采购活动前三年内，在经营活动中没有重大违法记录（重大违法记录是指供应商因违法经营受到刑事处罚或者责令停产停业、吊销许可证或者执照、较大数额罚款等行政处罚），未被列入失信被执行人、重大税收违法案件当事人名单、政府采购严重违法失信行为记录名单，完全符合《中华人民共和国政府采购法》第二十二条规定的供应商资格条件，我方对此声明负全部法律责任。</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6.根据《中华人民共和国政府采购法实施条例》第五十条要求对采购合同进行公告，但政府采购合同中涉及国家秘密、商业秘密的内容除外。我方就对本次响应文件进行注明如下：（两项内容中必须选择一项）</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□我方本次响应文件</w:t>
      </w:r>
      <w:r>
        <w:rPr>
          <w:rFonts w:hint="eastAsia" w:ascii="宋体" w:hAnsi="宋体" w:cs="宋体"/>
          <w:color w:val="auto"/>
          <w:kern w:val="0"/>
          <w:sz w:val="24"/>
        </w:rPr>
        <w:t>内容中</w:t>
      </w:r>
      <w:r>
        <w:rPr>
          <w:rFonts w:hint="eastAsia" w:ascii="宋体" w:hAnsi="宋体" w:cs="宋体"/>
          <w:color w:val="auto"/>
          <w:sz w:val="24"/>
        </w:rPr>
        <w:t>未</w:t>
      </w:r>
      <w:r>
        <w:rPr>
          <w:rFonts w:hint="eastAsia" w:ascii="宋体" w:hAnsi="宋体" w:cs="宋体"/>
          <w:color w:val="auto"/>
          <w:kern w:val="0"/>
          <w:sz w:val="24"/>
        </w:rPr>
        <w:t>涉及商业秘密；</w:t>
      </w:r>
    </w:p>
    <w:p>
      <w:pPr>
        <w:spacing w:line="360" w:lineRule="auto"/>
        <w:ind w:firstLine="480" w:firstLineChars="200"/>
        <w:contextualSpacing/>
        <w:rPr>
          <w:rFonts w:ascii="宋体" w:hAnsi="宋体" w:cs="宋体"/>
          <w:color w:val="auto"/>
          <w:sz w:val="24"/>
        </w:rPr>
      </w:pPr>
      <w:r>
        <w:rPr>
          <w:rFonts w:hint="eastAsia" w:ascii="宋体" w:hAnsi="宋体" w:cs="宋体"/>
          <w:color w:val="auto"/>
          <w:sz w:val="24"/>
        </w:rPr>
        <w:t>□我方本次响应文件</w:t>
      </w:r>
      <w:r>
        <w:rPr>
          <w:rFonts w:hint="eastAsia" w:ascii="宋体" w:hAnsi="宋体" w:cs="宋体"/>
          <w:color w:val="auto"/>
          <w:kern w:val="0"/>
          <w:sz w:val="24"/>
        </w:rPr>
        <w:t>涉及商业秘密的内容有：；</w:t>
      </w:r>
    </w:p>
    <w:p>
      <w:pPr>
        <w:pStyle w:val="24"/>
        <w:spacing w:line="360" w:lineRule="auto"/>
        <w:ind w:firstLine="480" w:firstLineChars="200"/>
        <w:contextualSpacing/>
        <w:rPr>
          <w:rFonts w:hAnsi="宋体" w:cs="宋体"/>
          <w:color w:val="auto"/>
          <w:sz w:val="24"/>
          <w:szCs w:val="24"/>
          <w:u w:val="single"/>
        </w:rPr>
      </w:pPr>
      <w:r>
        <w:rPr>
          <w:rFonts w:hint="eastAsia" w:hAnsi="宋体" w:cs="宋体"/>
          <w:color w:val="auto"/>
          <w:sz w:val="24"/>
          <w:szCs w:val="24"/>
        </w:rPr>
        <w:t>7.与本磋商有关的一切正式往来信函请寄：</w:t>
      </w:r>
      <w:r>
        <w:rPr>
          <w:rFonts w:hint="eastAsia" w:hAnsi="宋体" w:cs="宋体"/>
          <w:color w:val="auto"/>
          <w:sz w:val="24"/>
          <w:szCs w:val="24"/>
          <w:lang w:val="en-US" w:eastAsia="zh-CN"/>
        </w:rPr>
        <w:t xml:space="preserve">     </w:t>
      </w:r>
      <w:r>
        <w:rPr>
          <w:rFonts w:hint="eastAsia" w:hAnsi="宋体" w:cs="宋体"/>
          <w:color w:val="auto"/>
          <w:sz w:val="24"/>
          <w:szCs w:val="24"/>
        </w:rPr>
        <w:t>邮政编号：</w:t>
      </w:r>
    </w:p>
    <w:p>
      <w:pPr>
        <w:pStyle w:val="24"/>
        <w:spacing w:line="360" w:lineRule="auto"/>
        <w:ind w:firstLine="480" w:firstLineChars="200"/>
        <w:contextualSpacing/>
        <w:rPr>
          <w:rFonts w:hAnsi="宋体" w:cs="宋体"/>
          <w:color w:val="auto"/>
          <w:sz w:val="24"/>
          <w:szCs w:val="24"/>
        </w:rPr>
      </w:pPr>
      <w:r>
        <w:rPr>
          <w:rFonts w:hint="eastAsia" w:hAnsi="宋体" w:cs="宋体"/>
          <w:color w:val="auto"/>
          <w:sz w:val="24"/>
          <w:szCs w:val="24"/>
        </w:rPr>
        <w:t>电话/传真： 电子邮箱：</w:t>
      </w:r>
    </w:p>
    <w:p>
      <w:pPr>
        <w:pStyle w:val="22"/>
        <w:tabs>
          <w:tab w:val="left" w:pos="939"/>
        </w:tabs>
        <w:spacing w:line="360" w:lineRule="auto"/>
        <w:ind w:left="141" w:leftChars="67" w:firstLine="360" w:firstLineChars="150"/>
        <w:rPr>
          <w:rFonts w:ascii="宋体" w:hAnsi="宋体" w:cs="宋体"/>
          <w:color w:val="auto"/>
          <w:sz w:val="24"/>
        </w:rPr>
      </w:pPr>
      <w:r>
        <w:rPr>
          <w:rFonts w:hint="eastAsia" w:ascii="宋体" w:hAnsi="宋体" w:cs="宋体"/>
          <w:color w:val="auto"/>
          <w:sz w:val="24"/>
        </w:rPr>
        <w:t>开户银行：  帐号：</w:t>
      </w:r>
    </w:p>
    <w:p>
      <w:pPr>
        <w:pStyle w:val="22"/>
        <w:tabs>
          <w:tab w:val="left" w:pos="939"/>
        </w:tabs>
        <w:spacing w:line="360" w:lineRule="auto"/>
        <w:ind w:left="0" w:leftChars="0" w:firstLine="480" w:firstLineChars="200"/>
        <w:rPr>
          <w:rFonts w:ascii="宋体" w:hAnsi="宋体" w:cs="宋体"/>
          <w:color w:val="auto"/>
          <w:sz w:val="24"/>
        </w:rPr>
      </w:pPr>
      <w:r>
        <w:rPr>
          <w:rFonts w:hint="eastAsia" w:ascii="宋体" w:hAnsi="宋体" w:cs="宋体"/>
          <w:color w:val="auto"/>
          <w:sz w:val="24"/>
        </w:rPr>
        <w:t>8.以上事项如有虚假或者隐瞒，我方愿意承担一切后果，并不再寻求任何旨在减轻或者免除法律责任的辩解。</w:t>
      </w:r>
    </w:p>
    <w:p>
      <w:pPr>
        <w:pStyle w:val="22"/>
        <w:tabs>
          <w:tab w:val="left" w:pos="939"/>
        </w:tabs>
        <w:spacing w:line="360" w:lineRule="auto"/>
        <w:ind w:left="141" w:leftChars="67" w:firstLine="360" w:firstLineChars="150"/>
        <w:rPr>
          <w:rFonts w:ascii="宋体" w:hAnsi="宋体" w:cs="宋体"/>
          <w:color w:val="auto"/>
          <w:sz w:val="24"/>
        </w:rPr>
      </w:pPr>
      <w:r>
        <w:rPr>
          <w:rFonts w:hint="eastAsia" w:ascii="宋体" w:hAnsi="宋体" w:cs="宋体"/>
          <w:color w:val="auto"/>
          <w:sz w:val="24"/>
        </w:rPr>
        <w:t>特此承诺。</w:t>
      </w:r>
    </w:p>
    <w:p>
      <w:pPr>
        <w:spacing w:line="360" w:lineRule="auto"/>
        <w:contextualSpacing/>
        <w:jc w:val="left"/>
        <w:rPr>
          <w:rFonts w:ascii="宋体" w:hAnsi="宋体" w:cs="宋体"/>
          <w:color w:val="auto"/>
        </w:rPr>
      </w:pPr>
    </w:p>
    <w:p>
      <w:pPr>
        <w:spacing w:line="360" w:lineRule="auto"/>
        <w:ind w:right="480"/>
        <w:contextualSpacing/>
        <w:jc w:val="center"/>
        <w:rPr>
          <w:rFonts w:ascii="宋体" w:hAnsi="宋体" w:cs="宋体"/>
          <w:color w:val="auto"/>
          <w:sz w:val="24"/>
          <w:u w:val="single"/>
        </w:rPr>
      </w:pPr>
      <w:r>
        <w:rPr>
          <w:rFonts w:hint="eastAsia" w:ascii="宋体" w:hAnsi="宋体" w:cs="宋体"/>
          <w:color w:val="auto"/>
          <w:sz w:val="24"/>
        </w:rPr>
        <w:t>法定代表人或者委托代理人</w:t>
      </w:r>
      <w:r>
        <w:rPr>
          <w:rFonts w:hint="eastAsia" w:ascii="宋体" w:hAnsi="宋体"/>
          <w:color w:val="auto"/>
          <w:sz w:val="24"/>
        </w:rPr>
        <w:t>（签字）</w:t>
      </w:r>
      <w:r>
        <w:rPr>
          <w:rFonts w:hint="eastAsia" w:ascii="宋体" w:hAnsi="宋体" w:cs="宋体"/>
          <w:color w:val="auto"/>
          <w:sz w:val="24"/>
        </w:rPr>
        <w:t>：</w:t>
      </w:r>
    </w:p>
    <w:p>
      <w:pPr>
        <w:spacing w:line="360" w:lineRule="auto"/>
        <w:ind w:right="480" w:firstLine="3000" w:firstLineChars="1250"/>
        <w:contextualSpacing/>
        <w:rPr>
          <w:rFonts w:ascii="宋体" w:hAnsi="宋体" w:cs="宋体"/>
          <w:color w:val="auto"/>
          <w:sz w:val="24"/>
          <w:u w:val="single"/>
        </w:rPr>
      </w:pPr>
      <w:r>
        <w:rPr>
          <w:rFonts w:hint="eastAsia" w:ascii="宋体" w:hAnsi="宋体" w:cs="宋体"/>
          <w:color w:val="auto"/>
          <w:sz w:val="24"/>
        </w:rPr>
        <w:t>供应商</w:t>
      </w:r>
      <w:r>
        <w:rPr>
          <w:rFonts w:hint="eastAsia" w:ascii="宋体" w:hAnsi="宋体"/>
          <w:color w:val="auto"/>
          <w:sz w:val="24"/>
        </w:rPr>
        <w:t>（盖单位公章）</w:t>
      </w:r>
      <w:r>
        <w:rPr>
          <w:rFonts w:hint="eastAsia" w:ascii="宋体" w:hAnsi="宋体" w:cs="宋体"/>
          <w:color w:val="auto"/>
          <w:sz w:val="24"/>
        </w:rPr>
        <w:t xml:space="preserve">： </w:t>
      </w:r>
    </w:p>
    <w:p>
      <w:pPr>
        <w:pStyle w:val="22"/>
        <w:tabs>
          <w:tab w:val="left" w:pos="939"/>
        </w:tabs>
        <w:spacing w:line="360" w:lineRule="auto"/>
        <w:ind w:left="0" w:leftChars="0" w:firstLine="4830" w:firstLineChars="2300"/>
        <w:rPr>
          <w:color w:val="auto"/>
          <w:sz w:val="24"/>
        </w:rPr>
      </w:pPr>
      <w:r>
        <w:rPr>
          <w:rFonts w:hint="eastAsia"/>
          <w:color w:val="auto"/>
        </w:rPr>
        <w:t xml:space="preserve"> 年    月    日</w:t>
      </w:r>
    </w:p>
    <w:p>
      <w:pPr>
        <w:spacing w:line="360" w:lineRule="auto"/>
        <w:ind w:right="480" w:firstLine="240" w:firstLineChars="100"/>
        <w:contextualSpacing/>
        <w:jc w:val="center"/>
        <w:rPr>
          <w:rFonts w:ascii="仿宋_GB2312" w:hAnsi="仿宋_GB2312" w:eastAsia="仿宋_GB2312" w:cs="仿宋_GB2312"/>
          <w:color w:val="auto"/>
          <w:sz w:val="32"/>
          <w:szCs w:val="32"/>
        </w:rPr>
      </w:pPr>
      <w:r>
        <w:rPr>
          <w:rFonts w:hint="eastAsia"/>
          <w:color w:val="auto"/>
          <w:sz w:val="24"/>
        </w:rPr>
        <w:br w:type="page"/>
      </w:r>
    </w:p>
    <w:p>
      <w:pPr>
        <w:spacing w:line="360" w:lineRule="auto"/>
        <w:ind w:right="420"/>
        <w:contextualSpacing/>
        <w:jc w:val="left"/>
        <w:rPr>
          <w:rFonts w:ascii="宋体" w:hAnsi="宋体"/>
          <w:b/>
          <w:color w:val="auto"/>
          <w:sz w:val="32"/>
          <w:szCs w:val="32"/>
        </w:rPr>
      </w:pPr>
      <w:r>
        <w:rPr>
          <w:rFonts w:hint="eastAsia" w:ascii="宋体" w:hAnsi="宋体"/>
          <w:b/>
          <w:bCs/>
          <w:color w:val="auto"/>
          <w:sz w:val="32"/>
          <w:szCs w:val="32"/>
        </w:rPr>
        <w:t>二、</w:t>
      </w:r>
      <w:r>
        <w:rPr>
          <w:rFonts w:hint="eastAsia" w:ascii="宋体" w:hAnsi="宋体"/>
          <w:b/>
          <w:color w:val="auto"/>
          <w:sz w:val="32"/>
          <w:szCs w:val="32"/>
        </w:rPr>
        <w:t xml:space="preserve">报价文件格式 </w:t>
      </w:r>
    </w:p>
    <w:p>
      <w:pPr>
        <w:snapToGrid w:val="0"/>
        <w:spacing w:beforeLines="50" w:after="50" w:line="360" w:lineRule="auto"/>
        <w:jc w:val="left"/>
        <w:rPr>
          <w:rFonts w:ascii="宋体" w:hAnsi="宋体"/>
          <w:b/>
          <w:color w:val="auto"/>
          <w:sz w:val="32"/>
          <w:szCs w:val="32"/>
        </w:rPr>
      </w:pPr>
      <w:r>
        <w:rPr>
          <w:rFonts w:hint="eastAsia" w:ascii="宋体" w:hAnsi="宋体"/>
          <w:b/>
          <w:color w:val="auto"/>
          <w:sz w:val="32"/>
          <w:szCs w:val="32"/>
        </w:rPr>
        <w:t>1.报价文件封面格式</w:t>
      </w:r>
    </w:p>
    <w:p>
      <w:pPr>
        <w:snapToGrid w:val="0"/>
        <w:spacing w:beforeLines="50" w:after="50"/>
        <w:rPr>
          <w:rFonts w:ascii="宋体" w:hAnsi="宋体"/>
          <w:bCs/>
          <w:color w:val="auto"/>
          <w:sz w:val="32"/>
          <w:szCs w:val="20"/>
        </w:rPr>
      </w:pPr>
    </w:p>
    <w:p>
      <w:pPr>
        <w:snapToGrid w:val="0"/>
        <w:spacing w:beforeLines="50" w:after="50"/>
        <w:jc w:val="center"/>
        <w:rPr>
          <w:rFonts w:ascii="宋体" w:hAnsi="宋体"/>
          <w:color w:val="auto"/>
          <w:sz w:val="24"/>
          <w:szCs w:val="20"/>
        </w:rPr>
      </w:pPr>
      <w:r>
        <w:rPr>
          <w:rFonts w:hint="eastAsia" w:ascii="宋体" w:hAnsi="宋体"/>
          <w:color w:val="auto"/>
          <w:sz w:val="44"/>
          <w:szCs w:val="44"/>
        </w:rPr>
        <w:t>响 应 文 件</w:t>
      </w:r>
    </w:p>
    <w:p>
      <w:pPr>
        <w:snapToGrid w:val="0"/>
        <w:spacing w:beforeLines="50" w:after="50"/>
        <w:rPr>
          <w:rFonts w:ascii="宋体" w:hAnsi="宋体"/>
          <w:color w:val="auto"/>
          <w:sz w:val="24"/>
          <w:szCs w:val="20"/>
        </w:rPr>
      </w:pPr>
    </w:p>
    <w:p>
      <w:pPr>
        <w:snapToGrid w:val="0"/>
        <w:spacing w:beforeLines="50" w:after="50"/>
        <w:rPr>
          <w:rFonts w:ascii="宋体" w:hAnsi="宋体"/>
          <w:color w:val="auto"/>
          <w:sz w:val="24"/>
          <w:szCs w:val="20"/>
        </w:rPr>
      </w:pPr>
    </w:p>
    <w:p>
      <w:pPr>
        <w:snapToGrid w:val="0"/>
        <w:spacing w:beforeLines="50" w:after="50"/>
        <w:jc w:val="center"/>
        <w:outlineLvl w:val="1"/>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报价文件</w:t>
      </w: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项目名称：</w:t>
      </w:r>
    </w:p>
    <w:p>
      <w:pPr>
        <w:snapToGrid w:val="0"/>
        <w:spacing w:beforeLines="50" w:after="50"/>
        <w:ind w:firstLine="720" w:firstLineChars="225"/>
        <w:rPr>
          <w:rFonts w:ascii="宋体" w:hAnsi="宋体" w:cs="仿宋_GB2312"/>
          <w:bCs/>
          <w:color w:val="auto"/>
          <w:sz w:val="32"/>
          <w:szCs w:val="32"/>
        </w:rPr>
      </w:pPr>
    </w:p>
    <w:p>
      <w:pPr>
        <w:snapToGrid w:val="0"/>
        <w:spacing w:beforeLines="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项目编号：</w:t>
      </w:r>
    </w:p>
    <w:p>
      <w:pPr>
        <w:snapToGrid w:val="0"/>
        <w:spacing w:beforeLines="50" w:after="50"/>
        <w:ind w:firstLine="720" w:firstLineChars="225"/>
        <w:rPr>
          <w:rFonts w:ascii="宋体" w:hAnsi="宋体" w:cs="仿宋_GB2312"/>
          <w:bCs/>
          <w:color w:val="auto"/>
          <w:sz w:val="32"/>
          <w:szCs w:val="32"/>
        </w:rPr>
      </w:pPr>
    </w:p>
    <w:p>
      <w:pPr>
        <w:snapToGrid w:val="0"/>
        <w:spacing w:beforeLines="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所竞分标（如有则填写，无分标时填写“无”或者留空）：</w:t>
      </w:r>
    </w:p>
    <w:p>
      <w:pPr>
        <w:snapToGrid w:val="0"/>
        <w:spacing w:beforeLines="50" w:after="50"/>
        <w:ind w:firstLine="720" w:firstLineChars="225"/>
        <w:rPr>
          <w:rFonts w:ascii="宋体" w:hAnsi="宋体" w:cs="仿宋_GB2312"/>
          <w:bCs/>
          <w:color w:val="auto"/>
          <w:sz w:val="32"/>
          <w:szCs w:val="32"/>
        </w:rPr>
      </w:pPr>
    </w:p>
    <w:p>
      <w:pPr>
        <w:pStyle w:val="10"/>
        <w:snapToGrid w:val="0"/>
        <w:spacing w:before="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供应商名称：</w:t>
      </w:r>
    </w:p>
    <w:p>
      <w:pPr>
        <w:pStyle w:val="10"/>
        <w:snapToGrid w:val="0"/>
        <w:spacing w:before="50" w:after="50"/>
        <w:ind w:firstLine="640" w:firstLineChars="200"/>
        <w:rPr>
          <w:rFonts w:ascii="宋体" w:hAnsi="宋体" w:cs="仿宋_GB2312"/>
          <w:bCs/>
          <w:color w:val="auto"/>
          <w:sz w:val="32"/>
          <w:szCs w:val="32"/>
        </w:rPr>
      </w:pPr>
    </w:p>
    <w:p>
      <w:pPr>
        <w:pStyle w:val="10"/>
        <w:snapToGrid w:val="0"/>
        <w:spacing w:before="50" w:after="50"/>
        <w:ind w:firstLine="720" w:firstLineChars="225"/>
        <w:rPr>
          <w:rFonts w:ascii="宋体" w:hAnsi="宋体" w:cs="仿宋_GB2312"/>
          <w:bCs/>
          <w:color w:val="auto"/>
          <w:sz w:val="32"/>
          <w:szCs w:val="32"/>
        </w:rPr>
      </w:pPr>
    </w:p>
    <w:p>
      <w:pPr>
        <w:pStyle w:val="10"/>
        <w:snapToGrid w:val="0"/>
        <w:spacing w:before="50" w:after="50"/>
        <w:ind w:firstLine="0"/>
        <w:rPr>
          <w:rFonts w:ascii="宋体" w:hAnsi="宋体" w:cs="仿宋_GB2312"/>
          <w:bCs/>
          <w:color w:val="auto"/>
          <w:sz w:val="32"/>
          <w:szCs w:val="32"/>
        </w:rPr>
      </w:pPr>
    </w:p>
    <w:p>
      <w:pPr>
        <w:pStyle w:val="10"/>
        <w:snapToGrid w:val="0"/>
        <w:spacing w:before="50" w:after="50"/>
        <w:ind w:firstLine="1280" w:firstLineChars="400"/>
        <w:rPr>
          <w:rFonts w:ascii="宋体" w:hAnsi="宋体" w:cs="仿宋_GB2312"/>
          <w:bCs/>
          <w:color w:val="auto"/>
          <w:sz w:val="32"/>
          <w:szCs w:val="32"/>
        </w:rPr>
      </w:pPr>
    </w:p>
    <w:p>
      <w:pPr>
        <w:snapToGrid w:val="0"/>
        <w:spacing w:beforeLines="50" w:after="50"/>
        <w:jc w:val="center"/>
        <w:rPr>
          <w:rFonts w:ascii="宋体" w:hAnsi="宋体" w:cs="仿宋_GB2312"/>
          <w:color w:val="auto"/>
          <w:sz w:val="32"/>
          <w:szCs w:val="32"/>
        </w:rPr>
      </w:pPr>
      <w:r>
        <w:rPr>
          <w:rFonts w:hint="eastAsia" w:ascii="宋体" w:hAnsi="宋体" w:cs="仿宋_GB2312"/>
          <w:color w:val="auto"/>
          <w:sz w:val="32"/>
          <w:szCs w:val="32"/>
        </w:rPr>
        <w:t>年    月    日</w:t>
      </w:r>
    </w:p>
    <w:p>
      <w:pPr>
        <w:snapToGrid w:val="0"/>
        <w:spacing w:beforeLines="50" w:after="50" w:line="360" w:lineRule="auto"/>
        <w:ind w:left="142"/>
        <w:jc w:val="left"/>
        <w:rPr>
          <w:rFonts w:ascii="宋体" w:hAnsi="宋体"/>
          <w:b/>
          <w:bCs/>
          <w:color w:val="auto"/>
          <w:sz w:val="24"/>
        </w:rPr>
      </w:pPr>
      <w:r>
        <w:rPr>
          <w:rFonts w:hint="eastAsia" w:ascii="宋体" w:hAnsi="宋体"/>
          <w:color w:val="auto"/>
        </w:rPr>
        <w:br w:type="page"/>
      </w:r>
      <w:r>
        <w:rPr>
          <w:rFonts w:hint="eastAsia" w:ascii="宋体" w:hAnsi="宋体"/>
          <w:b/>
          <w:bCs/>
          <w:color w:val="auto"/>
          <w:sz w:val="32"/>
          <w:szCs w:val="32"/>
        </w:rPr>
        <w:t>2.报价文件目录</w:t>
      </w:r>
    </w:p>
    <w:p>
      <w:pPr>
        <w:spacing w:line="360" w:lineRule="auto"/>
        <w:contextualSpacing/>
        <w:jc w:val="left"/>
        <w:rPr>
          <w:rFonts w:ascii="宋体" w:hAnsi="宋体"/>
          <w:color w:val="auto"/>
          <w:sz w:val="32"/>
          <w:szCs w:val="32"/>
        </w:rPr>
      </w:pPr>
      <w:r>
        <w:rPr>
          <w:rFonts w:hint="eastAsia" w:ascii="宋体" w:hAnsi="宋体"/>
          <w:color w:val="auto"/>
          <w:sz w:val="32"/>
          <w:szCs w:val="32"/>
        </w:rPr>
        <w:t>根据磋商文件规定及供应商提供的材料自行编写目录（部分格式后附）。</w:t>
      </w:r>
    </w:p>
    <w:p>
      <w:pPr>
        <w:spacing w:line="360" w:lineRule="auto"/>
        <w:contextualSpacing/>
        <w:jc w:val="center"/>
        <w:rPr>
          <w:rFonts w:ascii="方正小标宋简体" w:hAnsi="方正小标宋简体" w:eastAsia="方正小标宋简体" w:cs="方正小标宋简体"/>
          <w:bCs/>
          <w:color w:val="auto"/>
          <w:sz w:val="32"/>
          <w:szCs w:val="32"/>
        </w:rPr>
      </w:pPr>
      <w:r>
        <w:rPr>
          <w:rFonts w:ascii="宋体" w:hAnsi="宋体"/>
          <w:b/>
          <w:bCs/>
          <w:color w:val="auto"/>
          <w:sz w:val="32"/>
          <w:szCs w:val="32"/>
        </w:rPr>
        <w:br w:type="page"/>
      </w:r>
      <w:r>
        <w:rPr>
          <w:rFonts w:hint="eastAsia" w:ascii="方正小标宋简体" w:hAnsi="方正小标宋简体" w:eastAsia="方正小标宋简体" w:cs="方正小标宋简体"/>
          <w:bCs/>
          <w:color w:val="auto"/>
          <w:sz w:val="44"/>
          <w:szCs w:val="44"/>
          <w:lang w:eastAsia="zh-CN"/>
        </w:rPr>
        <w:t>竞</w:t>
      </w:r>
      <w:r>
        <w:rPr>
          <w:rFonts w:hint="eastAsia" w:ascii="方正小标宋简体" w:hAnsi="方正小标宋简体" w:eastAsia="方正小标宋简体" w:cs="方正小标宋简体"/>
          <w:bCs/>
          <w:color w:val="auto"/>
          <w:sz w:val="44"/>
          <w:szCs w:val="44"/>
          <w:lang w:val="en-US" w:eastAsia="zh-CN"/>
        </w:rPr>
        <w:t xml:space="preserve"> </w:t>
      </w:r>
      <w:r>
        <w:rPr>
          <w:rFonts w:hint="eastAsia" w:ascii="方正小标宋简体" w:hAnsi="方正小标宋简体" w:eastAsia="方正小标宋简体" w:cs="方正小标宋简体"/>
          <w:bCs/>
          <w:color w:val="auto"/>
          <w:sz w:val="44"/>
          <w:szCs w:val="44"/>
          <w:lang w:eastAsia="zh-CN"/>
        </w:rPr>
        <w:t>标</w:t>
      </w:r>
      <w:r>
        <w:rPr>
          <w:rFonts w:hint="eastAsia" w:ascii="方正小标宋简体" w:hAnsi="方正小标宋简体" w:eastAsia="方正小标宋简体" w:cs="方正小标宋简体"/>
          <w:bCs/>
          <w:color w:val="auto"/>
          <w:sz w:val="44"/>
          <w:szCs w:val="44"/>
          <w:lang w:val="en-US" w:eastAsia="zh-CN"/>
        </w:rPr>
        <w:t xml:space="preserve"> </w:t>
      </w:r>
      <w:r>
        <w:rPr>
          <w:rFonts w:hint="eastAsia" w:ascii="方正小标宋简体" w:hAnsi="方正小标宋简体" w:eastAsia="方正小标宋简体" w:cs="方正小标宋简体"/>
          <w:bCs/>
          <w:color w:val="auto"/>
          <w:sz w:val="44"/>
          <w:szCs w:val="44"/>
        </w:rPr>
        <w:t>报  价  表</w:t>
      </w:r>
    </w:p>
    <w:p>
      <w:pPr>
        <w:spacing w:line="440" w:lineRule="exact"/>
        <w:jc w:val="center"/>
        <w:rPr>
          <w:rFonts w:ascii="方正小标宋简体" w:hAnsi="方正小标宋简体" w:eastAsia="方正小标宋简体" w:cs="方正小标宋简体"/>
          <w:bCs/>
          <w:color w:val="auto"/>
          <w:sz w:val="32"/>
          <w:szCs w:val="32"/>
        </w:rPr>
      </w:pPr>
    </w:p>
    <w:p>
      <w:pPr>
        <w:snapToGrid w:val="0"/>
        <w:spacing w:before="50" w:after="50" w:line="360" w:lineRule="auto"/>
        <w:rPr>
          <w:rFonts w:ascii="宋体" w:hAnsi="宋体" w:cs="仿宋_GB2312"/>
          <w:color w:val="auto"/>
          <w:sz w:val="24"/>
        </w:rPr>
      </w:pPr>
      <w:r>
        <w:rPr>
          <w:rFonts w:hint="eastAsia" w:ascii="宋体" w:hAnsi="宋体" w:cs="仿宋_GB2312"/>
          <w:color w:val="auto"/>
          <w:sz w:val="24"/>
        </w:rPr>
        <w:t>项目名称：</w:t>
      </w:r>
      <w:r>
        <w:rPr>
          <w:rFonts w:hint="eastAsia" w:ascii="宋体" w:hAnsi="宋体" w:cs="仿宋_GB2312"/>
          <w:color w:val="auto"/>
          <w:sz w:val="24"/>
          <w:lang w:val="en-US" w:eastAsia="zh-CN"/>
        </w:rPr>
        <w:t xml:space="preserve">                  </w:t>
      </w:r>
      <w:r>
        <w:rPr>
          <w:rFonts w:hint="eastAsia" w:ascii="宋体" w:hAnsi="宋体" w:cs="仿宋_GB2312"/>
          <w:color w:val="auto"/>
          <w:sz w:val="24"/>
        </w:rPr>
        <w:t>项目编号：</w:t>
      </w:r>
    </w:p>
    <w:p>
      <w:pPr>
        <w:snapToGrid w:val="0"/>
        <w:spacing w:before="50" w:after="50" w:line="360" w:lineRule="auto"/>
        <w:rPr>
          <w:rFonts w:ascii="宋体" w:hAnsi="宋体" w:cs="仿宋_GB2312"/>
          <w:color w:val="auto"/>
          <w:sz w:val="24"/>
        </w:rPr>
      </w:pPr>
      <w:r>
        <w:rPr>
          <w:rFonts w:hint="eastAsia" w:ascii="宋体" w:hAnsi="宋体" w:cs="仿宋_GB2312"/>
          <w:color w:val="auto"/>
          <w:sz w:val="24"/>
        </w:rPr>
        <w:t>供应商名称：</w:t>
      </w:r>
    </w:p>
    <w:p>
      <w:pPr>
        <w:snapToGrid w:val="0"/>
        <w:spacing w:before="50" w:after="50" w:line="360" w:lineRule="auto"/>
        <w:rPr>
          <w:rFonts w:ascii="宋体" w:hAnsi="宋体" w:cs="仿宋_GB2312"/>
          <w:color w:val="auto"/>
          <w:sz w:val="24"/>
        </w:rPr>
      </w:pPr>
      <w:r>
        <w:rPr>
          <w:rFonts w:hint="eastAsia" w:ascii="宋体" w:hAnsi="宋体" w:cs="仿宋_GB2312"/>
          <w:color w:val="auto"/>
          <w:sz w:val="24"/>
        </w:rPr>
        <w:t xml:space="preserve">                                                单位：元</w:t>
      </w:r>
    </w:p>
    <w:tbl>
      <w:tblPr>
        <w:tblStyle w:val="41"/>
        <w:tblW w:w="4907" w:type="pct"/>
        <w:tblInd w:w="-1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150"/>
        <w:gridCol w:w="633"/>
        <w:gridCol w:w="867"/>
        <w:gridCol w:w="733"/>
        <w:gridCol w:w="1050"/>
        <w:gridCol w:w="867"/>
        <w:gridCol w:w="1183"/>
        <w:gridCol w:w="950"/>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b/>
                <w:color w:val="auto"/>
                <w:kern w:val="0"/>
              </w:rPr>
            </w:pPr>
            <w:r>
              <w:rPr>
                <w:rFonts w:hint="eastAsia" w:ascii="宋体" w:hAnsi="宋体"/>
                <w:b/>
                <w:color w:val="auto"/>
              </w:rPr>
              <w:t>项号</w:t>
            </w:r>
          </w:p>
        </w:tc>
        <w:tc>
          <w:tcPr>
            <w:tcW w:w="608" w:type="pct"/>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kern w:val="0"/>
              </w:rPr>
              <w:t>货物名称</w:t>
            </w:r>
          </w:p>
        </w:tc>
        <w:tc>
          <w:tcPr>
            <w:tcW w:w="334" w:type="pct"/>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kern w:val="0"/>
              </w:rPr>
              <w:t>竞标产品原料产地</w:t>
            </w:r>
          </w:p>
        </w:tc>
        <w:tc>
          <w:tcPr>
            <w:tcW w:w="458" w:type="pct"/>
            <w:noWrap/>
            <w:vAlign w:val="center"/>
          </w:tcPr>
          <w:p>
            <w:pPr>
              <w:widowControl/>
              <w:spacing w:line="340" w:lineRule="exact"/>
              <w:jc w:val="center"/>
              <w:rPr>
                <w:rFonts w:ascii="宋体" w:hAnsi="宋体" w:cs="宋体"/>
                <w:b/>
                <w:color w:val="auto"/>
                <w:kern w:val="0"/>
              </w:rPr>
            </w:pPr>
            <w:r>
              <w:rPr>
                <w:rFonts w:hint="eastAsia" w:ascii="宋体" w:hAnsi="宋体" w:cs="仿宋_GB2312"/>
                <w:b/>
                <w:bCs/>
                <w:color w:val="auto"/>
                <w:sz w:val="24"/>
              </w:rPr>
              <w:t>制造商</w:t>
            </w:r>
          </w:p>
        </w:tc>
        <w:tc>
          <w:tcPr>
            <w:tcW w:w="387" w:type="pct"/>
            <w:noWrap/>
            <w:vAlign w:val="center"/>
          </w:tcPr>
          <w:p>
            <w:pPr>
              <w:widowControl/>
              <w:spacing w:line="340" w:lineRule="exact"/>
              <w:jc w:val="center"/>
              <w:rPr>
                <w:rFonts w:ascii="宋体" w:hAnsi="宋体" w:cs="宋体"/>
                <w:b/>
                <w:color w:val="auto"/>
                <w:kern w:val="0"/>
              </w:rPr>
            </w:pPr>
            <w:r>
              <w:rPr>
                <w:rFonts w:hint="eastAsia" w:ascii="宋体" w:hAnsi="宋体" w:cs="仿宋_GB2312"/>
                <w:b/>
                <w:bCs/>
                <w:color w:val="auto"/>
                <w:sz w:val="24"/>
              </w:rPr>
              <w:t>品牌</w:t>
            </w:r>
          </w:p>
        </w:tc>
        <w:tc>
          <w:tcPr>
            <w:tcW w:w="555" w:type="pct"/>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kern w:val="0"/>
              </w:rPr>
              <w:t>单位</w:t>
            </w:r>
          </w:p>
        </w:tc>
        <w:tc>
          <w:tcPr>
            <w:tcW w:w="458" w:type="pct"/>
            <w:noWrap/>
            <w:vAlign w:val="center"/>
          </w:tcPr>
          <w:p>
            <w:pPr>
              <w:widowControl/>
              <w:spacing w:line="340" w:lineRule="exact"/>
              <w:jc w:val="center"/>
              <w:rPr>
                <w:rFonts w:ascii="宋体" w:hAnsi="宋体" w:cs="宋体"/>
                <w:b/>
                <w:color w:val="auto"/>
                <w:kern w:val="0"/>
              </w:rPr>
            </w:pPr>
            <w:r>
              <w:rPr>
                <w:rFonts w:hint="eastAsia" w:ascii="宋体" w:hAnsi="宋体"/>
                <w:b/>
                <w:color w:val="auto"/>
              </w:rPr>
              <w:t>数量</w:t>
            </w:r>
            <w:r>
              <w:rPr>
                <w:rFonts w:hint="eastAsia" w:ascii="宋体" w:hAnsi="宋体" w:cs="仿宋_GB2312"/>
                <w:b/>
                <w:bCs/>
                <w:color w:val="auto"/>
                <w:sz w:val="24"/>
              </w:rPr>
              <w:t>②</w:t>
            </w:r>
          </w:p>
        </w:tc>
        <w:tc>
          <w:tcPr>
            <w:tcW w:w="625" w:type="pct"/>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kern w:val="0"/>
              </w:rPr>
              <w:t>单价最高限价（元）</w:t>
            </w:r>
          </w:p>
        </w:tc>
        <w:tc>
          <w:tcPr>
            <w:tcW w:w="502" w:type="pct"/>
            <w:noWrap/>
            <w:vAlign w:val="center"/>
          </w:tcPr>
          <w:p>
            <w:pPr>
              <w:widowControl/>
              <w:spacing w:line="340" w:lineRule="exact"/>
              <w:jc w:val="center"/>
              <w:rPr>
                <w:rFonts w:ascii="宋体" w:hAnsi="宋体" w:cs="宋体"/>
                <w:b/>
                <w:color w:val="auto"/>
                <w:kern w:val="0"/>
              </w:rPr>
            </w:pPr>
            <w:r>
              <w:rPr>
                <w:rFonts w:hint="eastAsia" w:ascii="宋体" w:hAnsi="宋体" w:cs="宋体"/>
                <w:b/>
                <w:color w:val="auto"/>
                <w:kern w:val="0"/>
              </w:rPr>
              <w:t>单价报价（元）</w:t>
            </w:r>
            <w:r>
              <w:rPr>
                <w:rFonts w:hint="eastAsia" w:ascii="宋体" w:hAnsi="宋体" w:cs="仿宋_GB2312"/>
                <w:b/>
                <w:bCs/>
                <w:color w:val="auto"/>
                <w:sz w:val="24"/>
              </w:rPr>
              <w:t>①</w:t>
            </w:r>
          </w:p>
        </w:tc>
        <w:tc>
          <w:tcPr>
            <w:tcW w:w="740" w:type="pct"/>
            <w:noWrap/>
            <w:vAlign w:val="center"/>
          </w:tcPr>
          <w:p>
            <w:pPr>
              <w:spacing w:line="360" w:lineRule="auto"/>
              <w:jc w:val="center"/>
              <w:rPr>
                <w:rFonts w:ascii="宋体" w:hAnsi="宋体" w:cs="仿宋_GB2312"/>
                <w:b/>
                <w:bCs/>
                <w:color w:val="auto"/>
                <w:sz w:val="24"/>
              </w:rPr>
            </w:pPr>
            <w:r>
              <w:rPr>
                <w:rFonts w:hint="eastAsia" w:ascii="宋体" w:hAnsi="宋体" w:cs="仿宋_GB2312"/>
                <w:b/>
                <w:bCs/>
                <w:color w:val="auto"/>
                <w:sz w:val="24"/>
              </w:rPr>
              <w:t>小计</w:t>
            </w:r>
          </w:p>
          <w:p>
            <w:pPr>
              <w:widowControl/>
              <w:spacing w:line="340" w:lineRule="exact"/>
              <w:jc w:val="center"/>
              <w:rPr>
                <w:rFonts w:ascii="宋体" w:hAnsi="宋体" w:cs="宋体"/>
                <w:b/>
                <w:color w:val="auto"/>
                <w:kern w:val="0"/>
              </w:rPr>
            </w:pPr>
            <w:r>
              <w:rPr>
                <w:rFonts w:hint="eastAsia" w:ascii="宋体" w:hAnsi="宋体" w:cs="仿宋_GB2312"/>
                <w:b/>
                <w:bCs/>
                <w:color w:val="auto"/>
                <w:sz w:val="24"/>
              </w:rPr>
              <w:t>③=①×②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阿胶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4930.00 </w:t>
            </w:r>
          </w:p>
        </w:tc>
        <w:tc>
          <w:tcPr>
            <w:tcW w:w="502" w:type="pct"/>
            <w:noWrap/>
            <w:vAlign w:val="center"/>
          </w:tcPr>
          <w:p>
            <w:pPr>
              <w:spacing w:line="360" w:lineRule="auto"/>
              <w:jc w:val="center"/>
              <w:rPr>
                <w:rFonts w:ascii="宋体" w:hAnsi="宋体" w:cs="仿宋_GB2312"/>
                <w:b/>
                <w:bCs/>
                <w:color w:val="auto"/>
                <w:sz w:val="24"/>
              </w:rPr>
            </w:pPr>
          </w:p>
        </w:tc>
        <w:tc>
          <w:tcPr>
            <w:tcW w:w="740" w:type="pct"/>
            <w:noWrap/>
            <w:vAlign w:val="center"/>
          </w:tcPr>
          <w:p>
            <w:pPr>
              <w:spacing w:line="360" w:lineRule="auto"/>
              <w:jc w:val="center"/>
              <w:rPr>
                <w:rFonts w:ascii="宋体" w:hAnsi="宋体" w:cs="仿宋_GB2312"/>
                <w:b/>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矮地茶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艾叶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31.50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艾叶炭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巴戟天</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白扁豆</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白豆蔻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白矾</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白附子（白附片）</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白花蛇舌草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白芨</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490.00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白芥子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白茅根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白首乌（隔山撬）</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白头翁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白薇</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白鲜皮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418.00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白芷</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百部</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百合</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69.60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柏子仁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334.00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败酱草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板蓝根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半边莲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000000" w:fill="FFFFFF"/>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w:t>
            </w:r>
          </w:p>
        </w:tc>
        <w:tc>
          <w:tcPr>
            <w:tcW w:w="60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半枝莲</w:t>
            </w:r>
          </w:p>
        </w:tc>
        <w:tc>
          <w:tcPr>
            <w:tcW w:w="334" w:type="pct"/>
            <w:shd w:val="clear" w:color="000000" w:fill="FFFFFF"/>
            <w:noWrap/>
            <w:vAlign w:val="center"/>
          </w:tcPr>
          <w:p>
            <w:pPr>
              <w:widowControl/>
              <w:spacing w:line="340" w:lineRule="exact"/>
              <w:jc w:val="center"/>
              <w:rPr>
                <w:rFonts w:ascii="宋体" w:hAnsi="宋体" w:cs="宋体"/>
                <w:color w:val="auto"/>
                <w:kern w:val="0"/>
              </w:rPr>
            </w:pPr>
          </w:p>
        </w:tc>
        <w:tc>
          <w:tcPr>
            <w:tcW w:w="458" w:type="pct"/>
            <w:shd w:val="clear" w:color="000000" w:fill="FFFFFF"/>
            <w:noWrap/>
          </w:tcPr>
          <w:p>
            <w:pPr>
              <w:widowControl/>
              <w:spacing w:line="340" w:lineRule="exact"/>
              <w:jc w:val="center"/>
              <w:rPr>
                <w:rFonts w:ascii="宋体" w:hAnsi="宋体" w:cs="宋体"/>
                <w:color w:val="auto"/>
                <w:kern w:val="0"/>
              </w:rPr>
            </w:pPr>
          </w:p>
        </w:tc>
        <w:tc>
          <w:tcPr>
            <w:tcW w:w="387" w:type="pct"/>
            <w:shd w:val="clear" w:color="000000" w:fill="FFFFFF"/>
            <w:noWrap/>
          </w:tcPr>
          <w:p>
            <w:pPr>
              <w:widowControl/>
              <w:spacing w:line="340" w:lineRule="exact"/>
              <w:jc w:val="center"/>
              <w:rPr>
                <w:rFonts w:ascii="宋体" w:hAnsi="宋体" w:cs="宋体"/>
                <w:color w:val="auto"/>
                <w:kern w:val="0"/>
              </w:rPr>
            </w:pPr>
          </w:p>
        </w:tc>
        <w:tc>
          <w:tcPr>
            <w:tcW w:w="55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35.00 </w:t>
            </w:r>
          </w:p>
        </w:tc>
        <w:tc>
          <w:tcPr>
            <w:tcW w:w="502" w:type="pct"/>
            <w:shd w:val="clear" w:color="000000" w:fill="FFFFFF"/>
            <w:noWrap/>
          </w:tcPr>
          <w:p>
            <w:pPr>
              <w:widowControl/>
              <w:spacing w:line="340" w:lineRule="exact"/>
              <w:jc w:val="center"/>
              <w:rPr>
                <w:rFonts w:ascii="宋体" w:hAnsi="宋体" w:cs="宋体"/>
                <w:color w:val="auto"/>
                <w:kern w:val="0"/>
              </w:rPr>
            </w:pPr>
          </w:p>
        </w:tc>
        <w:tc>
          <w:tcPr>
            <w:tcW w:w="740" w:type="pct"/>
            <w:shd w:val="clear" w:color="000000" w:fill="FFFFFF"/>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薄荷</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39.50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薄荷脑</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720.00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北沙参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92.80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萆薢(川太）</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萹蓄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扁豆花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鳖甲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槟榔</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冰片</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859.00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补骨脂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布渣叶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蚕沙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苍耳子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苍术</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483.00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草果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侧柏叶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柴胡</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蝉蜕</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炒谷芽（炒稻芽）</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炒蒺藜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47.50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49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炒麦芽</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炒山楂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炒神曲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炒王不留行</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炒栀子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车前草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车前子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123.50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陈皮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赤芍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赤石脂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59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赤小豆</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茺蔚子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59.50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川楝子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川芎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穿破石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垂盆草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磁石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醋甘遂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auto" w:fill="auto"/>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67</w:t>
            </w:r>
          </w:p>
        </w:tc>
        <w:tc>
          <w:tcPr>
            <w:tcW w:w="608" w:type="pct"/>
            <w:shd w:val="clear" w:color="auto" w:fill="auto"/>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醋没药</w:t>
            </w:r>
          </w:p>
        </w:tc>
        <w:tc>
          <w:tcPr>
            <w:tcW w:w="334" w:type="pct"/>
            <w:shd w:val="clear" w:color="auto" w:fill="auto"/>
            <w:noWrap/>
            <w:vAlign w:val="center"/>
          </w:tcPr>
          <w:p>
            <w:pPr>
              <w:widowControl/>
              <w:spacing w:line="340" w:lineRule="exact"/>
              <w:jc w:val="center"/>
              <w:rPr>
                <w:rFonts w:ascii="宋体" w:hAnsi="宋体" w:cs="宋体"/>
                <w:color w:val="auto"/>
                <w:kern w:val="0"/>
              </w:rPr>
            </w:pPr>
          </w:p>
        </w:tc>
        <w:tc>
          <w:tcPr>
            <w:tcW w:w="458" w:type="pct"/>
            <w:shd w:val="clear" w:color="auto" w:fill="auto"/>
            <w:noWrap/>
          </w:tcPr>
          <w:p>
            <w:pPr>
              <w:widowControl/>
              <w:spacing w:line="340" w:lineRule="exact"/>
              <w:jc w:val="center"/>
              <w:rPr>
                <w:rFonts w:ascii="宋体" w:hAnsi="宋体" w:cs="宋体"/>
                <w:color w:val="auto"/>
                <w:kern w:val="0"/>
              </w:rPr>
            </w:pPr>
          </w:p>
        </w:tc>
        <w:tc>
          <w:tcPr>
            <w:tcW w:w="387" w:type="pct"/>
            <w:shd w:val="clear" w:color="auto" w:fill="auto"/>
            <w:noWrap/>
          </w:tcPr>
          <w:p>
            <w:pPr>
              <w:widowControl/>
              <w:spacing w:line="340" w:lineRule="exact"/>
              <w:jc w:val="center"/>
              <w:rPr>
                <w:rFonts w:ascii="宋体" w:hAnsi="宋体" w:cs="宋体"/>
                <w:color w:val="auto"/>
                <w:kern w:val="0"/>
              </w:rPr>
            </w:pPr>
          </w:p>
        </w:tc>
        <w:tc>
          <w:tcPr>
            <w:tcW w:w="555" w:type="pct"/>
            <w:shd w:val="clear" w:color="auto" w:fill="auto"/>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shd w:val="clear" w:color="auto" w:fill="auto"/>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 </w:t>
            </w:r>
          </w:p>
        </w:tc>
        <w:tc>
          <w:tcPr>
            <w:tcW w:w="62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288.00 </w:t>
            </w:r>
          </w:p>
        </w:tc>
        <w:tc>
          <w:tcPr>
            <w:tcW w:w="502" w:type="pct"/>
            <w:shd w:val="clear" w:color="000000" w:fill="FFFFFF"/>
            <w:noWrap/>
          </w:tcPr>
          <w:p>
            <w:pPr>
              <w:widowControl/>
              <w:spacing w:line="340" w:lineRule="exact"/>
              <w:jc w:val="center"/>
              <w:rPr>
                <w:rFonts w:ascii="宋体" w:hAnsi="宋体" w:cs="宋体"/>
                <w:color w:val="auto"/>
                <w:kern w:val="0"/>
              </w:rPr>
            </w:pPr>
          </w:p>
        </w:tc>
        <w:tc>
          <w:tcPr>
            <w:tcW w:w="740" w:type="pct"/>
            <w:shd w:val="clear" w:color="000000" w:fill="FFFFFF"/>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醋延胡索</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69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大飞扬草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大腹皮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大海子(胖大海)</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76.50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大黄炭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大蓟</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000000" w:fill="FFFFFF"/>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75</w:t>
            </w:r>
          </w:p>
        </w:tc>
        <w:tc>
          <w:tcPr>
            <w:tcW w:w="60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大青叶</w:t>
            </w:r>
          </w:p>
        </w:tc>
        <w:tc>
          <w:tcPr>
            <w:tcW w:w="334" w:type="pct"/>
            <w:shd w:val="clear" w:color="000000" w:fill="FFFFFF"/>
            <w:noWrap/>
            <w:vAlign w:val="center"/>
          </w:tcPr>
          <w:p>
            <w:pPr>
              <w:widowControl/>
              <w:spacing w:line="340" w:lineRule="exact"/>
              <w:jc w:val="center"/>
              <w:rPr>
                <w:rFonts w:ascii="宋体" w:hAnsi="宋体" w:cs="宋体"/>
                <w:color w:val="auto"/>
                <w:kern w:val="0"/>
              </w:rPr>
            </w:pPr>
          </w:p>
        </w:tc>
        <w:tc>
          <w:tcPr>
            <w:tcW w:w="458" w:type="pct"/>
            <w:shd w:val="clear" w:color="000000" w:fill="FFFFFF"/>
            <w:noWrap/>
          </w:tcPr>
          <w:p>
            <w:pPr>
              <w:widowControl/>
              <w:spacing w:line="340" w:lineRule="exact"/>
              <w:jc w:val="center"/>
              <w:rPr>
                <w:rFonts w:ascii="宋体" w:hAnsi="宋体" w:cs="宋体"/>
                <w:color w:val="auto"/>
                <w:kern w:val="0"/>
              </w:rPr>
            </w:pPr>
          </w:p>
        </w:tc>
        <w:tc>
          <w:tcPr>
            <w:tcW w:w="387" w:type="pct"/>
            <w:shd w:val="clear" w:color="000000" w:fill="FFFFFF"/>
            <w:noWrap/>
          </w:tcPr>
          <w:p>
            <w:pPr>
              <w:widowControl/>
              <w:spacing w:line="340" w:lineRule="exact"/>
              <w:jc w:val="center"/>
              <w:rPr>
                <w:rFonts w:ascii="宋体" w:hAnsi="宋体" w:cs="宋体"/>
                <w:color w:val="auto"/>
                <w:kern w:val="0"/>
              </w:rPr>
            </w:pPr>
          </w:p>
        </w:tc>
        <w:tc>
          <w:tcPr>
            <w:tcW w:w="55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大血藤(红藤)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代赭石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丹参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79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胆南星</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淡豆豉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0.65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淡竹叶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43.50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当归</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292.50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当归藤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当归尾</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▲党参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292.50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地丁（紫花地丁）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地肤子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地骨皮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235.00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89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地龙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676.00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地榆</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地榆炭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灯心草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丁香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冬瓜仁（冬瓜子）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冬葵子（茼麻子）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独活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杜仲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煅龙骨</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99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煅牡蛎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莪术</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39.50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鹅不食草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56.50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法半夏</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番泻叶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防风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防己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蜂房</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980.00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麸炒白术</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佛手</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109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茯苓</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茯苓皮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茯神</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浮萍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浮小麦</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覆盆子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甘草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甘松</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314.00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干姜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岗梅</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119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高良姜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葛根（粉葛）</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葛花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钩藤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狗脊</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枸杞子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谷精草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212.00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谷芽（稻芽）</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21.50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骨碎补</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瓜篓壳（瓜蒌皮）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129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瓜篓仁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贯众</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广金钱草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龟板（醋龟甲）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375.00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桂枝</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海风藤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海浮石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海金沙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547.00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海螵蛸(乌贼骨)</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海藻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139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蒿本（藁本）</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诃子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合欢皮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荷叶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33.50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黑附子（黑顺片）</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262.50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000000" w:fill="FFFFFF"/>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144</w:t>
            </w:r>
          </w:p>
        </w:tc>
        <w:tc>
          <w:tcPr>
            <w:tcW w:w="60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红参</w:t>
            </w:r>
          </w:p>
        </w:tc>
        <w:tc>
          <w:tcPr>
            <w:tcW w:w="334" w:type="pct"/>
            <w:shd w:val="clear" w:color="000000" w:fill="FFFFFF"/>
            <w:noWrap/>
            <w:vAlign w:val="center"/>
          </w:tcPr>
          <w:p>
            <w:pPr>
              <w:widowControl/>
              <w:spacing w:line="340" w:lineRule="exact"/>
              <w:jc w:val="center"/>
              <w:rPr>
                <w:rFonts w:ascii="宋体" w:hAnsi="宋体" w:cs="宋体"/>
                <w:color w:val="auto"/>
                <w:kern w:val="0"/>
              </w:rPr>
            </w:pPr>
          </w:p>
        </w:tc>
        <w:tc>
          <w:tcPr>
            <w:tcW w:w="458" w:type="pct"/>
            <w:shd w:val="clear" w:color="000000" w:fill="FFFFFF"/>
            <w:noWrap/>
          </w:tcPr>
          <w:p>
            <w:pPr>
              <w:widowControl/>
              <w:spacing w:line="340" w:lineRule="exact"/>
              <w:jc w:val="center"/>
              <w:rPr>
                <w:rFonts w:ascii="宋体" w:hAnsi="宋体" w:cs="宋体"/>
                <w:color w:val="auto"/>
                <w:kern w:val="0"/>
              </w:rPr>
            </w:pPr>
          </w:p>
        </w:tc>
        <w:tc>
          <w:tcPr>
            <w:tcW w:w="387" w:type="pct"/>
            <w:shd w:val="clear" w:color="000000" w:fill="FFFFFF"/>
            <w:noWrap/>
          </w:tcPr>
          <w:p>
            <w:pPr>
              <w:widowControl/>
              <w:spacing w:line="340" w:lineRule="exact"/>
              <w:jc w:val="center"/>
              <w:rPr>
                <w:rFonts w:ascii="宋体" w:hAnsi="宋体" w:cs="宋体"/>
                <w:color w:val="auto"/>
                <w:kern w:val="0"/>
              </w:rPr>
            </w:pPr>
          </w:p>
        </w:tc>
        <w:tc>
          <w:tcPr>
            <w:tcW w:w="55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905.00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红花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厚朴</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胡黄连</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1012.00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虎杖</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149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琥珀</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花椒(川椒)</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滑石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槐花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113.50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黄柏</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黄花倒水莲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黄连（川连）</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黄芩</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▲黄芪</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火麻仁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159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藿香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鸡骨草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鸡冠花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鸡内金</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鸡屎藤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26.50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鸡血藤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蒺藜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姜黄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姜水半夏</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auto" w:fill="auto"/>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168</w:t>
            </w:r>
          </w:p>
        </w:tc>
        <w:tc>
          <w:tcPr>
            <w:tcW w:w="608" w:type="pct"/>
            <w:shd w:val="clear" w:color="auto" w:fill="auto"/>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僵蚕</w:t>
            </w:r>
          </w:p>
        </w:tc>
        <w:tc>
          <w:tcPr>
            <w:tcW w:w="334" w:type="pct"/>
            <w:shd w:val="clear" w:color="auto" w:fill="auto"/>
            <w:noWrap/>
            <w:vAlign w:val="center"/>
          </w:tcPr>
          <w:p>
            <w:pPr>
              <w:widowControl/>
              <w:spacing w:line="340" w:lineRule="exact"/>
              <w:jc w:val="center"/>
              <w:rPr>
                <w:rFonts w:ascii="宋体" w:hAnsi="宋体" w:cs="宋体"/>
                <w:color w:val="auto"/>
                <w:kern w:val="0"/>
              </w:rPr>
            </w:pPr>
          </w:p>
        </w:tc>
        <w:tc>
          <w:tcPr>
            <w:tcW w:w="458" w:type="pct"/>
            <w:shd w:val="clear" w:color="auto" w:fill="auto"/>
            <w:noWrap/>
          </w:tcPr>
          <w:p>
            <w:pPr>
              <w:widowControl/>
              <w:spacing w:line="340" w:lineRule="exact"/>
              <w:jc w:val="center"/>
              <w:rPr>
                <w:rFonts w:ascii="宋体" w:hAnsi="宋体" w:cs="宋体"/>
                <w:color w:val="auto"/>
                <w:kern w:val="0"/>
              </w:rPr>
            </w:pPr>
          </w:p>
        </w:tc>
        <w:tc>
          <w:tcPr>
            <w:tcW w:w="387" w:type="pct"/>
            <w:shd w:val="clear" w:color="auto" w:fill="auto"/>
            <w:noWrap/>
          </w:tcPr>
          <w:p>
            <w:pPr>
              <w:widowControl/>
              <w:spacing w:line="340" w:lineRule="exact"/>
              <w:jc w:val="center"/>
              <w:rPr>
                <w:rFonts w:ascii="宋体" w:hAnsi="宋体" w:cs="宋体"/>
                <w:color w:val="auto"/>
                <w:kern w:val="0"/>
              </w:rPr>
            </w:pPr>
          </w:p>
        </w:tc>
        <w:tc>
          <w:tcPr>
            <w:tcW w:w="555" w:type="pct"/>
            <w:shd w:val="clear" w:color="auto" w:fill="auto"/>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shd w:val="clear" w:color="auto" w:fill="auto"/>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 </w:t>
            </w:r>
          </w:p>
        </w:tc>
        <w:tc>
          <w:tcPr>
            <w:tcW w:w="62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279.00 </w:t>
            </w:r>
          </w:p>
        </w:tc>
        <w:tc>
          <w:tcPr>
            <w:tcW w:w="502" w:type="pct"/>
            <w:shd w:val="clear" w:color="000000" w:fill="FFFFFF"/>
            <w:noWrap/>
          </w:tcPr>
          <w:p>
            <w:pPr>
              <w:widowControl/>
              <w:spacing w:line="340" w:lineRule="exact"/>
              <w:jc w:val="center"/>
              <w:rPr>
                <w:rFonts w:ascii="宋体" w:hAnsi="宋体" w:cs="宋体"/>
                <w:color w:val="auto"/>
                <w:kern w:val="0"/>
              </w:rPr>
            </w:pPr>
          </w:p>
        </w:tc>
        <w:tc>
          <w:tcPr>
            <w:tcW w:w="740" w:type="pct"/>
            <w:shd w:val="clear" w:color="000000" w:fill="FFFFFF"/>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169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绞股蓝</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金樱子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荆芥</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auto" w:fill="auto"/>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172</w:t>
            </w:r>
          </w:p>
        </w:tc>
        <w:tc>
          <w:tcPr>
            <w:tcW w:w="60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荆芥穗</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荆芥炭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韭菜子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酒黄精</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桔梗</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菊花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460.00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橘核</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179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橘红(桔红)</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决明子（草决明）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枯矾</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苦参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宽筋藤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款冬花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239.00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昆布</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莱菔子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了刁竹(徐长卿)</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荔枝核</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189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连翘</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莲子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两面针</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刘寄奴</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龙齿</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975.00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龙胆草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芦根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鹿角霜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路路通</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罗布麻叶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199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络石藤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麻黄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麻黄根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马勃</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马齿苋</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马钱子粉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315.00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麦冬</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麦芽</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15.40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蔓荆子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芒硝</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209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猫爪草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密蒙花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磨盘草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墨旱莲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牡丹皮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木瓜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木通</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木香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木贼</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墓头回</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219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牛蒡子(牛子)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牛大力</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牛膝</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女贞子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炮姜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佩兰</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枇杷叶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平贝母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蒲公英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蒲黄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229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蒲黄炭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千层纸（木蝴蝶）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千斤拔</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千里光(九里明）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千年健</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前胡</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芡实</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63.50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茜草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435.00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000000" w:fill="FFFFFF"/>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237</w:t>
            </w:r>
          </w:p>
        </w:tc>
        <w:tc>
          <w:tcPr>
            <w:tcW w:w="60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羌活</w:t>
            </w:r>
          </w:p>
        </w:tc>
        <w:tc>
          <w:tcPr>
            <w:tcW w:w="334" w:type="pct"/>
            <w:shd w:val="clear" w:color="000000" w:fill="FFFFFF"/>
            <w:noWrap/>
            <w:vAlign w:val="center"/>
          </w:tcPr>
          <w:p>
            <w:pPr>
              <w:widowControl/>
              <w:spacing w:line="340" w:lineRule="exact"/>
              <w:jc w:val="center"/>
              <w:rPr>
                <w:rFonts w:ascii="宋体" w:hAnsi="宋体" w:cs="宋体"/>
                <w:color w:val="auto"/>
                <w:kern w:val="0"/>
              </w:rPr>
            </w:pPr>
          </w:p>
        </w:tc>
        <w:tc>
          <w:tcPr>
            <w:tcW w:w="458" w:type="pct"/>
            <w:shd w:val="clear" w:color="000000" w:fill="FFFFFF"/>
            <w:noWrap/>
          </w:tcPr>
          <w:p>
            <w:pPr>
              <w:widowControl/>
              <w:spacing w:line="340" w:lineRule="exact"/>
              <w:jc w:val="center"/>
              <w:rPr>
                <w:rFonts w:ascii="宋体" w:hAnsi="宋体" w:cs="宋体"/>
                <w:color w:val="auto"/>
                <w:kern w:val="0"/>
              </w:rPr>
            </w:pPr>
          </w:p>
        </w:tc>
        <w:tc>
          <w:tcPr>
            <w:tcW w:w="387" w:type="pct"/>
            <w:shd w:val="clear" w:color="000000" w:fill="FFFFFF"/>
            <w:noWrap/>
          </w:tcPr>
          <w:p>
            <w:pPr>
              <w:widowControl/>
              <w:spacing w:line="340" w:lineRule="exact"/>
              <w:jc w:val="center"/>
              <w:rPr>
                <w:rFonts w:ascii="宋体" w:hAnsi="宋体" w:cs="宋体"/>
                <w:color w:val="auto"/>
                <w:kern w:val="0"/>
              </w:rPr>
            </w:pPr>
          </w:p>
        </w:tc>
        <w:tc>
          <w:tcPr>
            <w:tcW w:w="55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542.00 </w:t>
            </w:r>
          </w:p>
        </w:tc>
        <w:tc>
          <w:tcPr>
            <w:tcW w:w="502" w:type="pct"/>
            <w:shd w:val="clear" w:color="000000" w:fill="FFFFFF"/>
            <w:noWrap/>
          </w:tcPr>
          <w:p>
            <w:pPr>
              <w:widowControl/>
              <w:spacing w:line="340" w:lineRule="exact"/>
              <w:jc w:val="center"/>
              <w:rPr>
                <w:rFonts w:ascii="宋体" w:hAnsi="宋体" w:cs="宋体"/>
                <w:color w:val="auto"/>
                <w:kern w:val="0"/>
              </w:rPr>
            </w:pPr>
          </w:p>
        </w:tc>
        <w:tc>
          <w:tcPr>
            <w:tcW w:w="740" w:type="pct"/>
            <w:shd w:val="clear" w:color="000000" w:fill="FFFFFF"/>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秦艽</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239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青黛</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青果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84.50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青蒿</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青皮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青天葵</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青葙子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auto" w:fill="auto"/>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245</w:t>
            </w:r>
          </w:p>
        </w:tc>
        <w:tc>
          <w:tcPr>
            <w:tcW w:w="60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瞿麦</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全蝎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4730.00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人参叶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肉苁蓉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186.00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249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肉豆蔻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肉桂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乳香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三棱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54.50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桑白皮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桑寄生</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桑螵蛸</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1334.00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桑椹子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桑叶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桑枝</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259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沙苑子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砂仁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514.00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山慈姑</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2800.00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山豆根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480.00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山药(淮山)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38.50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山银花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山萸肉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山楂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山楂叶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蛇床子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269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蛇莓</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蛇蜕</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440.00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射干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伸筋草（铺地蜈蚣）</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神曲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肾茶（猫须草）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升麻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生白术</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生地黄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生龙骨</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279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生牡蛎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十大功劳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石菖蒲</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石膏</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石决明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石榴皮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石苇</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熟地黄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水蛭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3306.00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丝瓜络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289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苏木</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素馨花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1930.00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酸枣仁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1622.00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锁阳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▲太子参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桃仁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天冬</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天花粉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shd w:val="clear" w:color="auto" w:fill="auto"/>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297</w:t>
            </w:r>
          </w:p>
        </w:tc>
        <w:tc>
          <w:tcPr>
            <w:tcW w:w="608" w:type="pct"/>
            <w:shd w:val="clear" w:color="000000" w:fill="FFFFFF"/>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天麻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田基黄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299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田七须(三七须)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甜叶菊</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葶苈子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通草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434.00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透骨草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土鳖虫</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土茯苓</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土槿皮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瓦楞子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14.70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威灵仙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201.50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309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乌梅</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乌梢蛇</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2070.00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乌药</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46.50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无名异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吴茱萸</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324.00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蜈蚣</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条</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五倍子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五加皮（香加皮）</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五灵脂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118.50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五灵脂炭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319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五味子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五指毛桃</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细辛</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390.00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夏枯草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95.70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仙鹤草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仙茅</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282.00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香附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香薷</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硝石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小茴香</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329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小蓟</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薤白</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87.00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辛夷</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杏仁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玄参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旋覆花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血竭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1332.00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血余炭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盐菟丝子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盐续断(川断)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339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阳起石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野菊花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夜交藤（首乌藤）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夜明砂</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一枝黄花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益母草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益智仁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薏苡仁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茵陈</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51.00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银柴胡</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349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银花藤（忍冬藤）</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银杏叶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淫羊藿</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有瓜石斛</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鱼腥草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37.50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玉竹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郁金</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郁李仁</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远志</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391.50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皂角刺</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9.50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359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泽兰</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泽泻</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84.50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樟脑</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0.25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336.00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浙贝母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珍珠母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知母</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栀子（山栀子）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49.50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枳壳</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23.50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65.00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枳实</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113.00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制何首乌</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369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制天南星</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175.00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炙甘草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142.50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炙黄芪</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炙麻黄(蜜麻黄)</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肿节风（九节风）</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重楼(七叶一枝花)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1519.00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猪苓</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16.00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140.00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376</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竹茹</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377</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紫草</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848.00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378</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紫河车</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2295.00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379</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紫石英</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380</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紫苏梗</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34.00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381</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紫苏叶</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2.50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89.00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382</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紫苏子</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5.00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86.00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383</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紫菀(紫苑)</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10.00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70.50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384</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自然铜</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0.10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22.00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26" w:type="pct"/>
            <w:noWrap/>
            <w:vAlign w:val="center"/>
          </w:tcPr>
          <w:p>
            <w:pPr>
              <w:widowControl/>
              <w:spacing w:line="340" w:lineRule="exact"/>
              <w:jc w:val="center"/>
              <w:rPr>
                <w:rFonts w:ascii="宋体" w:hAnsi="宋体" w:cs="宋体"/>
                <w:color w:val="auto"/>
                <w:kern w:val="0"/>
              </w:rPr>
            </w:pPr>
            <w:r>
              <w:rPr>
                <w:rFonts w:hint="eastAsia" w:ascii="宋体" w:hAnsi="宋体" w:cs="宋体"/>
                <w:color w:val="auto"/>
                <w:kern w:val="0"/>
              </w:rPr>
              <w:t>385</w:t>
            </w:r>
          </w:p>
        </w:tc>
        <w:tc>
          <w:tcPr>
            <w:tcW w:w="60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棕榈炭</w:t>
            </w:r>
          </w:p>
        </w:tc>
        <w:tc>
          <w:tcPr>
            <w:tcW w:w="334" w:type="pct"/>
            <w:noWrap/>
            <w:vAlign w:val="center"/>
          </w:tcPr>
          <w:p>
            <w:pPr>
              <w:widowControl/>
              <w:spacing w:line="340" w:lineRule="exact"/>
              <w:jc w:val="center"/>
              <w:rPr>
                <w:rFonts w:ascii="宋体" w:hAnsi="宋体" w:cs="宋体"/>
                <w:color w:val="auto"/>
                <w:kern w:val="0"/>
              </w:rPr>
            </w:pPr>
          </w:p>
        </w:tc>
        <w:tc>
          <w:tcPr>
            <w:tcW w:w="458" w:type="pct"/>
            <w:noWrap/>
          </w:tcPr>
          <w:p>
            <w:pPr>
              <w:widowControl/>
              <w:spacing w:line="340" w:lineRule="exact"/>
              <w:jc w:val="center"/>
              <w:rPr>
                <w:rFonts w:ascii="宋体" w:hAnsi="宋体" w:cs="宋体"/>
                <w:color w:val="auto"/>
                <w:kern w:val="0"/>
              </w:rPr>
            </w:pPr>
          </w:p>
        </w:tc>
        <w:tc>
          <w:tcPr>
            <w:tcW w:w="387" w:type="pct"/>
            <w:noWrap/>
          </w:tcPr>
          <w:p>
            <w:pPr>
              <w:widowControl/>
              <w:spacing w:line="340" w:lineRule="exact"/>
              <w:jc w:val="center"/>
              <w:rPr>
                <w:rFonts w:ascii="宋体" w:hAnsi="宋体" w:cs="宋体"/>
                <w:color w:val="auto"/>
                <w:kern w:val="0"/>
              </w:rPr>
            </w:pPr>
          </w:p>
        </w:tc>
        <w:tc>
          <w:tcPr>
            <w:tcW w:w="55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千克</w:t>
            </w:r>
          </w:p>
        </w:tc>
        <w:tc>
          <w:tcPr>
            <w:tcW w:w="458"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3.00 </w:t>
            </w:r>
          </w:p>
        </w:tc>
        <w:tc>
          <w:tcPr>
            <w:tcW w:w="625" w:type="pct"/>
            <w:noWrap/>
            <w:vAlign w:val="center"/>
          </w:tcPr>
          <w:p>
            <w:pPr>
              <w:widowControl/>
              <w:jc w:val="center"/>
              <w:textAlignment w:val="center"/>
              <w:rPr>
                <w:rFonts w:ascii="宋体" w:hAnsi="宋体" w:cs="宋体"/>
                <w:color w:val="auto"/>
                <w:kern w:val="0"/>
              </w:rPr>
            </w:pPr>
            <w:r>
              <w:rPr>
                <w:rFonts w:hint="eastAsia" w:ascii="宋体" w:hAnsi="宋体" w:cs="宋体"/>
                <w:color w:val="auto"/>
                <w:kern w:val="0"/>
                <w:sz w:val="22"/>
                <w:szCs w:val="22"/>
              </w:rPr>
              <w:t xml:space="preserve">42.00 </w:t>
            </w:r>
          </w:p>
        </w:tc>
        <w:tc>
          <w:tcPr>
            <w:tcW w:w="502" w:type="pct"/>
            <w:noWrap/>
          </w:tcPr>
          <w:p>
            <w:pPr>
              <w:widowControl/>
              <w:spacing w:line="340" w:lineRule="exact"/>
              <w:jc w:val="center"/>
              <w:rPr>
                <w:rFonts w:ascii="宋体" w:hAnsi="宋体" w:cs="宋体"/>
                <w:color w:val="auto"/>
                <w:kern w:val="0"/>
              </w:rPr>
            </w:pPr>
          </w:p>
        </w:tc>
        <w:tc>
          <w:tcPr>
            <w:tcW w:w="740" w:type="pct"/>
            <w:noWrap/>
          </w:tcPr>
          <w:p>
            <w:pPr>
              <w:widowControl/>
              <w:spacing w:line="340" w:lineRule="exact"/>
              <w:jc w:val="center"/>
              <w:rPr>
                <w:rFonts w:ascii="宋体" w:hAnsi="宋体"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00" w:type="pct"/>
            <w:gridSpan w:val="10"/>
            <w:noWrap/>
            <w:vAlign w:val="center"/>
          </w:tcPr>
          <w:p>
            <w:pPr>
              <w:snapToGrid w:val="0"/>
              <w:spacing w:before="50" w:after="50" w:line="380" w:lineRule="exact"/>
              <w:rPr>
                <w:rFonts w:ascii="宋体" w:hAnsi="宋体" w:cs="宋体"/>
                <w:color w:val="auto"/>
                <w:kern w:val="0"/>
              </w:rPr>
            </w:pPr>
            <w:r>
              <w:rPr>
                <w:rFonts w:hint="eastAsia" w:ascii="宋体" w:hAnsi="宋体" w:cs="仿宋_GB2312"/>
                <w:color w:val="auto"/>
                <w:sz w:val="24"/>
              </w:rPr>
              <w:t>合计金额大写：</w:t>
            </w:r>
            <w:r>
              <w:rPr>
                <w:rFonts w:hint="eastAsia" w:ascii="宋体" w:hAnsi="宋体" w:cs="仿宋_GB2312"/>
                <w:color w:val="auto"/>
                <w:sz w:val="24"/>
                <w:u w:val="single"/>
              </w:rPr>
              <w:t>人民币</w:t>
            </w:r>
            <w:r>
              <w:rPr>
                <w:rFonts w:hint="eastAsia" w:ascii="宋体" w:hAnsi="宋体" w:cs="仿宋_GB2312"/>
                <w:color w:val="auto"/>
                <w:sz w:val="24"/>
                <w:u w:val="single"/>
                <w:lang w:val="en-US" w:eastAsia="zh-CN"/>
              </w:rPr>
              <w:t xml:space="preserve">        </w:t>
            </w:r>
            <w:r>
              <w:rPr>
                <w:rFonts w:hint="eastAsia" w:ascii="宋体" w:hAnsi="宋体" w:cs="仿宋_GB2312"/>
                <w:color w:val="auto"/>
                <w:sz w:val="24"/>
                <w:u w:val="single"/>
              </w:rPr>
              <w:t>（￥</w:t>
            </w:r>
            <w:r>
              <w:rPr>
                <w:rFonts w:hint="eastAsia" w:ascii="宋体" w:hAnsi="宋体" w:cs="仿宋_GB2312"/>
                <w:color w:val="auto"/>
                <w:sz w:val="24"/>
                <w:u w:val="single"/>
                <w:lang w:val="en-US" w:eastAsia="zh-CN"/>
              </w:rPr>
              <w:t xml:space="preserve">              </w:t>
            </w:r>
            <w:r>
              <w:rPr>
                <w:rFonts w:hint="eastAsia" w:ascii="宋体" w:hAnsi="宋体" w:cs="仿宋_GB2312"/>
                <w:color w:val="auto"/>
                <w:sz w:val="24"/>
                <w:u w:val="single"/>
              </w:rPr>
              <w:t>）</w:t>
            </w:r>
            <w:r>
              <w:rPr>
                <w:rFonts w:hint="eastAsia" w:ascii="宋体" w:hAnsi="宋体" w:cs="仿宋_GB2312"/>
                <w:color w:val="auto"/>
                <w:sz w:val="24"/>
                <w:u w:val="single"/>
                <w:lang w:val="en-US" w:eastAsia="zh-CN"/>
              </w:rPr>
              <w:t xml:space="preserve"> </w:t>
            </w:r>
            <w:r>
              <w:rPr>
                <w:rFonts w:hint="eastAsia" w:ascii="宋体" w:hAnsi="宋体" w:cs="仿宋_GB2312"/>
                <w:color w:val="auto"/>
                <w:sz w:val="24"/>
                <w:u w:val="single"/>
              </w:rPr>
              <w:t xml:space="preserve"> ，增值税税率为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00" w:type="pct"/>
            <w:gridSpan w:val="10"/>
            <w:noWrap/>
            <w:vAlign w:val="center"/>
          </w:tcPr>
          <w:p>
            <w:pPr>
              <w:snapToGrid w:val="0"/>
              <w:spacing w:before="50" w:after="50" w:line="380" w:lineRule="exact"/>
              <w:jc w:val="left"/>
              <w:rPr>
                <w:rFonts w:ascii="宋体" w:hAnsi="宋体" w:cs="宋体"/>
                <w:color w:val="auto"/>
                <w:kern w:val="0"/>
              </w:rPr>
            </w:pPr>
            <w:r>
              <w:rPr>
                <w:rFonts w:hint="eastAsia" w:ascii="宋体" w:hAnsi="宋体" w:cs="微软雅黑"/>
                <w:b/>
                <w:color w:val="auto"/>
                <w:sz w:val="28"/>
                <w:szCs w:val="28"/>
              </w:rPr>
              <w:t>竞标产品有</w:t>
            </w:r>
            <w:r>
              <w:rPr>
                <w:rFonts w:hint="eastAsia" w:ascii="宋体" w:hAnsi="宋体" w:cs="微软雅黑"/>
                <w:b/>
                <w:color w:val="auto"/>
                <w:sz w:val="28"/>
                <w:szCs w:val="28"/>
                <w:u w:val="single"/>
                <w:lang w:val="en-US" w:eastAsia="zh-CN"/>
              </w:rPr>
              <w:t xml:space="preserve">     </w:t>
            </w:r>
            <w:r>
              <w:rPr>
                <w:rFonts w:hint="eastAsia" w:ascii="宋体" w:hAnsi="宋体" w:cs="微软雅黑"/>
                <w:b/>
                <w:color w:val="auto"/>
                <w:sz w:val="28"/>
                <w:szCs w:val="28"/>
              </w:rPr>
              <w:t>种药品原料产地和参考原料产地无负偏离。</w:t>
            </w:r>
          </w:p>
        </w:tc>
      </w:tr>
    </w:tbl>
    <w:p>
      <w:pPr>
        <w:snapToGrid w:val="0"/>
        <w:spacing w:before="50" w:after="50" w:line="360" w:lineRule="auto"/>
        <w:jc w:val="left"/>
        <w:rPr>
          <w:rFonts w:ascii="宋体" w:hAnsi="宋体" w:cs="仿宋_GB2312"/>
          <w:color w:val="auto"/>
          <w:sz w:val="24"/>
        </w:rPr>
      </w:pPr>
      <w:r>
        <w:rPr>
          <w:rFonts w:hint="eastAsia" w:ascii="宋体" w:hAnsi="宋体" w:cs="仿宋_GB2312"/>
          <w:color w:val="auto"/>
          <w:sz w:val="24"/>
        </w:rPr>
        <w:t xml:space="preserve">注: </w:t>
      </w:r>
    </w:p>
    <w:p>
      <w:pPr>
        <w:snapToGrid w:val="0"/>
        <w:spacing w:before="50" w:after="50" w:line="360" w:lineRule="auto"/>
        <w:ind w:firstLine="480" w:firstLineChars="200"/>
        <w:jc w:val="left"/>
        <w:rPr>
          <w:rFonts w:ascii="宋体" w:hAnsi="宋体" w:cs="仿宋_GB2312"/>
          <w:color w:val="auto"/>
          <w:sz w:val="24"/>
        </w:rPr>
      </w:pPr>
      <w:r>
        <w:rPr>
          <w:rFonts w:hint="eastAsia" w:ascii="宋体" w:hAnsi="宋体" w:cs="仿宋_GB2312"/>
          <w:color w:val="auto"/>
          <w:sz w:val="24"/>
        </w:rPr>
        <w:t>1</w:t>
      </w:r>
      <w:r>
        <w:rPr>
          <w:rFonts w:ascii="宋体" w:hAnsi="宋体" w:cs="仿宋_GB2312"/>
          <w:color w:val="auto"/>
          <w:sz w:val="24"/>
        </w:rPr>
        <w:t>.</w:t>
      </w:r>
      <w:r>
        <w:rPr>
          <w:rFonts w:hint="eastAsia" w:ascii="宋体" w:hAnsi="宋体"/>
          <w:color w:val="auto"/>
          <w:sz w:val="24"/>
        </w:rPr>
        <w:t xml:space="preserve"> 以上竞标报价表中“货物名称、数量及单位、</w:t>
      </w:r>
      <w:r>
        <w:rPr>
          <w:rFonts w:hint="eastAsia" w:ascii="宋体" w:hAnsi="宋体"/>
          <w:color w:val="auto"/>
          <w:sz w:val="24"/>
          <w:lang w:eastAsia="zh-CN"/>
        </w:rPr>
        <w:t>品牌、</w:t>
      </w:r>
      <w:r>
        <w:rPr>
          <w:rFonts w:hint="eastAsia" w:ascii="宋体" w:hAnsi="宋体"/>
          <w:color w:val="auto"/>
          <w:sz w:val="24"/>
        </w:rPr>
        <w:t>制造商、原料产地”必须如实填写完整，品牌没有则填无，填写有缺漏</w:t>
      </w:r>
      <w:r>
        <w:rPr>
          <w:rFonts w:hint="eastAsia" w:ascii="宋体" w:hAnsi="宋体"/>
          <w:bCs/>
          <w:color w:val="auto"/>
          <w:sz w:val="24"/>
        </w:rPr>
        <w:t>的，</w:t>
      </w:r>
      <w:r>
        <w:rPr>
          <w:rFonts w:hint="eastAsia" w:ascii="宋体" w:hAnsi="宋体" w:cs="仿宋_GB2312"/>
          <w:b/>
          <w:color w:val="auto"/>
          <w:sz w:val="24"/>
        </w:rPr>
        <w:t>其响应文件按无效处理</w:t>
      </w:r>
      <w:r>
        <w:rPr>
          <w:rFonts w:hint="eastAsia" w:ascii="宋体" w:hAnsi="宋体"/>
          <w:b/>
          <w:color w:val="auto"/>
          <w:sz w:val="24"/>
        </w:rPr>
        <w:t>。</w:t>
      </w:r>
    </w:p>
    <w:p>
      <w:pPr>
        <w:snapToGrid w:val="0"/>
        <w:spacing w:before="50" w:after="50" w:line="360" w:lineRule="auto"/>
        <w:ind w:firstLine="480" w:firstLineChars="200"/>
        <w:jc w:val="left"/>
        <w:rPr>
          <w:rFonts w:ascii="宋体" w:hAnsi="宋体" w:cs="仿宋_GB2312"/>
          <w:color w:val="auto"/>
          <w:sz w:val="24"/>
        </w:rPr>
      </w:pPr>
      <w:r>
        <w:rPr>
          <w:rFonts w:ascii="宋体" w:hAnsi="宋体" w:cs="仿宋_GB2312"/>
          <w:color w:val="auto"/>
          <w:sz w:val="24"/>
        </w:rPr>
        <w:t>2</w:t>
      </w:r>
      <w:r>
        <w:rPr>
          <w:rFonts w:hint="eastAsia" w:ascii="宋体" w:hAnsi="宋体" w:cs="仿宋_GB2312"/>
          <w:color w:val="auto"/>
          <w:sz w:val="24"/>
        </w:rPr>
        <w:t>.供应商的报价表必须加盖供应商公章并由法定代表人或者委托代理人签字，</w:t>
      </w:r>
      <w:r>
        <w:rPr>
          <w:rFonts w:hint="eastAsia" w:ascii="宋体" w:hAnsi="宋体" w:cs="仿宋_GB2312"/>
          <w:b/>
          <w:color w:val="auto"/>
          <w:sz w:val="24"/>
        </w:rPr>
        <w:t>否则其响应文件按无效处理</w:t>
      </w:r>
      <w:r>
        <w:rPr>
          <w:rFonts w:hint="eastAsia" w:ascii="宋体" w:hAnsi="宋体" w:cs="仿宋_GB2312"/>
          <w:color w:val="auto"/>
          <w:sz w:val="24"/>
        </w:rPr>
        <w:t>。</w:t>
      </w:r>
    </w:p>
    <w:p>
      <w:pPr>
        <w:snapToGrid w:val="0"/>
        <w:spacing w:before="50" w:after="50" w:line="360" w:lineRule="auto"/>
        <w:ind w:firstLine="480" w:firstLineChars="200"/>
        <w:jc w:val="left"/>
        <w:rPr>
          <w:rFonts w:ascii="宋体" w:hAnsi="宋体" w:cs="仿宋_GB2312"/>
          <w:b/>
          <w:color w:val="auto"/>
          <w:sz w:val="24"/>
        </w:rPr>
      </w:pPr>
      <w:r>
        <w:rPr>
          <w:rFonts w:ascii="宋体" w:hAnsi="宋体" w:cs="仿宋_GB2312"/>
          <w:bCs/>
          <w:color w:val="auto"/>
          <w:sz w:val="24"/>
        </w:rPr>
        <w:t>3</w:t>
      </w:r>
      <w:r>
        <w:rPr>
          <w:rFonts w:hint="eastAsia" w:ascii="宋体" w:hAnsi="宋体" w:cs="仿宋_GB2312"/>
          <w:bCs/>
          <w:color w:val="auto"/>
          <w:sz w:val="24"/>
        </w:rPr>
        <w:t>.</w:t>
      </w:r>
      <w:r>
        <w:rPr>
          <w:rFonts w:hint="eastAsia" w:ascii="宋体" w:hAnsi="宋体" w:cs="仿宋_GB2312"/>
          <w:color w:val="auto"/>
          <w:sz w:val="24"/>
        </w:rPr>
        <w:t>报价一经涂改，应在涂改处加盖供应商公章或者由法定代表人或者授权委托人签字</w:t>
      </w:r>
      <w:r>
        <w:rPr>
          <w:rFonts w:hint="eastAsia" w:ascii="宋体" w:hAnsi="宋体" w:cs="仿宋_GB2312"/>
          <w:b/>
          <w:color w:val="auto"/>
          <w:sz w:val="24"/>
        </w:rPr>
        <w:t>，否则其响应文件按无效处理。</w:t>
      </w:r>
    </w:p>
    <w:p>
      <w:pPr>
        <w:snapToGrid w:val="0"/>
        <w:spacing w:before="50" w:after="50" w:line="360" w:lineRule="auto"/>
        <w:ind w:firstLine="480" w:firstLineChars="200"/>
        <w:jc w:val="left"/>
        <w:rPr>
          <w:rFonts w:ascii="宋体" w:hAnsi="宋体" w:cs="仿宋_GB2312"/>
          <w:color w:val="auto"/>
          <w:sz w:val="24"/>
        </w:rPr>
      </w:pPr>
      <w:r>
        <w:rPr>
          <w:rFonts w:ascii="宋体" w:hAnsi="宋体" w:cs="仿宋_GB2312"/>
          <w:color w:val="auto"/>
          <w:sz w:val="24"/>
        </w:rPr>
        <w:t>4</w:t>
      </w:r>
      <w:r>
        <w:rPr>
          <w:rFonts w:hint="eastAsia" w:ascii="宋体" w:hAnsi="宋体" w:cs="仿宋_GB2312"/>
          <w:color w:val="auto"/>
          <w:sz w:val="24"/>
        </w:rPr>
        <w:t>.磋商文件中列明采购专用耗材的，应按磋商文件规定的耗材量或者按耗材的常规试用量提供报价。</w:t>
      </w:r>
    </w:p>
    <w:p>
      <w:pPr>
        <w:snapToGrid w:val="0"/>
        <w:spacing w:before="50" w:after="50" w:line="360" w:lineRule="auto"/>
        <w:ind w:firstLine="480" w:firstLineChars="200"/>
        <w:rPr>
          <w:rFonts w:ascii="宋体" w:hAnsi="宋体"/>
          <w:color w:val="auto"/>
          <w:sz w:val="24"/>
        </w:rPr>
      </w:pPr>
      <w:r>
        <w:rPr>
          <w:rFonts w:hint="eastAsia" w:ascii="宋体" w:hAnsi="宋体" w:cs="仿宋_GB2312"/>
          <w:color w:val="auto"/>
          <w:sz w:val="24"/>
        </w:rPr>
        <w:t>5.</w:t>
      </w:r>
      <w:r>
        <w:rPr>
          <w:rFonts w:hint="eastAsia" w:ascii="宋体" w:hAnsi="宋体" w:cs="仿宋_GB2312"/>
          <w:color w:val="auto"/>
          <w:spacing w:val="-6"/>
          <w:sz w:val="24"/>
        </w:rPr>
        <w:t>如有多分标，分别列明各分标的报价表，</w:t>
      </w:r>
      <w:r>
        <w:rPr>
          <w:rFonts w:hint="eastAsia" w:ascii="宋体" w:hAnsi="宋体" w:cs="仿宋_GB2312"/>
          <w:b/>
          <w:color w:val="auto"/>
          <w:spacing w:val="-6"/>
          <w:sz w:val="24"/>
        </w:rPr>
        <w:t>否则其响应文件按无效处理。</w:t>
      </w:r>
    </w:p>
    <w:p>
      <w:pPr>
        <w:spacing w:line="360" w:lineRule="auto"/>
        <w:ind w:right="-817" w:rightChars="-389" w:firstLine="2640" w:firstLineChars="1100"/>
        <w:contextualSpacing/>
        <w:rPr>
          <w:rFonts w:ascii="宋体" w:hAnsi="宋体" w:cs="仿宋_GB2312"/>
          <w:color w:val="auto"/>
          <w:sz w:val="24"/>
        </w:rPr>
      </w:pPr>
      <w:r>
        <w:rPr>
          <w:rFonts w:hint="eastAsia" w:ascii="宋体" w:hAnsi="宋体" w:cs="仿宋_GB2312"/>
          <w:color w:val="auto"/>
          <w:sz w:val="24"/>
        </w:rPr>
        <w:t xml:space="preserve">法定代表人或者委托代理人（签字）：                    </w:t>
      </w:r>
    </w:p>
    <w:p>
      <w:pPr>
        <w:snapToGrid w:val="0"/>
        <w:spacing w:before="50" w:after="50" w:line="360" w:lineRule="auto"/>
        <w:ind w:left="-3" w:leftChars="-15" w:right="-817" w:rightChars="-389" w:hanging="28" w:hangingChars="12"/>
        <w:jc w:val="center"/>
        <w:rPr>
          <w:rFonts w:ascii="宋体" w:hAnsi="宋体"/>
          <w:color w:val="auto"/>
          <w:sz w:val="24"/>
        </w:rPr>
      </w:pPr>
      <w:r>
        <w:rPr>
          <w:rFonts w:hint="eastAsia" w:ascii="宋体" w:hAnsi="宋体" w:cs="仿宋_GB2312"/>
          <w:color w:val="auto"/>
          <w:sz w:val="24"/>
        </w:rPr>
        <w:t>供应商（盖单位公章）：</w:t>
      </w:r>
    </w:p>
    <w:p>
      <w:pPr>
        <w:spacing w:line="360" w:lineRule="auto"/>
        <w:ind w:right="420"/>
        <w:contextualSpacing/>
        <w:jc w:val="left"/>
        <w:rPr>
          <w:rFonts w:ascii="宋体" w:hAnsi="宋体"/>
          <w:b/>
          <w:color w:val="auto"/>
          <w:sz w:val="32"/>
          <w:szCs w:val="32"/>
        </w:rPr>
      </w:pPr>
      <w:r>
        <w:rPr>
          <w:rFonts w:hint="eastAsia" w:ascii="宋体" w:hAnsi="宋体"/>
          <w:color w:val="auto"/>
          <w:sz w:val="24"/>
        </w:rPr>
        <w:t xml:space="preserve">                              日期：    年   月   日</w:t>
      </w:r>
      <w:r>
        <w:rPr>
          <w:rFonts w:ascii="宋体" w:hAnsi="宋体"/>
          <w:b/>
          <w:bCs/>
          <w:color w:val="auto"/>
          <w:sz w:val="32"/>
          <w:szCs w:val="32"/>
        </w:rPr>
        <w:br w:type="page"/>
      </w:r>
      <w:r>
        <w:rPr>
          <w:rFonts w:hint="eastAsia" w:ascii="宋体" w:hAnsi="宋体"/>
          <w:b/>
          <w:bCs/>
          <w:color w:val="auto"/>
          <w:sz w:val="32"/>
          <w:szCs w:val="32"/>
        </w:rPr>
        <w:t>三、</w:t>
      </w:r>
      <w:r>
        <w:rPr>
          <w:rFonts w:hint="eastAsia" w:ascii="宋体" w:hAnsi="宋体"/>
          <w:b/>
          <w:color w:val="auto"/>
          <w:sz w:val="32"/>
          <w:szCs w:val="32"/>
        </w:rPr>
        <w:t xml:space="preserve">商务技术文件格式 </w:t>
      </w:r>
    </w:p>
    <w:p>
      <w:pPr>
        <w:snapToGrid w:val="0"/>
        <w:spacing w:beforeLines="50" w:after="50" w:line="360" w:lineRule="auto"/>
        <w:jc w:val="left"/>
        <w:rPr>
          <w:rFonts w:ascii="宋体" w:hAnsi="宋体"/>
          <w:b/>
          <w:color w:val="auto"/>
          <w:sz w:val="32"/>
          <w:szCs w:val="32"/>
        </w:rPr>
      </w:pPr>
      <w:r>
        <w:rPr>
          <w:rFonts w:hint="eastAsia" w:ascii="宋体" w:hAnsi="宋体"/>
          <w:b/>
          <w:color w:val="auto"/>
          <w:sz w:val="32"/>
          <w:szCs w:val="32"/>
        </w:rPr>
        <w:t>1.商务技术文件封面格式</w:t>
      </w:r>
    </w:p>
    <w:p>
      <w:pPr>
        <w:snapToGrid w:val="0"/>
        <w:spacing w:beforeLines="50" w:after="50"/>
        <w:rPr>
          <w:rFonts w:ascii="宋体" w:hAnsi="宋体"/>
          <w:bCs/>
          <w:color w:val="auto"/>
          <w:sz w:val="32"/>
          <w:szCs w:val="20"/>
        </w:rPr>
      </w:pPr>
    </w:p>
    <w:p>
      <w:pPr>
        <w:snapToGrid w:val="0"/>
        <w:spacing w:beforeLines="50" w:after="50"/>
        <w:jc w:val="center"/>
        <w:rPr>
          <w:rFonts w:ascii="宋体" w:hAnsi="宋体"/>
          <w:color w:val="auto"/>
          <w:sz w:val="24"/>
          <w:szCs w:val="20"/>
        </w:rPr>
      </w:pPr>
      <w:r>
        <w:rPr>
          <w:rFonts w:hint="eastAsia" w:ascii="宋体" w:hAnsi="宋体"/>
          <w:color w:val="auto"/>
          <w:sz w:val="44"/>
          <w:szCs w:val="44"/>
        </w:rPr>
        <w:t>响 应 文 件</w:t>
      </w:r>
    </w:p>
    <w:p>
      <w:pPr>
        <w:snapToGrid w:val="0"/>
        <w:spacing w:beforeLines="50" w:after="50"/>
        <w:rPr>
          <w:rFonts w:ascii="宋体" w:hAnsi="宋体"/>
          <w:color w:val="auto"/>
          <w:sz w:val="24"/>
          <w:szCs w:val="20"/>
        </w:rPr>
      </w:pPr>
    </w:p>
    <w:p>
      <w:pPr>
        <w:snapToGrid w:val="0"/>
        <w:spacing w:beforeLines="50" w:after="50"/>
        <w:rPr>
          <w:rFonts w:ascii="宋体" w:hAnsi="宋体"/>
          <w:color w:val="auto"/>
          <w:sz w:val="24"/>
          <w:szCs w:val="20"/>
        </w:rPr>
      </w:pPr>
    </w:p>
    <w:p>
      <w:pPr>
        <w:snapToGrid w:val="0"/>
        <w:spacing w:beforeLines="50" w:after="50"/>
        <w:jc w:val="center"/>
        <w:outlineLvl w:val="1"/>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商务技术文件</w:t>
      </w: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rPr>
          <w:rFonts w:ascii="宋体" w:hAnsi="宋体"/>
          <w:bCs/>
          <w:color w:val="auto"/>
          <w:sz w:val="24"/>
          <w:szCs w:val="20"/>
        </w:rPr>
      </w:pPr>
    </w:p>
    <w:p>
      <w:pPr>
        <w:snapToGrid w:val="0"/>
        <w:spacing w:beforeLines="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项目名称：</w:t>
      </w:r>
    </w:p>
    <w:p>
      <w:pPr>
        <w:snapToGrid w:val="0"/>
        <w:spacing w:beforeLines="50" w:after="50"/>
        <w:ind w:firstLine="720" w:firstLineChars="225"/>
        <w:rPr>
          <w:rFonts w:ascii="宋体" w:hAnsi="宋体" w:cs="仿宋_GB2312"/>
          <w:bCs/>
          <w:color w:val="auto"/>
          <w:sz w:val="32"/>
          <w:szCs w:val="32"/>
        </w:rPr>
      </w:pPr>
    </w:p>
    <w:p>
      <w:pPr>
        <w:snapToGrid w:val="0"/>
        <w:spacing w:beforeLines="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项目编号：</w:t>
      </w:r>
    </w:p>
    <w:p>
      <w:pPr>
        <w:snapToGrid w:val="0"/>
        <w:spacing w:beforeLines="50" w:after="50"/>
        <w:ind w:firstLine="720" w:firstLineChars="225"/>
        <w:rPr>
          <w:rFonts w:ascii="宋体" w:hAnsi="宋体" w:cs="仿宋_GB2312"/>
          <w:bCs/>
          <w:color w:val="auto"/>
          <w:sz w:val="32"/>
          <w:szCs w:val="32"/>
        </w:rPr>
      </w:pPr>
    </w:p>
    <w:p>
      <w:pPr>
        <w:snapToGrid w:val="0"/>
        <w:spacing w:beforeLines="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所竞分标（如有则填写，无分标时填写“无”或者留空）：</w:t>
      </w:r>
    </w:p>
    <w:p>
      <w:pPr>
        <w:snapToGrid w:val="0"/>
        <w:spacing w:beforeLines="50" w:after="50"/>
        <w:ind w:firstLine="720" w:firstLineChars="225"/>
        <w:rPr>
          <w:rFonts w:ascii="宋体" w:hAnsi="宋体" w:cs="仿宋_GB2312"/>
          <w:bCs/>
          <w:color w:val="auto"/>
          <w:sz w:val="32"/>
          <w:szCs w:val="32"/>
        </w:rPr>
      </w:pPr>
    </w:p>
    <w:p>
      <w:pPr>
        <w:pStyle w:val="10"/>
        <w:snapToGrid w:val="0"/>
        <w:spacing w:before="50" w:after="50"/>
        <w:ind w:firstLine="640" w:firstLineChars="200"/>
        <w:rPr>
          <w:rFonts w:ascii="宋体" w:hAnsi="宋体" w:cs="仿宋_GB2312"/>
          <w:bCs/>
          <w:color w:val="auto"/>
          <w:sz w:val="32"/>
          <w:szCs w:val="32"/>
        </w:rPr>
      </w:pPr>
      <w:r>
        <w:rPr>
          <w:rFonts w:hint="eastAsia" w:ascii="宋体" w:hAnsi="宋体" w:cs="仿宋_GB2312"/>
          <w:bCs/>
          <w:color w:val="auto"/>
          <w:sz w:val="32"/>
          <w:szCs w:val="32"/>
        </w:rPr>
        <w:t>供应商名称：</w:t>
      </w:r>
    </w:p>
    <w:p>
      <w:pPr>
        <w:pStyle w:val="10"/>
        <w:snapToGrid w:val="0"/>
        <w:spacing w:before="50" w:after="50"/>
        <w:ind w:firstLine="640" w:firstLineChars="200"/>
        <w:rPr>
          <w:rFonts w:ascii="宋体" w:hAnsi="宋体" w:cs="仿宋_GB2312"/>
          <w:bCs/>
          <w:color w:val="auto"/>
          <w:sz w:val="32"/>
          <w:szCs w:val="32"/>
        </w:rPr>
      </w:pPr>
    </w:p>
    <w:p>
      <w:pPr>
        <w:pStyle w:val="10"/>
        <w:snapToGrid w:val="0"/>
        <w:spacing w:before="50" w:after="50"/>
        <w:ind w:firstLine="720" w:firstLineChars="225"/>
        <w:rPr>
          <w:rFonts w:ascii="宋体" w:hAnsi="宋体" w:cs="仿宋_GB2312"/>
          <w:bCs/>
          <w:color w:val="auto"/>
          <w:sz w:val="32"/>
          <w:szCs w:val="32"/>
        </w:rPr>
      </w:pPr>
    </w:p>
    <w:p>
      <w:pPr>
        <w:pStyle w:val="10"/>
        <w:snapToGrid w:val="0"/>
        <w:spacing w:before="50" w:after="50"/>
        <w:ind w:firstLine="0"/>
        <w:rPr>
          <w:rFonts w:ascii="宋体" w:hAnsi="宋体" w:cs="仿宋_GB2312"/>
          <w:bCs/>
          <w:color w:val="auto"/>
          <w:sz w:val="32"/>
          <w:szCs w:val="32"/>
        </w:rPr>
      </w:pPr>
    </w:p>
    <w:p>
      <w:pPr>
        <w:pStyle w:val="10"/>
        <w:snapToGrid w:val="0"/>
        <w:spacing w:before="50" w:after="50"/>
        <w:ind w:firstLine="1280" w:firstLineChars="400"/>
        <w:rPr>
          <w:rFonts w:ascii="宋体" w:hAnsi="宋体" w:cs="仿宋_GB2312"/>
          <w:bCs/>
          <w:color w:val="auto"/>
          <w:sz w:val="32"/>
          <w:szCs w:val="32"/>
        </w:rPr>
      </w:pPr>
    </w:p>
    <w:p>
      <w:pPr>
        <w:snapToGrid w:val="0"/>
        <w:spacing w:beforeLines="50" w:after="50"/>
        <w:jc w:val="center"/>
        <w:rPr>
          <w:rFonts w:ascii="宋体" w:hAnsi="宋体" w:cs="仿宋_GB2312"/>
          <w:color w:val="auto"/>
          <w:sz w:val="32"/>
          <w:szCs w:val="32"/>
        </w:rPr>
      </w:pPr>
      <w:r>
        <w:rPr>
          <w:rFonts w:hint="eastAsia" w:ascii="宋体" w:hAnsi="宋体" w:cs="仿宋_GB2312"/>
          <w:color w:val="auto"/>
          <w:sz w:val="32"/>
          <w:szCs w:val="32"/>
        </w:rPr>
        <w:t>年    月    日</w:t>
      </w:r>
    </w:p>
    <w:p>
      <w:pPr>
        <w:snapToGrid w:val="0"/>
        <w:spacing w:beforeLines="50" w:after="50" w:line="360" w:lineRule="auto"/>
        <w:ind w:left="142"/>
        <w:jc w:val="left"/>
        <w:rPr>
          <w:rFonts w:ascii="宋体" w:hAnsi="宋体"/>
          <w:b/>
          <w:bCs/>
          <w:color w:val="auto"/>
          <w:sz w:val="24"/>
        </w:rPr>
      </w:pPr>
      <w:r>
        <w:rPr>
          <w:rFonts w:ascii="宋体" w:hAnsi="宋体"/>
          <w:color w:val="auto"/>
          <w:sz w:val="24"/>
        </w:rPr>
        <w:br w:type="page"/>
      </w:r>
      <w:r>
        <w:rPr>
          <w:rFonts w:hint="eastAsia" w:ascii="宋体" w:hAnsi="宋体"/>
          <w:b/>
          <w:bCs/>
          <w:color w:val="auto"/>
          <w:sz w:val="32"/>
          <w:szCs w:val="32"/>
        </w:rPr>
        <w:t>2.商务技术文件目录</w:t>
      </w:r>
    </w:p>
    <w:p>
      <w:pPr>
        <w:snapToGrid w:val="0"/>
        <w:spacing w:beforeLines="50" w:after="50" w:line="360" w:lineRule="auto"/>
        <w:ind w:firstLine="640" w:firstLineChars="200"/>
        <w:rPr>
          <w:rFonts w:ascii="宋体" w:hAnsi="宋体"/>
          <w:color w:val="auto"/>
          <w:sz w:val="32"/>
          <w:szCs w:val="32"/>
        </w:rPr>
      </w:pPr>
      <w:r>
        <w:rPr>
          <w:rFonts w:hint="eastAsia" w:ascii="宋体" w:hAnsi="宋体"/>
          <w:color w:val="auto"/>
          <w:sz w:val="32"/>
          <w:szCs w:val="32"/>
        </w:rPr>
        <w:t>根据磋商文件规定及供应商提供的材料自行编写目录（部分格式后附）。</w:t>
      </w:r>
    </w:p>
    <w:p>
      <w:pPr>
        <w:spacing w:line="400" w:lineRule="exact"/>
        <w:rPr>
          <w:rFonts w:ascii="仿宋_GB2312" w:hAnsi="仿宋_GB2312" w:eastAsia="仿宋_GB2312" w:cs="仿宋_GB2312"/>
          <w:color w:val="auto"/>
          <w:sz w:val="32"/>
          <w:szCs w:val="32"/>
        </w:rPr>
      </w:pPr>
    </w:p>
    <w:p>
      <w:pPr>
        <w:spacing w:line="520" w:lineRule="exact"/>
        <w:jc w:val="center"/>
        <w:rPr>
          <w:rFonts w:ascii="仿宋_GB2312" w:hAnsi="仿宋_GB2312" w:eastAsia="仿宋_GB2312" w:cs="仿宋_GB2312"/>
          <w:color w:val="auto"/>
          <w:sz w:val="32"/>
          <w:szCs w:val="32"/>
        </w:rPr>
      </w:pPr>
      <w:r>
        <w:rPr>
          <w:rFonts w:hint="eastAsia" w:ascii="方正小标宋简体" w:hAnsi="方正小标宋简体" w:eastAsia="方正小标宋简体" w:cs="方正小标宋简体"/>
          <w:color w:val="auto"/>
          <w:sz w:val="44"/>
          <w:szCs w:val="44"/>
        </w:rPr>
        <w:br w:type="page"/>
      </w:r>
      <w:r>
        <w:rPr>
          <w:rFonts w:hint="eastAsia" w:ascii="方正小标宋简体" w:hAnsi="方正小标宋简体" w:eastAsia="方正小标宋简体" w:cs="方正小标宋简体"/>
          <w:color w:val="auto"/>
          <w:sz w:val="44"/>
          <w:szCs w:val="44"/>
        </w:rPr>
        <w:t>无串通竞标行为的承诺函</w:t>
      </w:r>
    </w:p>
    <w:p>
      <w:pPr>
        <w:spacing w:line="400" w:lineRule="exact"/>
        <w:ind w:firstLine="640" w:firstLineChars="200"/>
        <w:rPr>
          <w:rFonts w:ascii="仿宋_GB2312" w:hAnsi="仿宋_GB2312" w:eastAsia="仿宋_GB2312" w:cs="仿宋_GB2312"/>
          <w:color w:val="auto"/>
          <w:sz w:val="32"/>
          <w:szCs w:val="32"/>
        </w:rPr>
      </w:pPr>
    </w:p>
    <w:p>
      <w:pPr>
        <w:spacing w:line="360" w:lineRule="auto"/>
        <w:ind w:firstLine="482" w:firstLineChars="200"/>
        <w:contextualSpacing/>
        <w:rPr>
          <w:rFonts w:ascii="宋体" w:hAnsi="宋体" w:cs="仿宋_GB2312"/>
          <w:b/>
          <w:bCs/>
          <w:color w:val="auto"/>
          <w:sz w:val="24"/>
        </w:rPr>
      </w:pPr>
      <w:r>
        <w:rPr>
          <w:rFonts w:hint="eastAsia" w:ascii="宋体" w:hAnsi="宋体" w:cs="仿宋_GB2312"/>
          <w:b/>
          <w:bCs/>
          <w:color w:val="auto"/>
          <w:sz w:val="24"/>
        </w:rPr>
        <w:t>一、我方承诺无下列相互串通竞标的情形：</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1.不同供应商的响应文件由同一单位或者个人编制；</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2.不同供应商委托同一单位或者个人办理竞标事宜；</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3.不同供应商的响应文件载明的项目管理员为同一个人；</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4.不</w:t>
      </w:r>
      <w:r>
        <w:rPr>
          <w:rFonts w:hint="eastAsia" w:ascii="宋体" w:hAnsi="宋体" w:cs="仿宋_GB2312"/>
          <w:color w:val="auto"/>
          <w:spacing w:val="-6"/>
          <w:sz w:val="24"/>
        </w:rPr>
        <w:t>同供应商的响应文件异常一致或者竞标报价呈规律性差异；</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5.不同供应商的响应文件相互混装；</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6.不同供应商的磋商保证金从同一单位或者个人账户转出。</w:t>
      </w:r>
    </w:p>
    <w:p>
      <w:pPr>
        <w:spacing w:line="360" w:lineRule="auto"/>
        <w:ind w:firstLine="482" w:firstLineChars="200"/>
        <w:contextualSpacing/>
        <w:rPr>
          <w:rFonts w:ascii="宋体" w:hAnsi="宋体" w:cs="仿宋_GB2312"/>
          <w:b/>
          <w:bCs/>
          <w:color w:val="auto"/>
          <w:sz w:val="24"/>
        </w:rPr>
      </w:pPr>
      <w:r>
        <w:rPr>
          <w:rFonts w:hint="eastAsia" w:ascii="宋体" w:hAnsi="宋体" w:cs="仿宋_GB2312"/>
          <w:b/>
          <w:bCs/>
          <w:color w:val="auto"/>
          <w:sz w:val="24"/>
        </w:rPr>
        <w:t>二、我方承诺无下列恶意串通的情形：</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1.供应商直接或者间接从采购人或者采购代理机构处获得其他供应商的相关信息并修改其响应文件；</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2.供应商按照采购人或者采购代理机构的授意撤换、修改响应文件；</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3.供</w:t>
      </w:r>
      <w:r>
        <w:rPr>
          <w:rFonts w:hint="eastAsia" w:ascii="宋体" w:hAnsi="宋体" w:cs="仿宋_GB2312"/>
          <w:color w:val="auto"/>
          <w:spacing w:val="-6"/>
          <w:sz w:val="24"/>
        </w:rPr>
        <w:t>应商之间协商报价、技术方案等响应文件的实质性内容；</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4.属于同一集团、协会、商会等组织成员的供应商按照该组织要求协同参加政府采购活动；</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5.供应商之间事先约定一致抬高或者压低竞标报价，或者在竞争性磋商项目中事先约定轮流以高价位或者低价位成交，或者事先约定由某一特定供应商成交，然后再参加竞标；</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6.供应商之间商定部分供应商放弃参加政府采购活动或者放弃成交；</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7.供应商与采购人或者采购代理机构之间、供应商相互之间，为</w:t>
      </w:r>
      <w:r>
        <w:rPr>
          <w:rFonts w:hint="eastAsia" w:ascii="宋体" w:hAnsi="宋体" w:cs="仿宋_GB2312"/>
          <w:color w:val="auto"/>
          <w:spacing w:val="-6"/>
          <w:sz w:val="24"/>
        </w:rPr>
        <w:t>谋求特定供应商成交或者排斥其他供应商的其他串通行为。</w:t>
      </w:r>
    </w:p>
    <w:p>
      <w:pPr>
        <w:spacing w:line="360" w:lineRule="auto"/>
        <w:ind w:firstLine="480" w:firstLineChars="200"/>
        <w:contextualSpacing/>
        <w:rPr>
          <w:rFonts w:ascii="宋体" w:hAnsi="宋体" w:cs="仿宋_GB2312"/>
          <w:color w:val="auto"/>
          <w:sz w:val="24"/>
        </w:rPr>
      </w:pPr>
    </w:p>
    <w:p>
      <w:pPr>
        <w:spacing w:line="360" w:lineRule="auto"/>
        <w:ind w:firstLine="482" w:firstLineChars="200"/>
        <w:contextualSpacing/>
        <w:rPr>
          <w:rFonts w:ascii="宋体" w:hAnsi="宋体" w:cs="仿宋_GB2312"/>
          <w:b/>
          <w:bCs/>
          <w:color w:val="auto"/>
          <w:sz w:val="24"/>
        </w:rPr>
      </w:pPr>
      <w:r>
        <w:rPr>
          <w:rFonts w:hint="eastAsia" w:ascii="宋体" w:hAnsi="宋体" w:cs="仿宋_GB2312"/>
          <w:b/>
          <w:bCs/>
          <w:color w:val="auto"/>
          <w:sz w:val="24"/>
        </w:rPr>
        <w:t>以上情形一经核查属实，我方愿意承担一切后果，并不再寻求任何旨在减轻或者免除法律责任的辩解。</w:t>
      </w:r>
    </w:p>
    <w:p>
      <w:pPr>
        <w:spacing w:line="360" w:lineRule="auto"/>
        <w:contextualSpacing/>
        <w:rPr>
          <w:rFonts w:ascii="宋体" w:hAnsi="宋体" w:cs="仿宋_GB2312"/>
          <w:color w:val="auto"/>
          <w:sz w:val="24"/>
        </w:rPr>
      </w:pPr>
    </w:p>
    <w:p>
      <w:pPr>
        <w:spacing w:line="360" w:lineRule="auto"/>
        <w:ind w:firstLine="3600" w:firstLineChars="1500"/>
        <w:contextualSpacing/>
        <w:rPr>
          <w:rFonts w:ascii="宋体" w:hAnsi="宋体" w:cs="仿宋_GB2312"/>
          <w:color w:val="auto"/>
          <w:sz w:val="24"/>
        </w:rPr>
      </w:pPr>
      <w:r>
        <w:rPr>
          <w:rFonts w:hint="eastAsia" w:ascii="宋体" w:hAnsi="宋体" w:cs="仿宋_GB2312"/>
          <w:color w:val="auto"/>
          <w:sz w:val="24"/>
        </w:rPr>
        <w:t>供应商（盖单位公章）：</w:t>
      </w:r>
    </w:p>
    <w:p>
      <w:pPr>
        <w:spacing w:line="360" w:lineRule="auto"/>
        <w:ind w:firstLine="480" w:firstLineChars="200"/>
        <w:contextualSpacing/>
        <w:jc w:val="center"/>
        <w:rPr>
          <w:rFonts w:ascii="仿宋_GB2312" w:hAnsi="仿宋_GB2312" w:eastAsia="仿宋_GB2312" w:cs="仿宋_GB2312"/>
          <w:color w:val="auto"/>
          <w:sz w:val="32"/>
          <w:szCs w:val="32"/>
        </w:rPr>
      </w:pPr>
      <w:r>
        <w:rPr>
          <w:rFonts w:hint="eastAsia" w:ascii="宋体" w:hAnsi="宋体" w:cs="仿宋_GB2312"/>
          <w:color w:val="auto"/>
          <w:sz w:val="24"/>
        </w:rPr>
        <w:t xml:space="preserve">                               年   月   日</w:t>
      </w:r>
    </w:p>
    <w:p>
      <w:pPr>
        <w:spacing w:line="360" w:lineRule="auto"/>
        <w:contextualSpacing/>
        <w:jc w:val="center"/>
        <w:rPr>
          <w:rFonts w:ascii="宋体" w:hAnsi="宋体"/>
          <w:color w:val="auto"/>
        </w:rPr>
      </w:pPr>
      <w:r>
        <w:rPr>
          <w:rFonts w:hint="eastAsia" w:ascii="方正小标宋简体" w:hAnsi="方正小标宋简体" w:eastAsia="方正小标宋简体" w:cs="方正小标宋简体"/>
          <w:bCs/>
          <w:color w:val="auto"/>
          <w:sz w:val="44"/>
          <w:szCs w:val="44"/>
        </w:rPr>
        <w:br w:type="page"/>
      </w:r>
    </w:p>
    <w:p>
      <w:pPr>
        <w:spacing w:beforeLines="100" w:afterLines="50" w:line="520" w:lineRule="exact"/>
        <w:ind w:left="540"/>
        <w:jc w:val="center"/>
        <w:rPr>
          <w:rFonts w:ascii="仿宋_GB2312" w:hAnsi="仿宋_GB2312" w:eastAsia="仿宋_GB2312" w:cs="仿宋_GB2312"/>
          <w:color w:val="auto"/>
          <w:sz w:val="32"/>
          <w:szCs w:val="32"/>
        </w:rPr>
      </w:pPr>
      <w:r>
        <w:rPr>
          <w:rFonts w:hint="eastAsia" w:ascii="方正小标宋简体" w:hAnsi="方正小标宋简体" w:eastAsia="方正小标宋简体" w:cs="方正小标宋简体"/>
          <w:bCs/>
          <w:color w:val="auto"/>
          <w:sz w:val="44"/>
          <w:szCs w:val="44"/>
        </w:rPr>
        <w:t>法定代表人证明书</w:t>
      </w:r>
    </w:p>
    <w:p>
      <w:pPr>
        <w:spacing w:line="520" w:lineRule="exact"/>
        <w:ind w:left="540"/>
        <w:rPr>
          <w:rFonts w:ascii="仿宋_GB2312" w:hAnsi="仿宋_GB2312" w:eastAsia="仿宋_GB2312" w:cs="仿宋_GB2312"/>
          <w:color w:val="auto"/>
          <w:sz w:val="32"/>
          <w:szCs w:val="32"/>
        </w:rPr>
      </w:pPr>
    </w:p>
    <w:p>
      <w:pPr>
        <w:spacing w:line="360" w:lineRule="auto"/>
        <w:ind w:left="540"/>
        <w:contextualSpacing/>
        <w:rPr>
          <w:rFonts w:ascii="宋体" w:hAnsi="宋体" w:cs="仿宋_GB2312"/>
          <w:color w:val="auto"/>
          <w:sz w:val="24"/>
        </w:rPr>
      </w:pPr>
      <w:r>
        <w:rPr>
          <w:rFonts w:hint="eastAsia" w:ascii="宋体" w:hAnsi="宋体" w:cs="仿宋_GB2312"/>
          <w:color w:val="auto"/>
          <w:sz w:val="24"/>
        </w:rPr>
        <w:t>供应商名称：</w:t>
      </w:r>
    </w:p>
    <w:p>
      <w:pPr>
        <w:spacing w:line="360" w:lineRule="auto"/>
        <w:ind w:left="540"/>
        <w:contextualSpacing/>
        <w:rPr>
          <w:rFonts w:ascii="宋体" w:hAnsi="宋体" w:cs="仿宋_GB2312"/>
          <w:color w:val="auto"/>
          <w:sz w:val="24"/>
        </w:rPr>
      </w:pPr>
      <w:r>
        <w:rPr>
          <w:rFonts w:hint="eastAsia" w:ascii="宋体" w:hAnsi="宋体" w:cs="仿宋_GB2312"/>
          <w:color w:val="auto"/>
          <w:sz w:val="24"/>
        </w:rPr>
        <w:t>地    址：</w:t>
      </w:r>
    </w:p>
    <w:p>
      <w:pPr>
        <w:spacing w:line="360" w:lineRule="auto"/>
        <w:ind w:left="540"/>
        <w:contextualSpacing/>
        <w:rPr>
          <w:rFonts w:ascii="宋体" w:hAnsi="宋体" w:cs="仿宋_GB2312"/>
          <w:color w:val="auto"/>
          <w:sz w:val="24"/>
        </w:rPr>
      </w:pPr>
      <w:r>
        <w:rPr>
          <w:rFonts w:hint="eastAsia" w:ascii="宋体" w:hAnsi="宋体" w:cs="仿宋_GB2312"/>
          <w:color w:val="auto"/>
          <w:sz w:val="24"/>
        </w:rPr>
        <w:t>姓    名：</w:t>
      </w:r>
      <w:r>
        <w:rPr>
          <w:rFonts w:hint="eastAsia" w:ascii="宋体" w:hAnsi="宋体" w:cs="仿宋_GB2312"/>
          <w:color w:val="auto"/>
          <w:sz w:val="24"/>
          <w:lang w:val="en-US" w:eastAsia="zh-CN"/>
        </w:rPr>
        <w:t xml:space="preserve">     </w:t>
      </w:r>
      <w:r>
        <w:rPr>
          <w:rFonts w:hint="eastAsia" w:ascii="宋体" w:hAnsi="宋体" w:cs="仿宋_GB2312"/>
          <w:color w:val="auto"/>
          <w:sz w:val="24"/>
        </w:rPr>
        <w:t>性     别：</w:t>
      </w:r>
    </w:p>
    <w:p>
      <w:pPr>
        <w:spacing w:line="360" w:lineRule="auto"/>
        <w:ind w:left="540"/>
        <w:contextualSpacing/>
        <w:rPr>
          <w:rFonts w:ascii="宋体" w:hAnsi="宋体" w:cs="仿宋_GB2312"/>
          <w:color w:val="auto"/>
          <w:sz w:val="24"/>
          <w:u w:val="single"/>
        </w:rPr>
      </w:pPr>
      <w:r>
        <w:rPr>
          <w:rFonts w:hint="eastAsia" w:ascii="宋体" w:hAnsi="宋体" w:cs="仿宋_GB2312"/>
          <w:color w:val="auto"/>
          <w:sz w:val="24"/>
        </w:rPr>
        <w:t>年    龄：</w:t>
      </w:r>
      <w:r>
        <w:rPr>
          <w:rFonts w:hint="eastAsia" w:ascii="宋体" w:hAnsi="宋体" w:cs="仿宋_GB2312"/>
          <w:color w:val="auto"/>
          <w:sz w:val="24"/>
          <w:lang w:val="en-US" w:eastAsia="zh-CN"/>
        </w:rPr>
        <w:t xml:space="preserve">     </w:t>
      </w:r>
      <w:r>
        <w:rPr>
          <w:rFonts w:hint="eastAsia" w:ascii="宋体" w:hAnsi="宋体" w:cs="仿宋_GB2312"/>
          <w:color w:val="auto"/>
          <w:sz w:val="24"/>
        </w:rPr>
        <w:t>职     务：</w:t>
      </w:r>
    </w:p>
    <w:p>
      <w:pPr>
        <w:spacing w:line="360" w:lineRule="auto"/>
        <w:ind w:left="540"/>
        <w:contextualSpacing/>
        <w:rPr>
          <w:rFonts w:ascii="宋体" w:hAnsi="宋体" w:cs="仿宋_GB2312"/>
          <w:color w:val="auto"/>
          <w:sz w:val="24"/>
        </w:rPr>
      </w:pPr>
      <w:r>
        <w:rPr>
          <w:rFonts w:hint="eastAsia" w:ascii="宋体" w:hAnsi="宋体" w:cs="仿宋_GB2312"/>
          <w:color w:val="auto"/>
          <w:sz w:val="24"/>
        </w:rPr>
        <w:t>身份证号码：</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系</w:t>
      </w:r>
      <w:r>
        <w:rPr>
          <w:rFonts w:hint="eastAsia" w:ascii="宋体" w:hAnsi="宋体" w:cs="仿宋_GB2312"/>
          <w:color w:val="auto"/>
          <w:sz w:val="24"/>
          <w:u w:val="single"/>
        </w:rPr>
        <w:t>（供应商名称）</w:t>
      </w:r>
      <w:r>
        <w:rPr>
          <w:rFonts w:hint="eastAsia" w:ascii="宋体" w:hAnsi="宋体" w:cs="仿宋_GB2312"/>
          <w:color w:val="auto"/>
          <w:sz w:val="24"/>
          <w:u w:val="single"/>
          <w:lang w:val="en-US" w:eastAsia="zh-CN"/>
        </w:rPr>
        <w:t xml:space="preserve">      </w:t>
      </w:r>
      <w:r>
        <w:rPr>
          <w:rFonts w:hint="eastAsia" w:ascii="宋体" w:hAnsi="宋体" w:cs="仿宋_GB2312"/>
          <w:color w:val="auto"/>
          <w:sz w:val="24"/>
        </w:rPr>
        <w:t>的法定代表人。</w:t>
      </w:r>
    </w:p>
    <w:p>
      <w:pPr>
        <w:spacing w:line="360" w:lineRule="auto"/>
        <w:ind w:left="540"/>
        <w:contextualSpacing/>
        <w:rPr>
          <w:rFonts w:ascii="宋体" w:hAnsi="宋体" w:cs="仿宋_GB2312"/>
          <w:color w:val="auto"/>
          <w:sz w:val="24"/>
        </w:rPr>
      </w:pPr>
      <w:r>
        <w:rPr>
          <w:rFonts w:hint="eastAsia" w:ascii="宋体" w:hAnsi="宋体" w:cs="仿宋_GB2312"/>
          <w:color w:val="auto"/>
          <w:sz w:val="24"/>
        </w:rPr>
        <w:t>特此证明。</w:t>
      </w:r>
    </w:p>
    <w:p>
      <w:pPr>
        <w:spacing w:line="360" w:lineRule="auto"/>
        <w:ind w:left="540"/>
        <w:contextualSpacing/>
        <w:rPr>
          <w:rFonts w:ascii="宋体" w:hAnsi="宋体" w:cs="仿宋_GB2312"/>
          <w:color w:val="auto"/>
          <w:sz w:val="24"/>
        </w:rPr>
      </w:pPr>
    </w:p>
    <w:p>
      <w:pPr>
        <w:spacing w:line="360" w:lineRule="auto"/>
        <w:ind w:left="540"/>
        <w:contextualSpacing/>
        <w:rPr>
          <w:rFonts w:ascii="宋体" w:hAnsi="宋体" w:cs="仿宋_GB2312"/>
          <w:color w:val="auto"/>
          <w:sz w:val="24"/>
        </w:rPr>
      </w:pPr>
    </w:p>
    <w:p>
      <w:pPr>
        <w:spacing w:line="360" w:lineRule="auto"/>
        <w:ind w:left="540"/>
        <w:contextualSpacing/>
        <w:rPr>
          <w:rFonts w:ascii="宋体" w:hAnsi="宋体" w:cs="仿宋_GB2312"/>
          <w:color w:val="auto"/>
          <w:sz w:val="24"/>
        </w:rPr>
      </w:pPr>
    </w:p>
    <w:p>
      <w:pPr>
        <w:spacing w:line="360" w:lineRule="auto"/>
        <w:ind w:left="540"/>
        <w:contextualSpacing/>
        <w:rPr>
          <w:rFonts w:ascii="宋体" w:hAnsi="宋体" w:cs="仿宋_GB2312"/>
          <w:color w:val="auto"/>
          <w:sz w:val="24"/>
        </w:rPr>
      </w:pPr>
      <w:r>
        <w:rPr>
          <w:rFonts w:hint="eastAsia" w:ascii="宋体" w:hAnsi="宋体" w:cs="仿宋_GB2312"/>
          <w:color w:val="auto"/>
          <w:sz w:val="24"/>
        </w:rPr>
        <w:t>附件：法定代表人有效身份证正反面复印件</w:t>
      </w:r>
    </w:p>
    <w:p>
      <w:pPr>
        <w:spacing w:line="360" w:lineRule="auto"/>
        <w:ind w:left="540"/>
        <w:contextualSpacing/>
        <w:rPr>
          <w:rFonts w:ascii="宋体" w:hAnsi="宋体" w:cs="仿宋_GB2312"/>
          <w:color w:val="auto"/>
          <w:sz w:val="24"/>
        </w:rPr>
      </w:pPr>
    </w:p>
    <w:p>
      <w:pPr>
        <w:spacing w:line="360" w:lineRule="auto"/>
        <w:ind w:left="540"/>
        <w:contextualSpacing/>
        <w:jc w:val="right"/>
        <w:rPr>
          <w:rFonts w:ascii="宋体" w:hAnsi="宋体" w:cs="仿宋_GB2312"/>
          <w:color w:val="auto"/>
          <w:sz w:val="24"/>
        </w:rPr>
      </w:pPr>
      <w:r>
        <w:rPr>
          <w:rFonts w:hint="eastAsia" w:ascii="宋体" w:hAnsi="宋体" w:cs="仿宋_GB2312"/>
          <w:color w:val="auto"/>
          <w:sz w:val="24"/>
        </w:rPr>
        <w:t>供应商（盖单位公章）：</w:t>
      </w:r>
    </w:p>
    <w:p>
      <w:pPr>
        <w:spacing w:line="360" w:lineRule="auto"/>
        <w:ind w:firstLine="7920" w:firstLineChars="3300"/>
        <w:contextualSpacing/>
        <w:rPr>
          <w:rFonts w:ascii="宋体" w:hAnsi="宋体" w:cs="仿宋_GB2312"/>
          <w:color w:val="auto"/>
          <w:sz w:val="24"/>
        </w:rPr>
      </w:pPr>
      <w:r>
        <w:rPr>
          <w:rFonts w:hint="eastAsia" w:ascii="宋体" w:hAnsi="宋体" w:cs="仿宋_GB2312"/>
          <w:color w:val="auto"/>
          <w:sz w:val="24"/>
        </w:rPr>
        <w:t>年</w:t>
      </w:r>
      <w:r>
        <w:rPr>
          <w:rFonts w:hint="eastAsia" w:ascii="宋体" w:hAnsi="宋体" w:cs="仿宋_GB2312"/>
          <w:color w:val="auto"/>
          <w:sz w:val="24"/>
          <w:lang w:val="en-US" w:eastAsia="zh-CN"/>
        </w:rPr>
        <w:t xml:space="preserve">  </w:t>
      </w:r>
      <w:r>
        <w:rPr>
          <w:rFonts w:hint="eastAsia" w:ascii="宋体" w:hAnsi="宋体" w:cs="仿宋_GB2312"/>
          <w:color w:val="auto"/>
          <w:sz w:val="24"/>
        </w:rPr>
        <w:t>月</w:t>
      </w:r>
      <w:r>
        <w:rPr>
          <w:rFonts w:hint="eastAsia" w:ascii="宋体" w:hAnsi="宋体" w:cs="仿宋_GB2312"/>
          <w:color w:val="auto"/>
          <w:sz w:val="24"/>
          <w:lang w:val="en-US" w:eastAsia="zh-CN"/>
        </w:rPr>
        <w:t xml:space="preserve">   </w:t>
      </w:r>
      <w:r>
        <w:rPr>
          <w:rFonts w:hint="eastAsia" w:ascii="宋体" w:hAnsi="宋体" w:cs="仿宋_GB2312"/>
          <w:color w:val="auto"/>
          <w:sz w:val="24"/>
        </w:rPr>
        <w:t>日</w:t>
      </w:r>
    </w:p>
    <w:p>
      <w:pPr>
        <w:spacing w:line="360" w:lineRule="auto"/>
        <w:contextualSpacing/>
        <w:jc w:val="center"/>
        <w:rPr>
          <w:rFonts w:hint="eastAsia" w:ascii="宋体" w:hAnsi="宋体" w:eastAsia="宋体" w:cs="仿宋_GB2312"/>
          <w:b/>
          <w:color w:val="auto"/>
          <w:sz w:val="24"/>
          <w:lang w:val="en-US" w:eastAsia="zh-CN"/>
        </w:rPr>
      </w:pPr>
      <w:r>
        <w:rPr>
          <w:rFonts w:hint="eastAsia" w:ascii="宋体" w:hAnsi="宋体" w:cs="仿宋_GB2312"/>
          <w:b/>
          <w:color w:val="auto"/>
          <w:sz w:val="24"/>
          <w:lang w:val="en-US" w:eastAsia="zh-CN"/>
        </w:rPr>
        <w:t xml:space="preserve"> </w:t>
      </w:r>
    </w:p>
    <w:p>
      <w:pPr>
        <w:spacing w:line="360" w:lineRule="auto"/>
        <w:contextualSpacing/>
        <w:jc w:val="left"/>
        <w:rPr>
          <w:rFonts w:ascii="宋体" w:hAnsi="宋体" w:cs="仿宋_GB2312"/>
          <w:color w:val="auto"/>
          <w:sz w:val="24"/>
        </w:rPr>
      </w:pPr>
    </w:p>
    <w:p>
      <w:pPr>
        <w:spacing w:line="360" w:lineRule="auto"/>
        <w:contextualSpacing/>
        <w:jc w:val="left"/>
        <w:rPr>
          <w:rFonts w:ascii="宋体" w:hAnsi="宋体" w:cs="仿宋_GB2312"/>
          <w:color w:val="auto"/>
          <w:sz w:val="24"/>
        </w:rPr>
      </w:pPr>
      <w:r>
        <w:rPr>
          <w:rFonts w:hint="eastAsia" w:ascii="宋体" w:hAnsi="宋体" w:cs="仿宋_GB2312"/>
          <w:color w:val="auto"/>
          <w:sz w:val="24"/>
        </w:rPr>
        <w:t>注：自然人竞标的无需提供，联合体竞标的只需牵头人出具。</w:t>
      </w:r>
    </w:p>
    <w:p>
      <w:pPr>
        <w:adjustRightInd w:val="0"/>
        <w:snapToGrid w:val="0"/>
        <w:spacing w:line="300" w:lineRule="auto"/>
        <w:jc w:val="left"/>
        <w:rPr>
          <w:rFonts w:ascii="宋体" w:hAnsi="宋体"/>
          <w:b/>
          <w:color w:val="auto"/>
        </w:rPr>
      </w:pPr>
    </w:p>
    <w:p>
      <w:pPr>
        <w:spacing w:line="50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br w:type="page"/>
      </w:r>
    </w:p>
    <w:p>
      <w:pPr>
        <w:spacing w:line="52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授权委托书</w:t>
      </w:r>
    </w:p>
    <w:p>
      <w:pPr>
        <w:spacing w:line="52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（如有委托时）</w:t>
      </w:r>
    </w:p>
    <w:p>
      <w:pPr>
        <w:spacing w:line="520" w:lineRule="exact"/>
        <w:rPr>
          <w:rFonts w:ascii="仿宋_GB2312" w:hAnsi="仿宋_GB2312" w:eastAsia="仿宋_GB2312" w:cs="仿宋_GB2312"/>
          <w:color w:val="auto"/>
          <w:sz w:val="32"/>
          <w:szCs w:val="32"/>
        </w:rPr>
      </w:pPr>
    </w:p>
    <w:p>
      <w:pPr>
        <w:spacing w:line="360" w:lineRule="auto"/>
        <w:contextualSpacing/>
        <w:rPr>
          <w:rFonts w:ascii="宋体" w:hAnsi="宋体" w:cs="仿宋_GB2312"/>
          <w:color w:val="auto"/>
          <w:sz w:val="24"/>
        </w:rPr>
      </w:pPr>
      <w:r>
        <w:rPr>
          <w:rFonts w:hint="eastAsia" w:ascii="宋体" w:hAnsi="宋体" w:cs="仿宋_GB2312"/>
          <w:color w:val="auto"/>
          <w:sz w:val="24"/>
        </w:rPr>
        <w:t>致：</w:t>
      </w:r>
      <w:r>
        <w:rPr>
          <w:rFonts w:hint="eastAsia" w:ascii="宋体" w:hAnsi="宋体" w:cs="仿宋_GB2312"/>
          <w:color w:val="auto"/>
          <w:sz w:val="24"/>
          <w:u w:val="single"/>
        </w:rPr>
        <w:t>（采购人名称）</w:t>
      </w:r>
      <w:r>
        <w:rPr>
          <w:rFonts w:hint="eastAsia" w:ascii="宋体" w:hAnsi="宋体" w:cs="仿宋_GB2312"/>
          <w:color w:val="auto"/>
          <w:sz w:val="24"/>
        </w:rPr>
        <w:t>：</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我</w:t>
      </w:r>
      <w:r>
        <w:rPr>
          <w:rFonts w:hint="eastAsia" w:ascii="宋体" w:hAnsi="宋体" w:cs="仿宋_GB2312"/>
          <w:color w:val="auto"/>
          <w:sz w:val="24"/>
          <w:u w:val="single"/>
        </w:rPr>
        <w:t xml:space="preserve">  （姓名）  </w:t>
      </w:r>
      <w:r>
        <w:rPr>
          <w:rFonts w:hint="eastAsia" w:ascii="宋体" w:hAnsi="宋体" w:cs="仿宋_GB2312"/>
          <w:color w:val="auto"/>
          <w:sz w:val="24"/>
        </w:rPr>
        <w:t>系</w:t>
      </w:r>
      <w:r>
        <w:rPr>
          <w:rFonts w:hint="eastAsia" w:ascii="宋体" w:hAnsi="宋体" w:cs="仿宋_GB2312"/>
          <w:color w:val="auto"/>
          <w:sz w:val="24"/>
          <w:u w:val="single"/>
        </w:rPr>
        <w:t xml:space="preserve">  （供应商名称）  </w:t>
      </w:r>
      <w:r>
        <w:rPr>
          <w:rFonts w:hint="eastAsia" w:ascii="宋体" w:hAnsi="宋体" w:cs="仿宋_GB2312"/>
          <w:color w:val="auto"/>
          <w:sz w:val="24"/>
        </w:rPr>
        <w:t>的（</w:t>
      </w:r>
      <w:r>
        <w:rPr>
          <w:rFonts w:hint="eastAsia" w:ascii="宋体" w:hAnsi="宋体" w:cs="仿宋_GB2312"/>
          <w:color w:val="auto"/>
          <w:sz w:val="24"/>
          <w:u w:val="single"/>
        </w:rPr>
        <w:sym w:font="Wingdings 2" w:char="00A3"/>
      </w:r>
      <w:r>
        <w:rPr>
          <w:rFonts w:hint="eastAsia" w:ascii="宋体" w:hAnsi="宋体" w:cs="仿宋_GB2312"/>
          <w:color w:val="auto"/>
          <w:sz w:val="24"/>
          <w:u w:val="single"/>
        </w:rPr>
        <w:t>法定代表人/□负责人/□自然人本人</w:t>
      </w:r>
      <w:r>
        <w:rPr>
          <w:rFonts w:hint="eastAsia" w:ascii="宋体" w:hAnsi="宋体" w:cs="仿宋_GB2312"/>
          <w:color w:val="auto"/>
          <w:sz w:val="24"/>
        </w:rPr>
        <w:t>），现授权</w:t>
      </w:r>
      <w:r>
        <w:rPr>
          <w:rFonts w:hint="eastAsia" w:ascii="宋体" w:hAnsi="宋体" w:cs="仿宋_GB2312"/>
          <w:color w:val="auto"/>
          <w:sz w:val="24"/>
          <w:u w:val="single"/>
        </w:rPr>
        <w:t xml:space="preserve"> （姓名） </w:t>
      </w:r>
      <w:r>
        <w:rPr>
          <w:rFonts w:hint="eastAsia" w:ascii="宋体" w:hAnsi="宋体" w:cs="仿宋_GB2312"/>
          <w:color w:val="auto"/>
          <w:sz w:val="24"/>
        </w:rPr>
        <w:t>以我方的名义参加项目的竞标活动，并代表我方全权办理针对上述项目的所有采购程序和环节的具体事务和签署相关文件。</w:t>
      </w:r>
    </w:p>
    <w:p>
      <w:pPr>
        <w:spacing w:line="360" w:lineRule="auto"/>
        <w:contextualSpacing/>
        <w:rPr>
          <w:rFonts w:ascii="宋体" w:hAnsi="宋体" w:cs="仿宋_GB2312"/>
          <w:color w:val="auto"/>
          <w:sz w:val="24"/>
        </w:rPr>
      </w:pPr>
      <w:r>
        <w:rPr>
          <w:rFonts w:hint="eastAsia" w:ascii="宋体" w:hAnsi="宋体" w:cs="仿宋_GB2312"/>
          <w:color w:val="auto"/>
          <w:sz w:val="24"/>
        </w:rPr>
        <w:t xml:space="preserve">    我方对委托代理人的签字事项负全部责任。</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本授权书自签署之日起生效，在撤销授权的书面通知以前，本授权书一直有效。委托代理人在授权书有效期内签署的所有文件不因授权的撤销而失效。</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委托代理人无转委托权，特此委托。</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附：法定代表人身份证明书及委托代理人有效身份证正反面复印件</w:t>
      </w:r>
    </w:p>
    <w:p>
      <w:pPr>
        <w:spacing w:line="360" w:lineRule="auto"/>
        <w:contextualSpacing/>
        <w:rPr>
          <w:rFonts w:ascii="宋体" w:hAnsi="宋体" w:cs="仿宋_GB2312"/>
          <w:color w:val="auto"/>
          <w:sz w:val="24"/>
        </w:rPr>
      </w:pPr>
    </w:p>
    <w:p>
      <w:pPr>
        <w:spacing w:line="360" w:lineRule="auto"/>
        <w:contextualSpacing/>
        <w:rPr>
          <w:rFonts w:ascii="宋体" w:hAnsi="宋体" w:cs="仿宋_GB2312"/>
          <w:color w:val="auto"/>
          <w:sz w:val="24"/>
        </w:rPr>
      </w:pPr>
      <w:r>
        <w:rPr>
          <w:rFonts w:hint="eastAsia" w:ascii="宋体" w:hAnsi="宋体" w:cs="仿宋_GB2312"/>
          <w:color w:val="auto"/>
          <w:sz w:val="24"/>
        </w:rPr>
        <w:t>委托代理人（</w:t>
      </w:r>
      <w:r>
        <w:rPr>
          <w:rFonts w:hint="eastAsia" w:ascii="宋体" w:hAnsi="宋体"/>
          <w:color w:val="auto"/>
          <w:sz w:val="24"/>
        </w:rPr>
        <w:t>签字</w:t>
      </w:r>
      <w:r>
        <w:rPr>
          <w:rFonts w:hint="eastAsia" w:ascii="宋体" w:hAnsi="宋体" w:cs="仿宋_GB2312"/>
          <w:color w:val="auto"/>
          <w:sz w:val="24"/>
        </w:rPr>
        <w:t xml:space="preserve">）：     法定代表人（签字或者盖章）：                    </w:t>
      </w:r>
    </w:p>
    <w:p>
      <w:pPr>
        <w:spacing w:line="360" w:lineRule="auto"/>
        <w:contextualSpacing/>
        <w:rPr>
          <w:rFonts w:ascii="宋体" w:hAnsi="宋体" w:cs="仿宋_GB2312"/>
          <w:color w:val="auto"/>
          <w:sz w:val="24"/>
        </w:rPr>
      </w:pPr>
      <w:r>
        <w:rPr>
          <w:rFonts w:hint="eastAsia" w:ascii="宋体" w:hAnsi="宋体" w:cs="仿宋_GB2312"/>
          <w:color w:val="auto"/>
          <w:sz w:val="24"/>
        </w:rPr>
        <w:t xml:space="preserve">委托代理人身份证号码：                              </w:t>
      </w:r>
    </w:p>
    <w:p>
      <w:pPr>
        <w:spacing w:line="360" w:lineRule="auto"/>
        <w:contextualSpacing/>
        <w:rPr>
          <w:rFonts w:ascii="宋体" w:hAnsi="宋体" w:cs="仿宋_GB2312"/>
          <w:color w:val="auto"/>
          <w:sz w:val="24"/>
        </w:rPr>
      </w:pPr>
    </w:p>
    <w:p>
      <w:pPr>
        <w:spacing w:line="360" w:lineRule="auto"/>
        <w:contextualSpacing/>
        <w:rPr>
          <w:rFonts w:ascii="宋体" w:hAnsi="宋体" w:cs="仿宋_GB2312"/>
          <w:color w:val="auto"/>
          <w:sz w:val="24"/>
        </w:rPr>
      </w:pPr>
      <w:r>
        <w:rPr>
          <w:rFonts w:hint="eastAsia" w:ascii="宋体" w:hAnsi="宋体" w:cs="仿宋_GB2312"/>
          <w:color w:val="auto"/>
          <w:sz w:val="24"/>
        </w:rPr>
        <w:t xml:space="preserve">                         供应商（盖单位公章）：                      </w:t>
      </w:r>
    </w:p>
    <w:p>
      <w:pPr>
        <w:spacing w:line="360" w:lineRule="auto"/>
        <w:contextualSpacing/>
        <w:rPr>
          <w:rFonts w:ascii="宋体" w:hAnsi="宋体" w:cs="仿宋_GB2312"/>
          <w:color w:val="auto"/>
          <w:sz w:val="24"/>
        </w:rPr>
      </w:pPr>
      <w:r>
        <w:rPr>
          <w:rFonts w:hint="eastAsia" w:ascii="宋体" w:hAnsi="宋体" w:cs="仿宋_GB2312"/>
          <w:color w:val="auto"/>
          <w:sz w:val="24"/>
        </w:rPr>
        <w:t xml:space="preserve">                                         年    月    日</w:t>
      </w:r>
    </w:p>
    <w:p>
      <w:pPr>
        <w:spacing w:line="360" w:lineRule="auto"/>
        <w:contextualSpacing/>
        <w:rPr>
          <w:rFonts w:ascii="宋体" w:hAnsi="宋体" w:cs="仿宋_GB2312"/>
          <w:color w:val="auto"/>
          <w:sz w:val="24"/>
        </w:rPr>
      </w:pPr>
    </w:p>
    <w:p>
      <w:pPr>
        <w:spacing w:line="360" w:lineRule="auto"/>
        <w:contextualSpacing/>
        <w:rPr>
          <w:rFonts w:ascii="宋体" w:hAnsi="宋体" w:cs="仿宋_GB2312"/>
          <w:color w:val="auto"/>
          <w:sz w:val="24"/>
        </w:rPr>
      </w:pPr>
      <w:r>
        <w:rPr>
          <w:rFonts w:hint="eastAsia" w:ascii="宋体" w:hAnsi="宋体" w:cs="仿宋_GB2312"/>
          <w:color w:val="auto"/>
          <w:sz w:val="24"/>
        </w:rPr>
        <w:t>注：1. 法定代表人必须在授权委托书上签字或者盖章，委托代理人必须在授权委托书上签字，</w:t>
      </w:r>
      <w:r>
        <w:rPr>
          <w:rFonts w:hint="eastAsia" w:ascii="宋体" w:hAnsi="宋体" w:cs="仿宋_GB2312"/>
          <w:b/>
          <w:color w:val="auto"/>
          <w:sz w:val="24"/>
        </w:rPr>
        <w:t>否则其响应文件按无效响应处理。</w:t>
      </w:r>
    </w:p>
    <w:p>
      <w:pPr>
        <w:spacing w:line="360" w:lineRule="auto"/>
        <w:ind w:firstLine="480" w:firstLineChars="200"/>
        <w:contextualSpacing/>
        <w:jc w:val="left"/>
        <w:rPr>
          <w:rFonts w:ascii="宋体" w:hAnsi="宋体" w:cs="仿宋_GB2312"/>
          <w:color w:val="auto"/>
          <w:sz w:val="24"/>
        </w:rPr>
      </w:pPr>
      <w:r>
        <w:rPr>
          <w:rFonts w:ascii="宋体" w:hAnsi="宋体" w:cs="仿宋_GB2312"/>
          <w:color w:val="auto"/>
          <w:sz w:val="24"/>
        </w:rPr>
        <w:t>2.</w:t>
      </w:r>
      <w:bookmarkStart w:id="84" w:name="_Hlk65853109"/>
      <w:bookmarkStart w:id="85" w:name="_Hlk65853542"/>
      <w:r>
        <w:rPr>
          <w:rFonts w:hint="eastAsia" w:ascii="宋体" w:hAnsi="宋体" w:cs="仿宋_GB2312"/>
          <w:color w:val="auto"/>
          <w:sz w:val="24"/>
        </w:rPr>
        <w:t>法人、其他组织竞标时“我方”是指“我单位”，自然人竞标时“我方”是指“本人”。</w:t>
      </w:r>
      <w:bookmarkEnd w:id="84"/>
    </w:p>
    <w:bookmarkEnd w:id="85"/>
    <w:p>
      <w:pPr>
        <w:spacing w:line="360" w:lineRule="auto"/>
        <w:ind w:firstLine="420" w:firstLineChars="200"/>
        <w:jc w:val="left"/>
        <w:rPr>
          <w:rFonts w:ascii="仿宋_GB2312" w:hAnsi="仿宋_GB2312" w:eastAsia="仿宋_GB2312" w:cs="仿宋_GB2312"/>
          <w:color w:val="auto"/>
        </w:rPr>
      </w:pPr>
    </w:p>
    <w:p>
      <w:pPr>
        <w:spacing w:line="500" w:lineRule="exact"/>
        <w:jc w:val="center"/>
        <w:rPr>
          <w:rFonts w:ascii="方正小标宋简体" w:hAnsi="方正小标宋简体" w:eastAsia="方正小标宋简体" w:cs="方正小标宋简体"/>
          <w:bCs/>
          <w:color w:val="auto"/>
          <w:sz w:val="44"/>
          <w:szCs w:val="44"/>
        </w:rPr>
      </w:pPr>
      <w:r>
        <w:rPr>
          <w:rFonts w:ascii="仿宋_GB2312" w:hAnsi="仿宋_GB2312" w:eastAsia="仿宋_GB2312" w:cs="仿宋_GB2312"/>
          <w:color w:val="auto"/>
        </w:rPr>
        <w:br w:type="page"/>
      </w:r>
      <w:r>
        <w:rPr>
          <w:rFonts w:hint="eastAsia" w:ascii="方正小标宋简体" w:hAnsi="方正小标宋简体" w:eastAsia="方正小标宋简体" w:cs="方正小标宋简体"/>
          <w:bCs/>
          <w:color w:val="auto"/>
          <w:sz w:val="44"/>
          <w:szCs w:val="44"/>
        </w:rPr>
        <w:t>商务要求偏离表格式</w:t>
      </w:r>
    </w:p>
    <w:p>
      <w:pPr>
        <w:spacing w:line="500" w:lineRule="exact"/>
        <w:jc w:val="center"/>
        <w:rPr>
          <w:rFonts w:ascii="宋体" w:hAnsi="宋体"/>
          <w:b/>
          <w:i/>
          <w:color w:val="auto"/>
          <w:sz w:val="32"/>
          <w:szCs w:val="32"/>
        </w:rPr>
      </w:pPr>
      <w:r>
        <w:rPr>
          <w:rFonts w:hint="eastAsia" w:ascii="方正小标宋简体" w:hAnsi="方正小标宋简体" w:eastAsia="方正小标宋简体" w:cs="方正小标宋简体"/>
          <w:bCs/>
          <w:i/>
          <w:color w:val="auto"/>
          <w:sz w:val="32"/>
          <w:szCs w:val="32"/>
        </w:rPr>
        <w:t>（注：按采购需求具体条款修改）</w:t>
      </w:r>
    </w:p>
    <w:p>
      <w:pPr>
        <w:snapToGrid w:val="0"/>
        <w:spacing w:before="50"/>
        <w:jc w:val="left"/>
        <w:rPr>
          <w:rFonts w:ascii="宋体" w:hAnsi="宋体"/>
          <w:color w:val="auto"/>
          <w:sz w:val="24"/>
        </w:rPr>
      </w:pPr>
    </w:p>
    <w:p>
      <w:pPr>
        <w:pStyle w:val="24"/>
        <w:spacing w:line="360" w:lineRule="auto"/>
        <w:contextualSpacing/>
        <w:rPr>
          <w:rFonts w:hAnsi="宋体" w:cs="仿宋_GB2312"/>
          <w:color w:val="auto"/>
          <w:sz w:val="24"/>
          <w:szCs w:val="24"/>
        </w:rPr>
      </w:pPr>
      <w:r>
        <w:rPr>
          <w:rFonts w:hint="eastAsia" w:hAnsi="宋体" w:cs="仿宋_GB2312"/>
          <w:color w:val="auto"/>
          <w:sz w:val="24"/>
          <w:szCs w:val="24"/>
        </w:rPr>
        <w:t>所竞分标：</w:t>
      </w:r>
    </w:p>
    <w:p>
      <w:pPr>
        <w:spacing w:line="360" w:lineRule="auto"/>
        <w:contextualSpacing/>
        <w:jc w:val="left"/>
        <w:rPr>
          <w:rFonts w:ascii="宋体" w:hAnsi="宋体" w:cs="仿宋_GB2312"/>
          <w:color w:val="auto"/>
          <w:sz w:val="24"/>
          <w:u w:val="single"/>
        </w:rPr>
      </w:pPr>
    </w:p>
    <w:tbl>
      <w:tblPr>
        <w:tblStyle w:val="41"/>
        <w:tblpPr w:leftFromText="180" w:rightFromText="180" w:vertAnchor="text" w:horzAnchor="margin" w:tblpY="-9"/>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78"/>
        <w:gridCol w:w="2668"/>
        <w:gridCol w:w="2775"/>
        <w:gridCol w:w="168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2178"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r>
              <w:rPr>
                <w:rFonts w:hint="eastAsia" w:ascii="宋体" w:hAnsi="宋体" w:cs="仿宋_GB2312"/>
                <w:color w:val="auto"/>
                <w:sz w:val="24"/>
              </w:rPr>
              <w:t>项目</w:t>
            </w:r>
          </w:p>
        </w:tc>
        <w:tc>
          <w:tcPr>
            <w:tcW w:w="2668"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r>
              <w:rPr>
                <w:rFonts w:hint="eastAsia" w:ascii="宋体" w:hAnsi="宋体" w:cs="仿宋_GB2312"/>
                <w:color w:val="auto"/>
                <w:sz w:val="24"/>
              </w:rPr>
              <w:t>磋商文件商务要求</w:t>
            </w:r>
          </w:p>
        </w:tc>
        <w:tc>
          <w:tcPr>
            <w:tcW w:w="2775"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r>
              <w:rPr>
                <w:rFonts w:hint="eastAsia" w:ascii="宋体" w:hAnsi="宋体" w:cs="仿宋_GB2312"/>
                <w:color w:val="auto"/>
                <w:sz w:val="24"/>
              </w:rPr>
              <w:t>供应商的响应</w:t>
            </w:r>
          </w:p>
        </w:tc>
        <w:tc>
          <w:tcPr>
            <w:tcW w:w="1687"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r>
              <w:rPr>
                <w:rFonts w:hint="eastAsia" w:ascii="宋体" w:hAnsi="宋体" w:cs="仿宋_GB2312"/>
                <w:color w:val="auto"/>
                <w:sz w:val="24"/>
              </w:rPr>
              <w:t>偏离说明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217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olor w:val="auto"/>
                <w:sz w:val="24"/>
              </w:rPr>
            </w:pPr>
            <w:r>
              <w:rPr>
                <w:rFonts w:hint="eastAsia" w:ascii="宋体" w:hAnsi="宋体"/>
                <w:color w:val="auto"/>
                <w:sz w:val="24"/>
              </w:rPr>
              <w:t>交货期及地点</w:t>
            </w:r>
          </w:p>
        </w:tc>
        <w:tc>
          <w:tcPr>
            <w:tcW w:w="2668"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c>
          <w:tcPr>
            <w:tcW w:w="2775"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c>
          <w:tcPr>
            <w:tcW w:w="1687"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217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olor w:val="auto"/>
                <w:sz w:val="24"/>
              </w:rPr>
            </w:pPr>
            <w:r>
              <w:rPr>
                <w:rFonts w:hint="eastAsia" w:ascii="宋体" w:hAnsi="宋体"/>
                <w:color w:val="auto"/>
                <w:sz w:val="24"/>
              </w:rPr>
              <w:t>服务标准、服务效率、售后服务要求</w:t>
            </w:r>
          </w:p>
        </w:tc>
        <w:tc>
          <w:tcPr>
            <w:tcW w:w="2668"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c>
          <w:tcPr>
            <w:tcW w:w="2775"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c>
          <w:tcPr>
            <w:tcW w:w="1687"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78"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r>
              <w:rPr>
                <w:rFonts w:hint="eastAsia" w:ascii="宋体" w:hAnsi="宋体" w:cs="仿宋_GB2312"/>
                <w:color w:val="auto"/>
                <w:sz w:val="24"/>
              </w:rPr>
              <w:t>…</w:t>
            </w:r>
          </w:p>
        </w:tc>
        <w:tc>
          <w:tcPr>
            <w:tcW w:w="2668"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c>
          <w:tcPr>
            <w:tcW w:w="2775"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c>
          <w:tcPr>
            <w:tcW w:w="1687" w:type="dxa"/>
            <w:tcBorders>
              <w:top w:val="single" w:color="auto" w:sz="4" w:space="0"/>
              <w:left w:val="single" w:color="auto" w:sz="4" w:space="0"/>
              <w:bottom w:val="single" w:color="auto" w:sz="4" w:space="0"/>
              <w:right w:val="single" w:color="auto" w:sz="4" w:space="0"/>
            </w:tcBorders>
            <w:noWrap/>
            <w:vAlign w:val="center"/>
          </w:tcPr>
          <w:p>
            <w:pPr>
              <w:spacing w:line="360" w:lineRule="auto"/>
              <w:contextualSpacing/>
              <w:jc w:val="center"/>
              <w:rPr>
                <w:rFonts w:ascii="宋体" w:hAnsi="宋体" w:cs="仿宋_GB2312"/>
                <w:color w:val="auto"/>
                <w:sz w:val="24"/>
              </w:rPr>
            </w:pPr>
          </w:p>
        </w:tc>
      </w:tr>
    </w:tbl>
    <w:p>
      <w:pPr>
        <w:pStyle w:val="20"/>
        <w:spacing w:line="360" w:lineRule="auto"/>
        <w:contextualSpacing/>
        <w:rPr>
          <w:rFonts w:ascii="宋体" w:hAnsi="宋体"/>
          <w:color w:val="auto"/>
          <w:kern w:val="0"/>
        </w:rPr>
      </w:pPr>
      <w:r>
        <w:rPr>
          <w:rFonts w:hint="eastAsia" w:ascii="宋体" w:hAnsi="宋体"/>
          <w:color w:val="auto"/>
          <w:kern w:val="0"/>
        </w:rPr>
        <w:t>注：</w:t>
      </w:r>
    </w:p>
    <w:p>
      <w:pPr>
        <w:pStyle w:val="20"/>
        <w:spacing w:line="360" w:lineRule="auto"/>
        <w:contextualSpacing/>
        <w:rPr>
          <w:rFonts w:ascii="宋体" w:hAnsi="宋体"/>
          <w:color w:val="auto"/>
          <w:kern w:val="0"/>
        </w:rPr>
      </w:pPr>
      <w:r>
        <w:rPr>
          <w:rFonts w:hint="eastAsia" w:ascii="宋体" w:hAnsi="宋体"/>
          <w:color w:val="auto"/>
          <w:kern w:val="0"/>
        </w:rPr>
        <w:t>1. 说明：应对照磋商文件“第三章 采购需求”中的商务要求逐条作出明确响应，并作出偏离说明。</w:t>
      </w:r>
    </w:p>
    <w:p>
      <w:pPr>
        <w:spacing w:line="360" w:lineRule="auto"/>
        <w:contextualSpacing/>
        <w:jc w:val="left"/>
        <w:rPr>
          <w:rFonts w:ascii="宋体" w:hAnsi="宋体" w:cs="仿宋_GB2312"/>
          <w:color w:val="auto"/>
          <w:sz w:val="24"/>
          <w:u w:val="single"/>
        </w:rPr>
      </w:pPr>
      <w:r>
        <w:rPr>
          <w:rFonts w:hint="eastAsia" w:ascii="宋体" w:hAnsi="宋体"/>
          <w:color w:val="auto"/>
          <w:kern w:val="0"/>
          <w:sz w:val="24"/>
        </w:rPr>
        <w:t>2.供应商应根据自身的承诺，对照磋商文件要求在“偏离说明”中注明“正偏离”、“负偏离”或者“无偏离”。既不属于“正偏离”也不属于“负偏离”即为“无偏离”。</w:t>
      </w:r>
    </w:p>
    <w:p>
      <w:pPr>
        <w:spacing w:line="360" w:lineRule="auto"/>
        <w:ind w:right="-817" w:rightChars="-389"/>
        <w:contextualSpacing/>
        <w:rPr>
          <w:rFonts w:ascii="宋体" w:hAnsi="宋体" w:cs="仿宋_GB2312"/>
          <w:color w:val="auto"/>
          <w:sz w:val="24"/>
        </w:rPr>
      </w:pPr>
    </w:p>
    <w:p>
      <w:pPr>
        <w:spacing w:line="360" w:lineRule="auto"/>
        <w:ind w:right="-817" w:rightChars="-389"/>
        <w:contextualSpacing/>
        <w:jc w:val="center"/>
        <w:rPr>
          <w:rFonts w:ascii="宋体" w:hAnsi="宋体" w:cs="仿宋_GB2312"/>
          <w:color w:val="auto"/>
          <w:sz w:val="24"/>
        </w:rPr>
      </w:pPr>
      <w:r>
        <w:rPr>
          <w:rFonts w:hint="eastAsia" w:ascii="宋体" w:hAnsi="宋体" w:cs="仿宋_GB2312"/>
          <w:color w:val="auto"/>
          <w:sz w:val="24"/>
        </w:rPr>
        <w:t>法定代表人或者委托代理人（签字）：</w:t>
      </w:r>
    </w:p>
    <w:p>
      <w:pPr>
        <w:spacing w:line="360" w:lineRule="auto"/>
        <w:ind w:right="-817" w:rightChars="-389" w:firstLine="2880" w:firstLineChars="1200"/>
        <w:contextualSpacing/>
        <w:rPr>
          <w:rFonts w:ascii="宋体" w:hAnsi="宋体" w:cs="仿宋_GB2312"/>
          <w:color w:val="auto"/>
          <w:sz w:val="24"/>
        </w:rPr>
      </w:pPr>
      <w:r>
        <w:rPr>
          <w:rFonts w:hint="eastAsia" w:ascii="宋体" w:hAnsi="宋体" w:cs="仿宋_GB2312"/>
          <w:color w:val="auto"/>
          <w:sz w:val="24"/>
        </w:rPr>
        <w:t xml:space="preserve">供应商（盖单位公章）：      </w:t>
      </w:r>
    </w:p>
    <w:p>
      <w:pPr>
        <w:spacing w:line="360" w:lineRule="auto"/>
        <w:ind w:right="-817" w:rightChars="-389" w:firstLine="4080" w:firstLineChars="1700"/>
        <w:contextualSpacing/>
        <w:rPr>
          <w:rFonts w:ascii="仿宋_GB2312" w:hAnsi="仿宋_GB2312" w:eastAsia="仿宋_GB2312" w:cs="仿宋_GB2312"/>
          <w:b/>
          <w:color w:val="auto"/>
          <w:sz w:val="32"/>
          <w:szCs w:val="32"/>
        </w:rPr>
      </w:pPr>
      <w:r>
        <w:rPr>
          <w:rFonts w:hint="eastAsia" w:ascii="宋体" w:hAnsi="宋体" w:cs="仿宋_GB2312"/>
          <w:color w:val="auto"/>
          <w:sz w:val="24"/>
        </w:rPr>
        <w:t>日期：   年   月   日</w:t>
      </w:r>
    </w:p>
    <w:p>
      <w:pPr>
        <w:adjustRightInd w:val="0"/>
        <w:snapToGrid w:val="0"/>
        <w:spacing w:line="520" w:lineRule="exact"/>
        <w:ind w:firstLine="7040" w:firstLineChars="1600"/>
        <w:jc w:val="center"/>
        <w:rPr>
          <w:rFonts w:ascii="方正小标宋简体" w:hAnsi="方正小标宋简体" w:eastAsia="方正小标宋简体" w:cs="方正小标宋简体"/>
          <w:bCs/>
          <w:color w:val="auto"/>
          <w:sz w:val="44"/>
          <w:szCs w:val="44"/>
        </w:rPr>
      </w:pPr>
    </w:p>
    <w:p>
      <w:pPr>
        <w:adjustRightInd w:val="0"/>
        <w:snapToGrid w:val="0"/>
        <w:spacing w:line="520" w:lineRule="exact"/>
        <w:ind w:firstLine="7040" w:firstLineChars="1600"/>
        <w:jc w:val="center"/>
        <w:rPr>
          <w:rFonts w:ascii="方正小标宋简体" w:hAnsi="方正小标宋简体" w:eastAsia="方正小标宋简体" w:cs="方正小标宋简体"/>
          <w:bCs/>
          <w:color w:val="auto"/>
          <w:sz w:val="44"/>
          <w:szCs w:val="44"/>
        </w:rPr>
      </w:pPr>
    </w:p>
    <w:p>
      <w:pPr>
        <w:adjustRightInd w:val="0"/>
        <w:snapToGrid w:val="0"/>
        <w:spacing w:line="520" w:lineRule="exact"/>
        <w:ind w:firstLine="7040" w:firstLineChars="1600"/>
        <w:jc w:val="center"/>
        <w:rPr>
          <w:rFonts w:ascii="方正小标宋简体" w:hAnsi="方正小标宋简体" w:eastAsia="方正小标宋简体" w:cs="方正小标宋简体"/>
          <w:bCs/>
          <w:color w:val="auto"/>
          <w:sz w:val="44"/>
          <w:szCs w:val="44"/>
        </w:rPr>
      </w:pPr>
    </w:p>
    <w:p>
      <w:pPr>
        <w:adjustRightInd w:val="0"/>
        <w:snapToGrid w:val="0"/>
        <w:spacing w:line="300" w:lineRule="auto"/>
        <w:rPr>
          <w:rFonts w:ascii="宋体" w:hAnsi="宋体"/>
          <w:color w:val="auto"/>
          <w:u w:val="single"/>
        </w:rPr>
      </w:pPr>
    </w:p>
    <w:p>
      <w:pPr>
        <w:adjustRightInd w:val="0"/>
        <w:snapToGrid w:val="0"/>
        <w:spacing w:line="300" w:lineRule="auto"/>
        <w:jc w:val="center"/>
        <w:rPr>
          <w:rFonts w:ascii="方正小标宋简体" w:hAnsi="方正小标宋简体" w:eastAsia="方正小标宋简体" w:cs="方正小标宋简体"/>
          <w:bCs/>
          <w:color w:val="auto"/>
          <w:sz w:val="44"/>
          <w:szCs w:val="44"/>
        </w:rPr>
      </w:pPr>
      <w:r>
        <w:rPr>
          <w:rFonts w:ascii="方正小标宋简体" w:hAnsi="方正小标宋简体" w:eastAsia="方正小标宋简体" w:cs="方正小标宋简体"/>
          <w:bCs/>
          <w:color w:val="auto"/>
          <w:sz w:val="44"/>
          <w:szCs w:val="44"/>
        </w:rPr>
        <w:br w:type="page"/>
      </w:r>
      <w:r>
        <w:rPr>
          <w:rFonts w:hint="eastAsia" w:ascii="方正小标宋简体" w:hAnsi="方正小标宋简体" w:eastAsia="方正小标宋简体" w:cs="方正小标宋简体"/>
          <w:bCs/>
          <w:color w:val="auto"/>
          <w:sz w:val="44"/>
          <w:szCs w:val="44"/>
        </w:rPr>
        <w:t>技术要求偏离表</w:t>
      </w:r>
    </w:p>
    <w:p>
      <w:pPr>
        <w:spacing w:line="360" w:lineRule="auto"/>
        <w:contextualSpacing/>
        <w:rPr>
          <w:rFonts w:ascii="仿宋_GB2312" w:hAnsi="仿宋_GB2312" w:eastAsia="仿宋_GB2312" w:cs="仿宋_GB2312"/>
          <w:color w:val="auto"/>
          <w:sz w:val="32"/>
          <w:szCs w:val="32"/>
        </w:rPr>
      </w:pPr>
    </w:p>
    <w:p>
      <w:pPr>
        <w:spacing w:line="360" w:lineRule="auto"/>
        <w:contextualSpacing/>
        <w:rPr>
          <w:rFonts w:ascii="宋体" w:hAnsi="宋体" w:cs="仿宋_GB2312"/>
          <w:color w:val="auto"/>
          <w:sz w:val="24"/>
          <w:u w:val="single"/>
        </w:rPr>
      </w:pPr>
      <w:r>
        <w:rPr>
          <w:rFonts w:hint="eastAsia" w:ascii="宋体" w:hAnsi="宋体" w:cs="仿宋_GB2312"/>
          <w:color w:val="auto"/>
          <w:sz w:val="24"/>
        </w:rPr>
        <w:t>采购项目编号：</w:t>
      </w:r>
    </w:p>
    <w:p>
      <w:pPr>
        <w:spacing w:line="360" w:lineRule="auto"/>
        <w:contextualSpacing/>
        <w:rPr>
          <w:rFonts w:ascii="宋体" w:hAnsi="宋体" w:cs="仿宋_GB2312"/>
          <w:color w:val="auto"/>
          <w:sz w:val="24"/>
        </w:rPr>
      </w:pPr>
      <w:r>
        <w:rPr>
          <w:rFonts w:hint="eastAsia" w:ascii="宋体" w:hAnsi="宋体" w:cs="仿宋_GB2312"/>
          <w:color w:val="auto"/>
          <w:sz w:val="24"/>
        </w:rPr>
        <w:t>采购项目名称：</w:t>
      </w:r>
    </w:p>
    <w:p>
      <w:pPr>
        <w:spacing w:line="360" w:lineRule="auto"/>
        <w:contextualSpacing/>
        <w:rPr>
          <w:rFonts w:ascii="宋体" w:hAnsi="宋体" w:cs="仿宋_GB2312"/>
          <w:color w:val="auto"/>
          <w:sz w:val="24"/>
          <w:u w:val="single"/>
        </w:rPr>
      </w:pPr>
      <w:r>
        <w:rPr>
          <w:rFonts w:hint="eastAsia" w:ascii="宋体" w:hAnsi="宋体" w:cs="仿宋_GB2312"/>
          <w:color w:val="auto"/>
          <w:sz w:val="24"/>
        </w:rPr>
        <w:t>分标号：</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6"/>
        <w:gridCol w:w="915"/>
        <w:gridCol w:w="3038"/>
        <w:gridCol w:w="2734"/>
        <w:gridCol w:w="149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16"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86" w:name="_Toc301781611"/>
            <w:bookmarkStart w:id="87" w:name="_Toc254970729"/>
            <w:bookmarkStart w:id="88" w:name="_Toc383699906"/>
            <w:bookmarkStart w:id="89" w:name="_Toc254970588"/>
            <w:bookmarkStart w:id="90" w:name="_Toc373333689"/>
            <w:bookmarkStart w:id="91" w:name="_Toc297193185"/>
            <w:bookmarkStart w:id="92" w:name="_Toc173066401"/>
            <w:bookmarkStart w:id="93" w:name="_Toc173211900"/>
            <w:bookmarkStart w:id="94" w:name="_Toc295404981"/>
            <w:r>
              <w:rPr>
                <w:rFonts w:hint="eastAsia" w:ascii="宋体" w:hAnsi="宋体" w:eastAsia="宋体"/>
                <w:color w:val="auto"/>
                <w:sz w:val="24"/>
                <w:szCs w:val="24"/>
              </w:rPr>
              <w:t>序号</w:t>
            </w:r>
            <w:bookmarkEnd w:id="86"/>
            <w:bookmarkEnd w:id="87"/>
            <w:bookmarkEnd w:id="88"/>
            <w:bookmarkEnd w:id="89"/>
            <w:bookmarkEnd w:id="90"/>
            <w:bookmarkEnd w:id="91"/>
            <w:bookmarkEnd w:id="92"/>
            <w:bookmarkEnd w:id="93"/>
            <w:bookmarkEnd w:id="94"/>
          </w:p>
        </w:tc>
        <w:tc>
          <w:tcPr>
            <w:tcW w:w="915"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r>
              <w:rPr>
                <w:rFonts w:hint="eastAsia" w:ascii="宋体" w:hAnsi="宋体" w:eastAsia="宋体"/>
                <w:color w:val="auto"/>
                <w:sz w:val="24"/>
                <w:szCs w:val="24"/>
              </w:rPr>
              <w:t>名称</w:t>
            </w:r>
          </w:p>
        </w:tc>
        <w:tc>
          <w:tcPr>
            <w:tcW w:w="3038" w:type="dxa"/>
            <w:tcBorders>
              <w:left w:val="single" w:color="auto" w:sz="4" w:space="0"/>
            </w:tcBorders>
            <w:noWrap/>
            <w:vAlign w:val="center"/>
          </w:tcPr>
          <w:p>
            <w:pPr>
              <w:pStyle w:val="21"/>
              <w:spacing w:line="360" w:lineRule="auto"/>
              <w:ind w:firstLine="0" w:firstLineChars="0"/>
              <w:contextualSpacing/>
              <w:jc w:val="center"/>
              <w:rPr>
                <w:rFonts w:hint="eastAsia" w:ascii="宋体" w:hAnsi="宋体" w:eastAsia="宋体"/>
                <w:color w:val="auto"/>
                <w:sz w:val="24"/>
                <w:szCs w:val="24"/>
                <w:lang w:eastAsia="zh-CN"/>
              </w:rPr>
            </w:pPr>
            <w:r>
              <w:rPr>
                <w:rFonts w:hint="eastAsia" w:ascii="宋体" w:hAnsi="宋体" w:eastAsia="宋体"/>
                <w:color w:val="auto"/>
                <w:sz w:val="24"/>
                <w:szCs w:val="24"/>
              </w:rPr>
              <w:t>磋商文件</w:t>
            </w:r>
            <w:r>
              <w:rPr>
                <w:rFonts w:hint="eastAsia" w:ascii="宋体" w:hAnsi="宋体" w:eastAsia="宋体"/>
                <w:color w:val="auto"/>
                <w:sz w:val="24"/>
                <w:szCs w:val="24"/>
                <w:lang w:eastAsia="zh-CN"/>
              </w:rPr>
              <w:t>技术参数及性能（配置）要求</w:t>
            </w:r>
          </w:p>
        </w:tc>
        <w:tc>
          <w:tcPr>
            <w:tcW w:w="2734"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95" w:name="_Toc301781613"/>
            <w:bookmarkStart w:id="96" w:name="_Toc383699908"/>
            <w:bookmarkStart w:id="97" w:name="_Toc297193187"/>
            <w:bookmarkStart w:id="98" w:name="_Toc254970731"/>
            <w:bookmarkStart w:id="99" w:name="_Toc173211902"/>
            <w:bookmarkStart w:id="100" w:name="_Toc373333691"/>
            <w:bookmarkStart w:id="101" w:name="_Toc173066403"/>
            <w:bookmarkStart w:id="102" w:name="_Toc295404983"/>
            <w:bookmarkStart w:id="103" w:name="_Toc254970590"/>
            <w:r>
              <w:rPr>
                <w:rFonts w:hint="eastAsia" w:ascii="宋体" w:hAnsi="宋体" w:eastAsia="宋体"/>
                <w:color w:val="auto"/>
                <w:sz w:val="24"/>
                <w:szCs w:val="24"/>
              </w:rPr>
              <w:t>竞标响应</w:t>
            </w:r>
            <w:bookmarkEnd w:id="95"/>
            <w:bookmarkEnd w:id="96"/>
            <w:bookmarkEnd w:id="97"/>
            <w:bookmarkEnd w:id="98"/>
            <w:bookmarkEnd w:id="99"/>
            <w:bookmarkEnd w:id="100"/>
            <w:bookmarkEnd w:id="101"/>
            <w:bookmarkEnd w:id="102"/>
            <w:bookmarkEnd w:id="103"/>
          </w:p>
        </w:tc>
        <w:tc>
          <w:tcPr>
            <w:tcW w:w="1492"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104" w:name="_Toc301781614"/>
            <w:bookmarkStart w:id="105" w:name="_Toc373333692"/>
            <w:bookmarkStart w:id="106" w:name="_Toc173066404"/>
            <w:bookmarkStart w:id="107" w:name="_Toc297193188"/>
            <w:bookmarkStart w:id="108" w:name="_Toc173211903"/>
            <w:bookmarkStart w:id="109" w:name="_Toc295404984"/>
            <w:bookmarkStart w:id="110" w:name="_Toc254970732"/>
            <w:bookmarkStart w:id="111" w:name="_Toc383699909"/>
            <w:bookmarkStart w:id="112" w:name="_Toc254970591"/>
            <w:r>
              <w:rPr>
                <w:rFonts w:hint="eastAsia" w:ascii="宋体" w:hAnsi="宋体" w:eastAsia="宋体"/>
                <w:color w:val="auto"/>
                <w:sz w:val="24"/>
                <w:szCs w:val="24"/>
              </w:rPr>
              <w:t>偏离</w:t>
            </w:r>
            <w:bookmarkEnd w:id="104"/>
            <w:bookmarkEnd w:id="105"/>
            <w:bookmarkEnd w:id="106"/>
            <w:bookmarkEnd w:id="107"/>
            <w:bookmarkEnd w:id="108"/>
            <w:bookmarkEnd w:id="109"/>
            <w:bookmarkEnd w:id="110"/>
            <w:bookmarkEnd w:id="111"/>
            <w:bookmarkEnd w:id="112"/>
            <w:bookmarkStart w:id="113" w:name="_Toc383699910"/>
            <w:bookmarkStart w:id="114" w:name="_Toc254970592"/>
            <w:bookmarkStart w:id="115" w:name="_Toc173211904"/>
            <w:bookmarkStart w:id="116" w:name="_Toc254970733"/>
            <w:bookmarkStart w:id="117" w:name="_Toc297193189"/>
            <w:bookmarkStart w:id="118" w:name="_Toc173066405"/>
            <w:bookmarkStart w:id="119" w:name="_Toc373333693"/>
            <w:bookmarkStart w:id="120" w:name="_Toc295404985"/>
            <w:bookmarkStart w:id="121" w:name="_Toc301781615"/>
            <w:r>
              <w:rPr>
                <w:rFonts w:hint="eastAsia" w:ascii="宋体" w:hAnsi="宋体" w:eastAsia="宋体"/>
                <w:color w:val="auto"/>
                <w:sz w:val="24"/>
                <w:szCs w:val="24"/>
              </w:rPr>
              <w:t>说明</w:t>
            </w:r>
            <w:bookmarkEnd w:id="113"/>
            <w:bookmarkEnd w:id="114"/>
            <w:bookmarkEnd w:id="115"/>
            <w:bookmarkEnd w:id="116"/>
            <w:bookmarkEnd w:id="117"/>
            <w:bookmarkEnd w:id="118"/>
            <w:bookmarkEnd w:id="119"/>
            <w:bookmarkEnd w:id="120"/>
            <w:bookmarkEnd w:id="121"/>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16"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122" w:name="_Toc383699911"/>
            <w:bookmarkStart w:id="123" w:name="_Toc173211905"/>
            <w:bookmarkStart w:id="124" w:name="_Toc254970734"/>
            <w:bookmarkStart w:id="125" w:name="_Toc295404986"/>
            <w:bookmarkStart w:id="126" w:name="_Toc301781616"/>
            <w:bookmarkStart w:id="127" w:name="_Toc373333694"/>
            <w:bookmarkStart w:id="128" w:name="_Toc254970593"/>
            <w:bookmarkStart w:id="129" w:name="_Toc173066406"/>
            <w:bookmarkStart w:id="130" w:name="_Toc297193190"/>
            <w:r>
              <w:rPr>
                <w:rFonts w:hint="eastAsia" w:ascii="宋体" w:hAnsi="宋体" w:eastAsia="宋体"/>
                <w:color w:val="auto"/>
                <w:sz w:val="24"/>
                <w:szCs w:val="24"/>
              </w:rPr>
              <w:t>1</w:t>
            </w:r>
            <w:bookmarkEnd w:id="122"/>
            <w:bookmarkEnd w:id="123"/>
            <w:bookmarkEnd w:id="124"/>
            <w:bookmarkEnd w:id="125"/>
            <w:bookmarkEnd w:id="126"/>
            <w:bookmarkEnd w:id="127"/>
            <w:bookmarkEnd w:id="128"/>
            <w:bookmarkEnd w:id="129"/>
            <w:bookmarkEnd w:id="130"/>
          </w:p>
        </w:tc>
        <w:tc>
          <w:tcPr>
            <w:tcW w:w="915"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3038" w:type="dxa"/>
            <w:tcBorders>
              <w:lef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2734"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1492"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16"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131" w:name="_Toc173066407"/>
            <w:bookmarkStart w:id="132" w:name="_Toc383699912"/>
            <w:bookmarkStart w:id="133" w:name="_Toc301781617"/>
            <w:bookmarkStart w:id="134" w:name="_Toc254970594"/>
            <w:bookmarkStart w:id="135" w:name="_Toc373333695"/>
            <w:bookmarkStart w:id="136" w:name="_Toc173211906"/>
            <w:bookmarkStart w:id="137" w:name="_Toc254970735"/>
            <w:bookmarkStart w:id="138" w:name="_Toc297193191"/>
            <w:bookmarkStart w:id="139" w:name="_Toc295404987"/>
            <w:r>
              <w:rPr>
                <w:rFonts w:hint="eastAsia" w:ascii="宋体" w:hAnsi="宋体" w:eastAsia="宋体"/>
                <w:color w:val="auto"/>
                <w:sz w:val="24"/>
                <w:szCs w:val="24"/>
              </w:rPr>
              <w:t>2</w:t>
            </w:r>
            <w:bookmarkEnd w:id="131"/>
            <w:bookmarkEnd w:id="132"/>
            <w:bookmarkEnd w:id="133"/>
            <w:bookmarkEnd w:id="134"/>
            <w:bookmarkEnd w:id="135"/>
            <w:bookmarkEnd w:id="136"/>
            <w:bookmarkEnd w:id="137"/>
            <w:bookmarkEnd w:id="138"/>
            <w:bookmarkEnd w:id="139"/>
          </w:p>
        </w:tc>
        <w:tc>
          <w:tcPr>
            <w:tcW w:w="915"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3038" w:type="dxa"/>
            <w:tcBorders>
              <w:lef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2734"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1492"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16"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140" w:name="_Toc301781618"/>
            <w:bookmarkStart w:id="141" w:name="_Toc295404988"/>
            <w:bookmarkStart w:id="142" w:name="_Toc297193192"/>
            <w:bookmarkStart w:id="143" w:name="_Toc173066408"/>
            <w:bookmarkStart w:id="144" w:name="_Toc383699913"/>
            <w:bookmarkStart w:id="145" w:name="_Toc373333696"/>
            <w:bookmarkStart w:id="146" w:name="_Toc173211907"/>
            <w:bookmarkStart w:id="147" w:name="_Toc254970736"/>
            <w:bookmarkStart w:id="148" w:name="_Toc254970595"/>
            <w:r>
              <w:rPr>
                <w:rFonts w:hint="eastAsia" w:ascii="宋体" w:hAnsi="宋体" w:eastAsia="宋体"/>
                <w:color w:val="auto"/>
                <w:sz w:val="24"/>
                <w:szCs w:val="24"/>
              </w:rPr>
              <w:t>3</w:t>
            </w:r>
            <w:bookmarkEnd w:id="140"/>
            <w:bookmarkEnd w:id="141"/>
            <w:bookmarkEnd w:id="142"/>
            <w:bookmarkEnd w:id="143"/>
            <w:bookmarkEnd w:id="144"/>
            <w:bookmarkEnd w:id="145"/>
            <w:bookmarkEnd w:id="146"/>
            <w:bookmarkEnd w:id="147"/>
            <w:bookmarkEnd w:id="148"/>
          </w:p>
        </w:tc>
        <w:tc>
          <w:tcPr>
            <w:tcW w:w="915"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3038" w:type="dxa"/>
            <w:tcBorders>
              <w:lef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2734"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1492"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16"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149" w:name="_Toc373333697"/>
            <w:bookmarkStart w:id="150" w:name="_Toc254970596"/>
            <w:bookmarkStart w:id="151" w:name="_Toc254970737"/>
            <w:bookmarkStart w:id="152" w:name="_Toc173211908"/>
            <w:bookmarkStart w:id="153" w:name="_Toc301781619"/>
            <w:bookmarkStart w:id="154" w:name="_Toc297193193"/>
            <w:bookmarkStart w:id="155" w:name="_Toc173066409"/>
            <w:bookmarkStart w:id="156" w:name="_Toc295404989"/>
            <w:bookmarkStart w:id="157" w:name="_Toc383699914"/>
            <w:r>
              <w:rPr>
                <w:rFonts w:hint="eastAsia" w:ascii="宋体" w:hAnsi="宋体" w:eastAsia="宋体"/>
                <w:color w:val="auto"/>
                <w:sz w:val="24"/>
                <w:szCs w:val="24"/>
              </w:rPr>
              <w:t>4</w:t>
            </w:r>
            <w:bookmarkEnd w:id="149"/>
            <w:bookmarkEnd w:id="150"/>
            <w:bookmarkEnd w:id="151"/>
            <w:bookmarkEnd w:id="152"/>
            <w:bookmarkEnd w:id="153"/>
            <w:bookmarkEnd w:id="154"/>
            <w:bookmarkEnd w:id="155"/>
            <w:bookmarkEnd w:id="156"/>
            <w:bookmarkEnd w:id="157"/>
          </w:p>
        </w:tc>
        <w:tc>
          <w:tcPr>
            <w:tcW w:w="915"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3038" w:type="dxa"/>
            <w:tcBorders>
              <w:lef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2734"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1492"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16"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158" w:name="_Toc297193194"/>
            <w:bookmarkStart w:id="159" w:name="_Toc173066410"/>
            <w:bookmarkStart w:id="160" w:name="_Toc373333698"/>
            <w:bookmarkStart w:id="161" w:name="_Toc383699915"/>
            <w:bookmarkStart w:id="162" w:name="_Toc173211909"/>
            <w:bookmarkStart w:id="163" w:name="_Toc254970597"/>
            <w:bookmarkStart w:id="164" w:name="_Toc301781620"/>
            <w:bookmarkStart w:id="165" w:name="_Toc254970738"/>
            <w:bookmarkStart w:id="166" w:name="_Toc295404990"/>
            <w:r>
              <w:rPr>
                <w:rFonts w:hint="eastAsia" w:ascii="宋体" w:hAnsi="宋体" w:eastAsia="宋体"/>
                <w:color w:val="auto"/>
                <w:sz w:val="24"/>
                <w:szCs w:val="24"/>
              </w:rPr>
              <w:t>5</w:t>
            </w:r>
            <w:bookmarkEnd w:id="158"/>
            <w:bookmarkEnd w:id="159"/>
            <w:bookmarkEnd w:id="160"/>
            <w:bookmarkEnd w:id="161"/>
            <w:bookmarkEnd w:id="162"/>
            <w:bookmarkEnd w:id="163"/>
            <w:bookmarkEnd w:id="164"/>
            <w:bookmarkEnd w:id="165"/>
            <w:bookmarkEnd w:id="166"/>
          </w:p>
        </w:tc>
        <w:tc>
          <w:tcPr>
            <w:tcW w:w="915"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3038" w:type="dxa"/>
            <w:tcBorders>
              <w:lef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2734"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1492"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916" w:type="dxa"/>
            <w:noWrap/>
            <w:vAlign w:val="center"/>
          </w:tcPr>
          <w:p>
            <w:pPr>
              <w:pStyle w:val="21"/>
              <w:spacing w:line="360" w:lineRule="auto"/>
              <w:ind w:firstLine="0" w:firstLineChars="0"/>
              <w:contextualSpacing/>
              <w:jc w:val="center"/>
              <w:rPr>
                <w:rFonts w:ascii="宋体" w:hAnsi="宋体" w:eastAsia="宋体"/>
                <w:color w:val="auto"/>
                <w:sz w:val="24"/>
                <w:szCs w:val="24"/>
              </w:rPr>
            </w:pPr>
            <w:bookmarkStart w:id="167" w:name="_Toc173211914"/>
            <w:bookmarkStart w:id="168" w:name="_Toc295404991"/>
            <w:bookmarkStart w:id="169" w:name="_Toc301781621"/>
            <w:bookmarkStart w:id="170" w:name="_Toc383699916"/>
            <w:bookmarkStart w:id="171" w:name="_Toc173066415"/>
            <w:bookmarkStart w:id="172" w:name="_Toc254970602"/>
            <w:bookmarkStart w:id="173" w:name="_Toc297193195"/>
            <w:bookmarkStart w:id="174" w:name="_Toc373333699"/>
            <w:bookmarkStart w:id="175" w:name="_Toc254970743"/>
            <w:r>
              <w:rPr>
                <w:rFonts w:hint="eastAsia" w:ascii="宋体" w:hAnsi="宋体" w:eastAsia="宋体"/>
                <w:color w:val="auto"/>
                <w:sz w:val="24"/>
                <w:szCs w:val="24"/>
              </w:rPr>
              <w:t>…</w:t>
            </w:r>
            <w:bookmarkEnd w:id="167"/>
            <w:bookmarkEnd w:id="168"/>
            <w:bookmarkEnd w:id="169"/>
            <w:bookmarkEnd w:id="170"/>
            <w:bookmarkEnd w:id="171"/>
            <w:bookmarkEnd w:id="172"/>
            <w:bookmarkEnd w:id="173"/>
            <w:bookmarkEnd w:id="174"/>
            <w:bookmarkEnd w:id="175"/>
          </w:p>
        </w:tc>
        <w:tc>
          <w:tcPr>
            <w:tcW w:w="915"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3038" w:type="dxa"/>
            <w:tcBorders>
              <w:lef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2734" w:type="dxa"/>
            <w:noWrap/>
            <w:vAlign w:val="center"/>
          </w:tcPr>
          <w:p>
            <w:pPr>
              <w:pStyle w:val="21"/>
              <w:spacing w:line="360" w:lineRule="auto"/>
              <w:ind w:firstLine="0" w:firstLineChars="0"/>
              <w:contextualSpacing/>
              <w:jc w:val="center"/>
              <w:rPr>
                <w:rFonts w:ascii="宋体" w:hAnsi="宋体" w:eastAsia="宋体"/>
                <w:color w:val="auto"/>
                <w:sz w:val="24"/>
                <w:szCs w:val="24"/>
              </w:rPr>
            </w:pPr>
          </w:p>
        </w:tc>
        <w:tc>
          <w:tcPr>
            <w:tcW w:w="1492" w:type="dxa"/>
            <w:tcBorders>
              <w:right w:val="single" w:color="auto" w:sz="4" w:space="0"/>
            </w:tcBorders>
            <w:noWrap/>
            <w:vAlign w:val="center"/>
          </w:tcPr>
          <w:p>
            <w:pPr>
              <w:pStyle w:val="21"/>
              <w:spacing w:line="360" w:lineRule="auto"/>
              <w:ind w:firstLine="0" w:firstLineChars="0"/>
              <w:contextualSpacing/>
              <w:jc w:val="center"/>
              <w:rPr>
                <w:rFonts w:ascii="宋体" w:hAnsi="宋体" w:eastAsia="宋体"/>
                <w:color w:val="auto"/>
                <w:sz w:val="24"/>
                <w:szCs w:val="24"/>
              </w:rPr>
            </w:pPr>
          </w:p>
        </w:tc>
      </w:tr>
    </w:tbl>
    <w:p>
      <w:pPr>
        <w:pStyle w:val="21"/>
        <w:spacing w:line="360" w:lineRule="auto"/>
        <w:ind w:firstLine="0" w:firstLineChars="0"/>
        <w:contextualSpacing/>
        <w:rPr>
          <w:rFonts w:ascii="宋体" w:hAnsi="宋体" w:eastAsia="宋体"/>
          <w:color w:val="auto"/>
          <w:sz w:val="24"/>
          <w:szCs w:val="24"/>
        </w:rPr>
      </w:pPr>
      <w:r>
        <w:rPr>
          <w:rFonts w:hint="eastAsia" w:ascii="宋体" w:hAnsi="宋体" w:eastAsia="宋体"/>
          <w:color w:val="auto"/>
          <w:sz w:val="24"/>
          <w:szCs w:val="24"/>
        </w:rPr>
        <w:t>注：</w:t>
      </w:r>
    </w:p>
    <w:p>
      <w:pPr>
        <w:pStyle w:val="21"/>
        <w:spacing w:line="360" w:lineRule="auto"/>
        <w:ind w:firstLine="0" w:firstLineChars="0"/>
        <w:contextualSpacing/>
        <w:rPr>
          <w:rFonts w:ascii="宋体" w:hAnsi="宋体" w:eastAsia="宋体"/>
          <w:color w:val="auto"/>
          <w:sz w:val="24"/>
          <w:szCs w:val="24"/>
        </w:rPr>
      </w:pPr>
      <w:r>
        <w:rPr>
          <w:rFonts w:hint="eastAsia" w:ascii="宋体" w:hAnsi="宋体" w:eastAsia="宋体"/>
          <w:color w:val="auto"/>
          <w:sz w:val="24"/>
          <w:szCs w:val="24"/>
        </w:rPr>
        <w:t>1. 说明：应对照磋商文件“第三章 采购需求”中的</w:t>
      </w:r>
      <w:r>
        <w:rPr>
          <w:rFonts w:hint="eastAsia" w:ascii="宋体" w:hAnsi="宋体" w:eastAsia="宋体"/>
          <w:color w:val="auto"/>
          <w:sz w:val="24"/>
          <w:szCs w:val="24"/>
          <w:lang w:eastAsia="zh-CN"/>
        </w:rPr>
        <w:t>技术参数及性能（配置）要求</w:t>
      </w:r>
      <w:r>
        <w:rPr>
          <w:rFonts w:hint="eastAsia" w:ascii="宋体" w:hAnsi="宋体" w:eastAsia="宋体"/>
          <w:color w:val="auto"/>
          <w:sz w:val="24"/>
          <w:szCs w:val="24"/>
        </w:rPr>
        <w:t>逐条作出明确响应，并作出偏离说明。</w:t>
      </w:r>
    </w:p>
    <w:p>
      <w:pPr>
        <w:pStyle w:val="21"/>
        <w:spacing w:line="360" w:lineRule="auto"/>
        <w:ind w:firstLine="0" w:firstLineChars="0"/>
        <w:contextualSpacing/>
        <w:rPr>
          <w:rFonts w:ascii="宋体" w:hAnsi="宋体" w:eastAsia="宋体"/>
          <w:color w:val="auto"/>
          <w:sz w:val="24"/>
          <w:szCs w:val="24"/>
        </w:rPr>
      </w:pPr>
      <w:r>
        <w:rPr>
          <w:rFonts w:hint="eastAsia" w:ascii="宋体" w:hAnsi="宋体" w:eastAsia="宋体"/>
          <w:color w:val="auto"/>
          <w:sz w:val="24"/>
          <w:szCs w:val="24"/>
        </w:rPr>
        <w:t>2.供应商应根据竞标</w:t>
      </w:r>
      <w:r>
        <w:rPr>
          <w:rFonts w:hint="eastAsia" w:ascii="宋体" w:hAnsi="宋体" w:eastAsia="宋体"/>
          <w:color w:val="auto"/>
          <w:sz w:val="24"/>
          <w:szCs w:val="24"/>
          <w:lang w:eastAsia="zh-CN"/>
        </w:rPr>
        <w:t>产品</w:t>
      </w:r>
      <w:r>
        <w:rPr>
          <w:rFonts w:hint="eastAsia" w:ascii="宋体" w:hAnsi="宋体" w:eastAsia="宋体"/>
          <w:color w:val="auto"/>
          <w:sz w:val="24"/>
          <w:szCs w:val="24"/>
        </w:rPr>
        <w:t>的性能指标，对照磋商文件要求，在“偏离说明”中注明“正偏离”、“负偏离”或者“无偏离”。既不属于“正偏离”也不属于“负偏离”即为“无偏离”。</w:t>
      </w:r>
    </w:p>
    <w:p>
      <w:pPr>
        <w:pStyle w:val="21"/>
        <w:spacing w:line="360" w:lineRule="auto"/>
        <w:ind w:firstLine="0" w:firstLineChars="0"/>
        <w:contextualSpacing/>
        <w:rPr>
          <w:rFonts w:ascii="宋体" w:hAnsi="宋体" w:eastAsia="宋体"/>
          <w:color w:val="auto"/>
          <w:sz w:val="24"/>
          <w:szCs w:val="24"/>
        </w:rPr>
      </w:pPr>
      <w:r>
        <w:rPr>
          <w:rFonts w:hint="eastAsia" w:ascii="宋体" w:hAnsi="宋体" w:eastAsia="宋体"/>
          <w:color w:val="auto"/>
          <w:sz w:val="24"/>
          <w:szCs w:val="24"/>
        </w:rPr>
        <w:t>3.供应商认为其竞标响应有正偏离的，请在技术要求偏离表中列明，且在响应文件中提供竞标产品的彩页或国家认可有资质的第三方出具的检测报告复印件或产品生产厂家出具的技术参数说明证明作为佐证，以上佐证材料均需加盖生产厂家或代理商（附生产厂家授权资料）公章。</w:t>
      </w:r>
    </w:p>
    <w:p>
      <w:pPr>
        <w:pStyle w:val="21"/>
        <w:spacing w:line="360" w:lineRule="auto"/>
        <w:ind w:firstLine="0" w:firstLineChars="0"/>
        <w:contextualSpacing/>
        <w:rPr>
          <w:rFonts w:ascii="宋体" w:hAnsi="宋体" w:eastAsia="宋体"/>
          <w:color w:val="auto"/>
          <w:sz w:val="24"/>
          <w:szCs w:val="24"/>
        </w:rPr>
      </w:pPr>
      <w:r>
        <w:rPr>
          <w:rFonts w:hint="eastAsia" w:ascii="宋体" w:hAnsi="宋体" w:eastAsia="宋体"/>
          <w:color w:val="auto"/>
          <w:sz w:val="24"/>
          <w:szCs w:val="24"/>
        </w:rPr>
        <w:t>4</w:t>
      </w:r>
      <w:r>
        <w:rPr>
          <w:rFonts w:ascii="宋体" w:hAnsi="宋体" w:eastAsia="宋体"/>
          <w:color w:val="auto"/>
          <w:sz w:val="24"/>
          <w:szCs w:val="24"/>
        </w:rPr>
        <w:t>.</w:t>
      </w:r>
      <w:r>
        <w:rPr>
          <w:rFonts w:hint="eastAsia" w:ascii="宋体" w:hAnsi="宋体" w:eastAsia="宋体"/>
          <w:color w:val="auto"/>
          <w:sz w:val="24"/>
          <w:szCs w:val="24"/>
        </w:rPr>
        <w:t xml:space="preserve"> 如技术要求偏离表中的竞标响应与佐证材料不一致的，以佐证材料为准。</w:t>
      </w:r>
    </w:p>
    <w:p>
      <w:pPr>
        <w:pStyle w:val="24"/>
        <w:spacing w:line="360" w:lineRule="auto"/>
        <w:contextualSpacing/>
        <w:rPr>
          <w:rFonts w:hAnsi="宋体" w:cs="仿宋_GB2312"/>
          <w:color w:val="auto"/>
          <w:sz w:val="24"/>
          <w:szCs w:val="24"/>
        </w:rPr>
      </w:pPr>
    </w:p>
    <w:p>
      <w:pPr>
        <w:spacing w:line="360" w:lineRule="auto"/>
        <w:ind w:right="-817" w:rightChars="-389"/>
        <w:contextualSpacing/>
        <w:rPr>
          <w:rFonts w:ascii="宋体" w:hAnsi="宋体" w:cs="仿宋_GB2312"/>
          <w:color w:val="auto"/>
          <w:sz w:val="24"/>
        </w:rPr>
      </w:pPr>
    </w:p>
    <w:p>
      <w:pPr>
        <w:spacing w:line="360" w:lineRule="auto"/>
        <w:ind w:right="-817" w:rightChars="-389"/>
        <w:contextualSpacing/>
        <w:jc w:val="center"/>
        <w:rPr>
          <w:rFonts w:ascii="宋体" w:hAnsi="宋体" w:cs="仿宋_GB2312"/>
          <w:color w:val="auto"/>
          <w:sz w:val="24"/>
        </w:rPr>
      </w:pPr>
      <w:r>
        <w:rPr>
          <w:rFonts w:hint="eastAsia" w:ascii="宋体" w:hAnsi="宋体" w:cs="仿宋_GB2312"/>
          <w:color w:val="auto"/>
          <w:sz w:val="24"/>
        </w:rPr>
        <w:t>法定代表人或者委托代理人（签字）：</w:t>
      </w:r>
    </w:p>
    <w:p>
      <w:pPr>
        <w:spacing w:line="360" w:lineRule="auto"/>
        <w:ind w:right="-817" w:rightChars="-389" w:firstLine="2880" w:firstLineChars="1200"/>
        <w:contextualSpacing/>
        <w:rPr>
          <w:rFonts w:ascii="宋体" w:hAnsi="宋体" w:cs="仿宋_GB2312"/>
          <w:color w:val="auto"/>
          <w:sz w:val="24"/>
        </w:rPr>
      </w:pPr>
      <w:r>
        <w:rPr>
          <w:rFonts w:hint="eastAsia" w:ascii="宋体" w:hAnsi="宋体" w:cs="仿宋_GB2312"/>
          <w:color w:val="auto"/>
          <w:sz w:val="24"/>
        </w:rPr>
        <w:t xml:space="preserve">供应商（盖单位公章）：      </w:t>
      </w:r>
    </w:p>
    <w:p>
      <w:pPr>
        <w:spacing w:line="360" w:lineRule="auto"/>
        <w:ind w:right="-817" w:rightChars="-389" w:firstLine="4080" w:firstLineChars="1700"/>
        <w:contextualSpacing/>
        <w:rPr>
          <w:rFonts w:ascii="宋体" w:hAnsi="宋体" w:cs="仿宋_GB2312"/>
          <w:color w:val="auto"/>
          <w:sz w:val="24"/>
        </w:rPr>
      </w:pPr>
      <w:r>
        <w:rPr>
          <w:rFonts w:hint="eastAsia" w:ascii="宋体" w:hAnsi="宋体" w:cs="仿宋_GB2312"/>
          <w:color w:val="auto"/>
          <w:sz w:val="24"/>
        </w:rPr>
        <w:t>日期：   年   月   日</w:t>
      </w:r>
    </w:p>
    <w:p>
      <w:pPr>
        <w:adjustRightInd w:val="0"/>
        <w:snapToGrid w:val="0"/>
        <w:spacing w:line="520" w:lineRule="exact"/>
        <w:jc w:val="center"/>
        <w:rPr>
          <w:rFonts w:ascii="宋体" w:hAnsi="宋体"/>
          <w:b/>
          <w:color w:val="auto"/>
          <w:sz w:val="32"/>
          <w:szCs w:val="32"/>
        </w:rPr>
      </w:pPr>
      <w:r>
        <w:rPr>
          <w:rFonts w:ascii="宋体" w:hAnsi="宋体" w:cs="仿宋_GB2312"/>
          <w:color w:val="auto"/>
          <w:sz w:val="24"/>
        </w:rPr>
        <w:br w:type="page"/>
      </w:r>
      <w:r>
        <w:rPr>
          <w:rFonts w:hint="eastAsia" w:ascii="方正小标宋简体" w:hAnsi="方正小标宋简体" w:eastAsia="方正小标宋简体" w:cs="方正小标宋简体"/>
          <w:bCs/>
          <w:color w:val="auto"/>
          <w:sz w:val="44"/>
          <w:szCs w:val="44"/>
        </w:rPr>
        <w:t>货物配置清单</w:t>
      </w:r>
    </w:p>
    <w:p>
      <w:pPr>
        <w:spacing w:line="300" w:lineRule="auto"/>
        <w:rPr>
          <w:rFonts w:ascii="宋体" w:hAnsi="宋体"/>
          <w:color w:val="auto"/>
        </w:rPr>
      </w:pPr>
    </w:p>
    <w:p>
      <w:pPr>
        <w:spacing w:line="360" w:lineRule="auto"/>
        <w:rPr>
          <w:rFonts w:ascii="宋体" w:hAnsi="宋体" w:cs="仿宋_GB2312"/>
          <w:color w:val="auto"/>
          <w:sz w:val="24"/>
        </w:rPr>
      </w:pPr>
      <w:r>
        <w:rPr>
          <w:rFonts w:hint="eastAsia" w:ascii="宋体" w:hAnsi="宋体" w:cs="仿宋_GB2312"/>
          <w:color w:val="auto"/>
          <w:sz w:val="24"/>
        </w:rPr>
        <w:t>项目编号：</w:t>
      </w:r>
    </w:p>
    <w:p>
      <w:pPr>
        <w:spacing w:line="360" w:lineRule="auto"/>
        <w:rPr>
          <w:rFonts w:ascii="宋体" w:hAnsi="宋体" w:cs="仿宋_GB2312"/>
          <w:color w:val="auto"/>
          <w:sz w:val="24"/>
        </w:rPr>
      </w:pPr>
      <w:r>
        <w:rPr>
          <w:rFonts w:hint="eastAsia" w:ascii="宋体" w:hAnsi="宋体" w:cs="仿宋_GB2312"/>
          <w:color w:val="auto"/>
          <w:sz w:val="24"/>
        </w:rPr>
        <w:t>项目名称：</w:t>
      </w:r>
    </w:p>
    <w:p>
      <w:pPr>
        <w:spacing w:line="360" w:lineRule="auto"/>
        <w:rPr>
          <w:rFonts w:ascii="宋体" w:hAnsi="宋体" w:cs="仿宋_GB2312"/>
          <w:color w:val="auto"/>
          <w:sz w:val="24"/>
          <w:u w:val="single"/>
        </w:rPr>
      </w:pPr>
      <w:r>
        <w:rPr>
          <w:rFonts w:hint="eastAsia" w:ascii="宋体" w:hAnsi="宋体" w:cs="仿宋_GB2312"/>
          <w:color w:val="auto"/>
          <w:sz w:val="24"/>
        </w:rPr>
        <w:t>所竞分标：</w:t>
      </w:r>
    </w:p>
    <w:tbl>
      <w:tblPr>
        <w:tblStyle w:val="4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51"/>
        <w:gridCol w:w="1266"/>
        <w:gridCol w:w="1210"/>
        <w:gridCol w:w="849"/>
        <w:gridCol w:w="1482"/>
        <w:gridCol w:w="928"/>
        <w:gridCol w:w="1088"/>
        <w:gridCol w:w="15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75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r>
              <w:rPr>
                <w:rFonts w:hint="eastAsia" w:ascii="宋体" w:hAnsi="宋体"/>
                <w:color w:val="auto"/>
                <w:sz w:val="24"/>
              </w:rPr>
              <w:t>序号</w:t>
            </w:r>
          </w:p>
        </w:tc>
        <w:tc>
          <w:tcPr>
            <w:tcW w:w="1266"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r>
              <w:rPr>
                <w:rFonts w:hint="eastAsia" w:ascii="宋体" w:hAnsi="宋体"/>
                <w:color w:val="auto"/>
                <w:sz w:val="24"/>
              </w:rPr>
              <w:t>货物名称</w:t>
            </w:r>
          </w:p>
        </w:tc>
        <w:tc>
          <w:tcPr>
            <w:tcW w:w="121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r>
              <w:rPr>
                <w:rFonts w:hint="eastAsia" w:ascii="宋体" w:hAnsi="宋体"/>
                <w:color w:val="auto"/>
                <w:sz w:val="24"/>
              </w:rPr>
              <w:t>数量及单位</w:t>
            </w:r>
          </w:p>
        </w:tc>
        <w:tc>
          <w:tcPr>
            <w:tcW w:w="84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r>
              <w:rPr>
                <w:rFonts w:hint="eastAsia" w:ascii="宋体" w:hAnsi="宋体"/>
                <w:color w:val="auto"/>
                <w:sz w:val="24"/>
              </w:rPr>
              <w:t>品牌</w:t>
            </w:r>
          </w:p>
        </w:tc>
        <w:tc>
          <w:tcPr>
            <w:tcW w:w="1482" w:type="dxa"/>
            <w:tcBorders>
              <w:top w:val="single" w:color="auto" w:sz="4" w:space="0"/>
              <w:left w:val="single" w:color="auto" w:sz="4" w:space="0"/>
              <w:bottom w:val="single" w:color="auto" w:sz="4" w:space="0"/>
              <w:right w:val="single" w:color="auto" w:sz="4" w:space="0"/>
            </w:tcBorders>
            <w:noWrap/>
          </w:tcPr>
          <w:p>
            <w:pPr>
              <w:snapToGrid w:val="0"/>
              <w:spacing w:before="50" w:after="50"/>
              <w:jc w:val="center"/>
              <w:rPr>
                <w:rFonts w:ascii="宋体" w:hAnsi="宋体"/>
                <w:color w:val="auto"/>
                <w:sz w:val="24"/>
              </w:rPr>
            </w:pPr>
          </w:p>
          <w:p>
            <w:pPr>
              <w:snapToGrid w:val="0"/>
              <w:spacing w:before="50" w:after="50"/>
              <w:jc w:val="center"/>
              <w:rPr>
                <w:rFonts w:ascii="宋体" w:hAnsi="宋体"/>
                <w:color w:val="auto"/>
                <w:sz w:val="24"/>
              </w:rPr>
            </w:pPr>
            <w:r>
              <w:rPr>
                <w:rFonts w:hint="eastAsia" w:ascii="宋体" w:hAnsi="宋体"/>
                <w:color w:val="auto"/>
                <w:sz w:val="24"/>
              </w:rPr>
              <w:t>规格型号</w:t>
            </w:r>
          </w:p>
        </w:tc>
        <w:tc>
          <w:tcPr>
            <w:tcW w:w="92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r>
              <w:rPr>
                <w:rFonts w:hint="eastAsia" w:ascii="宋体" w:hAnsi="宋体"/>
                <w:color w:val="auto"/>
                <w:sz w:val="24"/>
              </w:rPr>
              <w:t>制造商</w:t>
            </w:r>
          </w:p>
        </w:tc>
        <w:tc>
          <w:tcPr>
            <w:tcW w:w="108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r>
              <w:rPr>
                <w:rFonts w:hint="eastAsia" w:ascii="宋体" w:hAnsi="宋体"/>
                <w:color w:val="auto"/>
                <w:sz w:val="24"/>
              </w:rPr>
              <w:t>原料产地</w:t>
            </w:r>
          </w:p>
        </w:tc>
        <w:tc>
          <w:tcPr>
            <w:tcW w:w="152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r>
              <w:rPr>
                <w:rFonts w:hint="eastAsia" w:ascii="宋体" w:hAnsi="宋体"/>
                <w:color w:val="auto"/>
                <w:sz w:val="24"/>
              </w:rPr>
              <w:t>参数性能、指标及配置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 w:hRule="atLeast"/>
          <w:jc w:val="center"/>
        </w:trPr>
        <w:tc>
          <w:tcPr>
            <w:tcW w:w="75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266"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21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84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482" w:type="dxa"/>
            <w:tcBorders>
              <w:top w:val="single" w:color="auto" w:sz="4" w:space="0"/>
              <w:left w:val="single" w:color="auto" w:sz="4" w:space="0"/>
              <w:bottom w:val="single" w:color="auto" w:sz="4" w:space="0"/>
              <w:right w:val="single" w:color="auto" w:sz="4" w:space="0"/>
            </w:tcBorders>
            <w:noWrap/>
          </w:tcPr>
          <w:p>
            <w:pPr>
              <w:snapToGrid w:val="0"/>
              <w:spacing w:before="50" w:after="50"/>
              <w:jc w:val="center"/>
              <w:rPr>
                <w:rFonts w:ascii="宋体" w:hAnsi="宋体"/>
                <w:color w:val="auto"/>
                <w:sz w:val="24"/>
              </w:rPr>
            </w:pPr>
          </w:p>
        </w:tc>
        <w:tc>
          <w:tcPr>
            <w:tcW w:w="92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08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52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75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266"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21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84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482" w:type="dxa"/>
            <w:tcBorders>
              <w:top w:val="single" w:color="auto" w:sz="4" w:space="0"/>
              <w:left w:val="single" w:color="auto" w:sz="4" w:space="0"/>
              <w:bottom w:val="single" w:color="auto" w:sz="4" w:space="0"/>
              <w:right w:val="single" w:color="auto" w:sz="4" w:space="0"/>
            </w:tcBorders>
            <w:noWrap/>
          </w:tcPr>
          <w:p>
            <w:pPr>
              <w:snapToGrid w:val="0"/>
              <w:spacing w:before="50" w:after="50"/>
              <w:jc w:val="center"/>
              <w:rPr>
                <w:rFonts w:ascii="宋体" w:hAnsi="宋体"/>
                <w:color w:val="auto"/>
                <w:sz w:val="24"/>
              </w:rPr>
            </w:pPr>
          </w:p>
        </w:tc>
        <w:tc>
          <w:tcPr>
            <w:tcW w:w="92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08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52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75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266"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210"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849"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482" w:type="dxa"/>
            <w:tcBorders>
              <w:top w:val="single" w:color="auto" w:sz="4" w:space="0"/>
              <w:left w:val="single" w:color="auto" w:sz="4" w:space="0"/>
              <w:bottom w:val="single" w:color="auto" w:sz="4" w:space="0"/>
              <w:right w:val="single" w:color="auto" w:sz="4" w:space="0"/>
            </w:tcBorders>
            <w:noWrap/>
          </w:tcPr>
          <w:p>
            <w:pPr>
              <w:snapToGrid w:val="0"/>
              <w:spacing w:before="50" w:after="50"/>
              <w:jc w:val="center"/>
              <w:rPr>
                <w:rFonts w:ascii="宋体" w:hAnsi="宋体"/>
                <w:color w:val="auto"/>
                <w:sz w:val="24"/>
              </w:rPr>
            </w:pPr>
          </w:p>
        </w:tc>
        <w:tc>
          <w:tcPr>
            <w:tcW w:w="92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088"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c>
          <w:tcPr>
            <w:tcW w:w="1521" w:type="dxa"/>
            <w:tcBorders>
              <w:top w:val="single" w:color="auto" w:sz="4" w:space="0"/>
              <w:left w:val="single" w:color="auto" w:sz="4" w:space="0"/>
              <w:bottom w:val="single" w:color="auto" w:sz="4" w:space="0"/>
              <w:right w:val="single" w:color="auto" w:sz="4" w:space="0"/>
            </w:tcBorders>
            <w:noWrap/>
            <w:vAlign w:val="center"/>
          </w:tcPr>
          <w:p>
            <w:pPr>
              <w:snapToGrid w:val="0"/>
              <w:spacing w:before="50" w:after="50"/>
              <w:jc w:val="center"/>
              <w:rPr>
                <w:rFonts w:ascii="宋体" w:hAnsi="宋体"/>
                <w:color w:val="auto"/>
                <w:sz w:val="24"/>
              </w:rPr>
            </w:pPr>
          </w:p>
        </w:tc>
      </w:tr>
    </w:tbl>
    <w:p>
      <w:pPr>
        <w:spacing w:line="360" w:lineRule="auto"/>
        <w:contextualSpacing/>
        <w:rPr>
          <w:rFonts w:ascii="宋体" w:hAnsi="宋体"/>
          <w:color w:val="auto"/>
          <w:sz w:val="24"/>
        </w:rPr>
      </w:pPr>
      <w:r>
        <w:rPr>
          <w:rFonts w:hint="eastAsia" w:ascii="宋体" w:hAnsi="宋体"/>
          <w:color w:val="auto"/>
          <w:sz w:val="24"/>
        </w:rPr>
        <w:t>备注：</w:t>
      </w:r>
    </w:p>
    <w:p>
      <w:pPr>
        <w:tabs>
          <w:tab w:val="left" w:pos="1065"/>
        </w:tabs>
        <w:adjustRightInd w:val="0"/>
        <w:spacing w:line="360" w:lineRule="auto"/>
        <w:contextualSpacing/>
        <w:rPr>
          <w:rFonts w:ascii="宋体" w:hAnsi="宋体" w:cs="仿宋_GB2312"/>
          <w:color w:val="auto"/>
          <w:sz w:val="24"/>
        </w:rPr>
      </w:pPr>
      <w:r>
        <w:rPr>
          <w:rFonts w:hint="eastAsia" w:ascii="宋体" w:hAnsi="宋体"/>
          <w:b/>
          <w:bCs/>
          <w:color w:val="auto"/>
          <w:sz w:val="24"/>
        </w:rPr>
        <w:t>以上货物配置清单中“货物名称、数量及单位、品牌、规格型号、制造商、原料产地、参数性能、指标及配置”必须如实填写完整，品牌、规格型号没有则填无，填写有缺漏的，响应文件按无效处理</w:t>
      </w:r>
      <w:r>
        <w:rPr>
          <w:rFonts w:hint="eastAsia" w:ascii="宋体" w:hAnsi="宋体"/>
          <w:b/>
          <w:color w:val="auto"/>
          <w:sz w:val="24"/>
        </w:rPr>
        <w:t>。</w:t>
      </w:r>
      <w:r>
        <w:rPr>
          <w:rFonts w:hint="eastAsia" w:ascii="宋体" w:hAnsi="宋体"/>
          <w:color w:val="auto"/>
          <w:sz w:val="24"/>
        </w:rPr>
        <w:t>货物名称、数量及单位、品牌必须与“竞标报价表”一致，</w:t>
      </w:r>
      <w:r>
        <w:rPr>
          <w:rFonts w:hint="eastAsia" w:ascii="宋体" w:hAnsi="宋体"/>
          <w:bCs/>
          <w:color w:val="auto"/>
          <w:sz w:val="24"/>
        </w:rPr>
        <w:t>否则响应文件按无效处理</w:t>
      </w:r>
      <w:r>
        <w:rPr>
          <w:rFonts w:hint="eastAsia" w:ascii="宋体" w:hAnsi="宋体"/>
          <w:b/>
          <w:color w:val="auto"/>
          <w:sz w:val="24"/>
        </w:rPr>
        <w:t>。</w:t>
      </w:r>
      <w:r>
        <w:rPr>
          <w:rFonts w:hint="eastAsia" w:ascii="宋体" w:hAnsi="宋体" w:cs="仿宋_GB2312"/>
          <w:color w:val="auto"/>
          <w:sz w:val="24"/>
        </w:rPr>
        <w:tab/>
      </w:r>
    </w:p>
    <w:p>
      <w:pPr>
        <w:adjustRightInd w:val="0"/>
        <w:spacing w:line="360" w:lineRule="auto"/>
        <w:contextualSpacing/>
        <w:jc w:val="left"/>
        <w:rPr>
          <w:rFonts w:ascii="宋体" w:hAnsi="宋体" w:cs="仿宋_GB2312"/>
          <w:color w:val="auto"/>
          <w:sz w:val="24"/>
        </w:rPr>
      </w:pPr>
    </w:p>
    <w:p>
      <w:pPr>
        <w:adjustRightInd w:val="0"/>
        <w:spacing w:line="360" w:lineRule="auto"/>
        <w:contextualSpacing/>
        <w:jc w:val="left"/>
        <w:rPr>
          <w:rFonts w:ascii="宋体" w:hAnsi="宋体" w:cs="仿宋_GB2312"/>
          <w:color w:val="auto"/>
          <w:sz w:val="24"/>
        </w:rPr>
      </w:pPr>
    </w:p>
    <w:p>
      <w:pPr>
        <w:spacing w:line="360" w:lineRule="auto"/>
        <w:ind w:right="-817" w:rightChars="-389"/>
        <w:contextualSpacing/>
        <w:jc w:val="center"/>
        <w:rPr>
          <w:rFonts w:ascii="宋体" w:hAnsi="宋体" w:cs="仿宋_GB2312"/>
          <w:color w:val="auto"/>
          <w:sz w:val="24"/>
        </w:rPr>
      </w:pPr>
      <w:r>
        <w:rPr>
          <w:rFonts w:hint="eastAsia" w:ascii="宋体" w:hAnsi="宋体" w:cs="仿宋_GB2312"/>
          <w:color w:val="auto"/>
          <w:sz w:val="24"/>
        </w:rPr>
        <w:t>法定代表人或者委托代理人（签字）：</w:t>
      </w:r>
    </w:p>
    <w:p>
      <w:pPr>
        <w:spacing w:line="360" w:lineRule="auto"/>
        <w:ind w:right="-817" w:rightChars="-389" w:firstLine="2880" w:firstLineChars="1200"/>
        <w:contextualSpacing/>
        <w:rPr>
          <w:rFonts w:ascii="宋体" w:hAnsi="宋体" w:cs="仿宋_GB2312"/>
          <w:color w:val="auto"/>
          <w:sz w:val="24"/>
        </w:rPr>
      </w:pPr>
      <w:r>
        <w:rPr>
          <w:rFonts w:hint="eastAsia" w:ascii="宋体" w:hAnsi="宋体" w:cs="仿宋_GB2312"/>
          <w:color w:val="auto"/>
          <w:sz w:val="24"/>
        </w:rPr>
        <w:t xml:space="preserve">供应商（盖单位公章）：      </w:t>
      </w:r>
    </w:p>
    <w:p>
      <w:pPr>
        <w:spacing w:line="360" w:lineRule="auto"/>
        <w:ind w:right="-817" w:rightChars="-389" w:firstLine="2880" w:firstLineChars="1200"/>
        <w:contextualSpacing/>
        <w:rPr>
          <w:rFonts w:ascii="仿宋_GB2312" w:hAnsi="仿宋_GB2312" w:eastAsia="仿宋_GB2312" w:cs="仿宋_GB2312"/>
          <w:b/>
          <w:color w:val="auto"/>
          <w:sz w:val="32"/>
          <w:szCs w:val="32"/>
        </w:rPr>
      </w:pPr>
      <w:r>
        <w:rPr>
          <w:rFonts w:hint="eastAsia" w:ascii="宋体" w:hAnsi="宋体" w:cs="仿宋_GB2312"/>
          <w:color w:val="auto"/>
          <w:sz w:val="24"/>
        </w:rPr>
        <w:t>日期：   年   月   日</w:t>
      </w:r>
    </w:p>
    <w:p>
      <w:pPr>
        <w:adjustRightInd w:val="0"/>
        <w:snapToGrid w:val="0"/>
        <w:spacing w:line="300" w:lineRule="auto"/>
        <w:rPr>
          <w:rFonts w:ascii="宋体" w:hAnsi="宋体"/>
          <w:color w:val="auto"/>
          <w:u w:val="single"/>
        </w:rPr>
      </w:pPr>
    </w:p>
    <w:p>
      <w:pPr>
        <w:adjustRightInd w:val="0"/>
        <w:snapToGrid w:val="0"/>
        <w:spacing w:line="300" w:lineRule="auto"/>
        <w:rPr>
          <w:rFonts w:ascii="宋体" w:hAnsi="宋体"/>
          <w:color w:val="auto"/>
          <w:u w:val="single"/>
        </w:rPr>
      </w:pPr>
    </w:p>
    <w:p>
      <w:pPr>
        <w:adjustRightInd w:val="0"/>
        <w:snapToGrid w:val="0"/>
        <w:spacing w:line="300" w:lineRule="auto"/>
        <w:rPr>
          <w:rFonts w:ascii="宋体" w:hAnsi="宋体"/>
          <w:color w:val="auto"/>
          <w:u w:val="single"/>
        </w:rPr>
      </w:pPr>
    </w:p>
    <w:p>
      <w:pPr>
        <w:adjustRightInd w:val="0"/>
        <w:snapToGrid w:val="0"/>
        <w:spacing w:line="300" w:lineRule="auto"/>
        <w:rPr>
          <w:rFonts w:ascii="宋体" w:hAnsi="宋体"/>
          <w:color w:val="auto"/>
          <w:u w:val="single"/>
        </w:rPr>
      </w:pPr>
    </w:p>
    <w:p>
      <w:pPr>
        <w:adjustRightInd w:val="0"/>
        <w:snapToGrid w:val="0"/>
        <w:spacing w:line="300" w:lineRule="auto"/>
        <w:rPr>
          <w:rFonts w:ascii="宋体" w:hAnsi="宋体"/>
          <w:color w:val="auto"/>
          <w:u w:val="single"/>
        </w:rPr>
      </w:pPr>
    </w:p>
    <w:p>
      <w:pPr>
        <w:spacing w:line="360" w:lineRule="auto"/>
        <w:ind w:right="-817" w:rightChars="-389" w:firstLine="4080" w:firstLineChars="1700"/>
        <w:contextualSpacing/>
        <w:rPr>
          <w:rFonts w:ascii="宋体" w:hAnsi="宋体" w:cs="仿宋_GB2312"/>
          <w:color w:val="auto"/>
          <w:sz w:val="24"/>
        </w:rPr>
      </w:pPr>
    </w:p>
    <w:p>
      <w:pPr>
        <w:snapToGrid w:val="0"/>
        <w:spacing w:beforeLines="50" w:after="50"/>
        <w:ind w:left="142"/>
        <w:jc w:val="left"/>
        <w:rPr>
          <w:rFonts w:ascii="宋体" w:hAnsi="宋体"/>
          <w:b/>
          <w:color w:val="auto"/>
          <w:sz w:val="24"/>
        </w:rPr>
      </w:pPr>
      <w:r>
        <w:rPr>
          <w:rFonts w:ascii="宋体" w:hAnsi="宋体" w:cs="仿宋_GB2312"/>
          <w:color w:val="auto"/>
          <w:sz w:val="24"/>
        </w:rPr>
        <w:br w:type="page"/>
      </w:r>
      <w:r>
        <w:rPr>
          <w:rFonts w:hint="eastAsia" w:ascii="宋体" w:hAnsi="宋体"/>
          <w:b/>
          <w:color w:val="auto"/>
          <w:sz w:val="24"/>
        </w:rPr>
        <w:t>项目实施人员一览表格式</w:t>
      </w:r>
    </w:p>
    <w:p>
      <w:pPr>
        <w:snapToGrid w:val="0"/>
        <w:spacing w:beforeLines="50" w:after="50"/>
        <w:ind w:left="142"/>
        <w:jc w:val="left"/>
        <w:rPr>
          <w:rFonts w:ascii="宋体" w:hAnsi="宋体"/>
          <w:b/>
          <w:color w:val="auto"/>
          <w:sz w:val="24"/>
        </w:rPr>
      </w:pPr>
    </w:p>
    <w:p>
      <w:pPr>
        <w:snapToGrid w:val="0"/>
        <w:spacing w:beforeLines="50" w:after="50"/>
        <w:ind w:left="142"/>
        <w:jc w:val="center"/>
        <w:rPr>
          <w:rFonts w:ascii="宋体" w:hAnsi="宋体"/>
          <w:b/>
          <w:color w:val="auto"/>
          <w:sz w:val="32"/>
          <w:szCs w:val="32"/>
        </w:rPr>
      </w:pPr>
      <w:r>
        <w:rPr>
          <w:rFonts w:hint="eastAsia" w:ascii="宋体" w:hAnsi="宋体"/>
          <w:b/>
          <w:color w:val="auto"/>
          <w:sz w:val="32"/>
          <w:szCs w:val="32"/>
        </w:rPr>
        <w:t>项目实施人员一览表</w:t>
      </w:r>
    </w:p>
    <w:p>
      <w:pPr>
        <w:pStyle w:val="24"/>
        <w:spacing w:line="360" w:lineRule="auto"/>
        <w:contextualSpacing/>
        <w:rPr>
          <w:color w:val="auto"/>
          <w:sz w:val="24"/>
          <w:szCs w:val="24"/>
        </w:rPr>
      </w:pPr>
      <w:r>
        <w:rPr>
          <w:rFonts w:hint="eastAsia"/>
          <w:color w:val="auto"/>
          <w:sz w:val="24"/>
          <w:szCs w:val="24"/>
        </w:rPr>
        <w:t>所竞分标：</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2126"/>
        <w:gridCol w:w="1559"/>
        <w:gridCol w:w="170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ign w:val="center"/>
          </w:tcPr>
          <w:p>
            <w:pPr>
              <w:spacing w:line="360" w:lineRule="auto"/>
              <w:contextualSpacing/>
              <w:jc w:val="center"/>
              <w:rPr>
                <w:rFonts w:ascii="宋体" w:hAnsi="宋体"/>
                <w:color w:val="auto"/>
                <w:sz w:val="24"/>
                <w:szCs w:val="20"/>
              </w:rPr>
            </w:pPr>
            <w:r>
              <w:rPr>
                <w:rFonts w:hint="eastAsia" w:ascii="宋体" w:hAnsi="宋体"/>
                <w:color w:val="auto"/>
                <w:sz w:val="24"/>
                <w:szCs w:val="20"/>
              </w:rPr>
              <w:t>姓名</w:t>
            </w:r>
          </w:p>
        </w:tc>
        <w:tc>
          <w:tcPr>
            <w:tcW w:w="709" w:type="dxa"/>
            <w:noWrap/>
            <w:vAlign w:val="center"/>
          </w:tcPr>
          <w:p>
            <w:pPr>
              <w:spacing w:line="360" w:lineRule="auto"/>
              <w:contextualSpacing/>
              <w:jc w:val="center"/>
              <w:rPr>
                <w:rFonts w:ascii="宋体" w:hAnsi="宋体"/>
                <w:color w:val="auto"/>
                <w:sz w:val="24"/>
                <w:szCs w:val="20"/>
              </w:rPr>
            </w:pPr>
            <w:r>
              <w:rPr>
                <w:rFonts w:hint="eastAsia" w:ascii="宋体" w:hAnsi="宋体"/>
                <w:color w:val="auto"/>
                <w:sz w:val="24"/>
                <w:szCs w:val="20"/>
              </w:rPr>
              <w:t>职务</w:t>
            </w:r>
          </w:p>
        </w:tc>
        <w:tc>
          <w:tcPr>
            <w:tcW w:w="2126" w:type="dxa"/>
            <w:noWrap/>
            <w:vAlign w:val="center"/>
          </w:tcPr>
          <w:p>
            <w:pPr>
              <w:spacing w:line="360" w:lineRule="auto"/>
              <w:contextualSpacing/>
              <w:jc w:val="center"/>
              <w:rPr>
                <w:rFonts w:ascii="宋体" w:hAnsi="宋体"/>
                <w:color w:val="auto"/>
                <w:sz w:val="24"/>
                <w:szCs w:val="20"/>
              </w:rPr>
            </w:pPr>
            <w:r>
              <w:rPr>
                <w:rFonts w:hint="eastAsia" w:ascii="宋体" w:hAnsi="宋体"/>
                <w:color w:val="auto"/>
                <w:sz w:val="24"/>
                <w:szCs w:val="20"/>
              </w:rPr>
              <w:t>专业技术资格（职称）或者职业资格或者执业资格证或者其他证书</w:t>
            </w:r>
          </w:p>
        </w:tc>
        <w:tc>
          <w:tcPr>
            <w:tcW w:w="1559" w:type="dxa"/>
            <w:noWrap/>
            <w:vAlign w:val="center"/>
          </w:tcPr>
          <w:p>
            <w:pPr>
              <w:spacing w:line="360" w:lineRule="auto"/>
              <w:contextualSpacing/>
              <w:jc w:val="center"/>
              <w:rPr>
                <w:rFonts w:ascii="宋体" w:hAnsi="宋体"/>
                <w:color w:val="auto"/>
                <w:sz w:val="24"/>
                <w:szCs w:val="20"/>
              </w:rPr>
            </w:pPr>
            <w:r>
              <w:rPr>
                <w:rFonts w:hint="eastAsia" w:ascii="宋体" w:hAnsi="宋体"/>
                <w:color w:val="auto"/>
                <w:sz w:val="24"/>
                <w:szCs w:val="20"/>
              </w:rPr>
              <w:t>证书编号</w:t>
            </w:r>
          </w:p>
        </w:tc>
        <w:tc>
          <w:tcPr>
            <w:tcW w:w="1701" w:type="dxa"/>
            <w:noWrap/>
            <w:vAlign w:val="center"/>
          </w:tcPr>
          <w:p>
            <w:pPr>
              <w:spacing w:line="360" w:lineRule="auto"/>
              <w:contextualSpacing/>
              <w:jc w:val="center"/>
              <w:rPr>
                <w:rFonts w:ascii="宋体" w:hAnsi="宋体"/>
                <w:color w:val="auto"/>
                <w:sz w:val="24"/>
                <w:szCs w:val="20"/>
              </w:rPr>
            </w:pPr>
            <w:r>
              <w:rPr>
                <w:rFonts w:hint="eastAsia" w:ascii="宋体" w:hAnsi="宋体"/>
                <w:color w:val="auto"/>
                <w:sz w:val="24"/>
                <w:szCs w:val="20"/>
              </w:rPr>
              <w:t>参加本单位</w:t>
            </w:r>
          </w:p>
          <w:p>
            <w:pPr>
              <w:spacing w:line="360" w:lineRule="auto"/>
              <w:contextualSpacing/>
              <w:jc w:val="center"/>
              <w:rPr>
                <w:rFonts w:ascii="宋体" w:hAnsi="宋体"/>
                <w:color w:val="auto"/>
                <w:sz w:val="24"/>
                <w:szCs w:val="20"/>
              </w:rPr>
            </w:pPr>
            <w:r>
              <w:rPr>
                <w:rFonts w:hint="eastAsia" w:ascii="宋体" w:hAnsi="宋体"/>
                <w:color w:val="auto"/>
                <w:sz w:val="24"/>
                <w:szCs w:val="20"/>
              </w:rPr>
              <w:t>工作时间</w:t>
            </w:r>
          </w:p>
        </w:tc>
        <w:tc>
          <w:tcPr>
            <w:tcW w:w="2268" w:type="dxa"/>
            <w:noWrap/>
            <w:vAlign w:val="center"/>
          </w:tcPr>
          <w:p>
            <w:pPr>
              <w:spacing w:line="360" w:lineRule="auto"/>
              <w:contextualSpacing/>
              <w:jc w:val="center"/>
              <w:rPr>
                <w:rFonts w:ascii="宋体" w:hAnsi="宋体"/>
                <w:color w:val="auto"/>
                <w:sz w:val="24"/>
                <w:szCs w:val="20"/>
              </w:rPr>
            </w:pPr>
            <w:r>
              <w:rPr>
                <w:rFonts w:hint="eastAsia" w:ascii="宋体" w:hAnsi="宋体"/>
                <w:color w:val="auto"/>
                <w:sz w:val="24"/>
                <w:szCs w:val="20"/>
              </w:rPr>
              <w:t>劳动合同编号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ign w:val="center"/>
          </w:tcPr>
          <w:p>
            <w:pPr>
              <w:spacing w:line="360" w:lineRule="auto"/>
              <w:contextualSpacing/>
              <w:jc w:val="center"/>
              <w:rPr>
                <w:rFonts w:ascii="宋体" w:hAnsi="宋体"/>
                <w:color w:val="auto"/>
                <w:sz w:val="24"/>
                <w:szCs w:val="20"/>
              </w:rPr>
            </w:pPr>
          </w:p>
        </w:tc>
        <w:tc>
          <w:tcPr>
            <w:tcW w:w="709" w:type="dxa"/>
            <w:noWrap/>
            <w:vAlign w:val="center"/>
          </w:tcPr>
          <w:p>
            <w:pPr>
              <w:spacing w:line="360" w:lineRule="auto"/>
              <w:contextualSpacing/>
              <w:jc w:val="center"/>
              <w:rPr>
                <w:rFonts w:ascii="宋体" w:hAnsi="宋体"/>
                <w:color w:val="auto"/>
                <w:sz w:val="24"/>
                <w:szCs w:val="20"/>
              </w:rPr>
            </w:pPr>
          </w:p>
        </w:tc>
        <w:tc>
          <w:tcPr>
            <w:tcW w:w="2126" w:type="dxa"/>
            <w:noWrap/>
            <w:vAlign w:val="center"/>
          </w:tcPr>
          <w:p>
            <w:pPr>
              <w:spacing w:line="360" w:lineRule="auto"/>
              <w:contextualSpacing/>
              <w:jc w:val="center"/>
              <w:rPr>
                <w:rFonts w:ascii="宋体" w:hAnsi="宋体"/>
                <w:color w:val="auto"/>
                <w:sz w:val="24"/>
                <w:szCs w:val="20"/>
              </w:rPr>
            </w:pPr>
          </w:p>
        </w:tc>
        <w:tc>
          <w:tcPr>
            <w:tcW w:w="1559" w:type="dxa"/>
            <w:noWrap/>
            <w:vAlign w:val="center"/>
          </w:tcPr>
          <w:p>
            <w:pPr>
              <w:spacing w:line="360" w:lineRule="auto"/>
              <w:contextualSpacing/>
              <w:jc w:val="center"/>
              <w:rPr>
                <w:rFonts w:ascii="宋体" w:hAnsi="宋体"/>
                <w:color w:val="auto"/>
                <w:sz w:val="24"/>
                <w:szCs w:val="20"/>
              </w:rPr>
            </w:pPr>
          </w:p>
        </w:tc>
        <w:tc>
          <w:tcPr>
            <w:tcW w:w="1701" w:type="dxa"/>
            <w:noWrap/>
            <w:vAlign w:val="center"/>
          </w:tcPr>
          <w:p>
            <w:pPr>
              <w:spacing w:line="360" w:lineRule="auto"/>
              <w:contextualSpacing/>
              <w:jc w:val="center"/>
              <w:rPr>
                <w:rFonts w:ascii="宋体" w:hAnsi="宋体"/>
                <w:color w:val="auto"/>
                <w:sz w:val="24"/>
                <w:szCs w:val="20"/>
              </w:rPr>
            </w:pPr>
          </w:p>
        </w:tc>
        <w:tc>
          <w:tcPr>
            <w:tcW w:w="2268" w:type="dxa"/>
            <w:noWrap/>
            <w:vAlign w:val="center"/>
          </w:tcPr>
          <w:p>
            <w:pPr>
              <w:spacing w:line="360" w:lineRule="auto"/>
              <w:contextualSpacing/>
              <w:jc w:val="center"/>
              <w:rPr>
                <w:rFonts w:ascii="宋体" w:hAnsi="宋体"/>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ign w:val="center"/>
          </w:tcPr>
          <w:p>
            <w:pPr>
              <w:spacing w:line="360" w:lineRule="auto"/>
              <w:contextualSpacing/>
              <w:jc w:val="center"/>
              <w:rPr>
                <w:rFonts w:ascii="宋体" w:hAnsi="宋体"/>
                <w:color w:val="auto"/>
                <w:sz w:val="24"/>
                <w:szCs w:val="20"/>
              </w:rPr>
            </w:pPr>
          </w:p>
        </w:tc>
        <w:tc>
          <w:tcPr>
            <w:tcW w:w="709" w:type="dxa"/>
            <w:noWrap/>
            <w:vAlign w:val="center"/>
          </w:tcPr>
          <w:p>
            <w:pPr>
              <w:spacing w:line="360" w:lineRule="auto"/>
              <w:contextualSpacing/>
              <w:jc w:val="center"/>
              <w:rPr>
                <w:rFonts w:ascii="宋体" w:hAnsi="宋体"/>
                <w:color w:val="auto"/>
                <w:sz w:val="24"/>
                <w:szCs w:val="20"/>
              </w:rPr>
            </w:pPr>
          </w:p>
        </w:tc>
        <w:tc>
          <w:tcPr>
            <w:tcW w:w="2126" w:type="dxa"/>
            <w:noWrap/>
            <w:vAlign w:val="center"/>
          </w:tcPr>
          <w:p>
            <w:pPr>
              <w:spacing w:line="360" w:lineRule="auto"/>
              <w:contextualSpacing/>
              <w:jc w:val="center"/>
              <w:rPr>
                <w:rFonts w:ascii="宋体" w:hAnsi="宋体"/>
                <w:color w:val="auto"/>
                <w:sz w:val="24"/>
                <w:szCs w:val="20"/>
              </w:rPr>
            </w:pPr>
          </w:p>
        </w:tc>
        <w:tc>
          <w:tcPr>
            <w:tcW w:w="1559" w:type="dxa"/>
            <w:noWrap/>
            <w:vAlign w:val="center"/>
          </w:tcPr>
          <w:p>
            <w:pPr>
              <w:spacing w:line="360" w:lineRule="auto"/>
              <w:contextualSpacing/>
              <w:jc w:val="center"/>
              <w:rPr>
                <w:rFonts w:ascii="宋体" w:hAnsi="宋体"/>
                <w:color w:val="auto"/>
                <w:sz w:val="24"/>
                <w:szCs w:val="20"/>
              </w:rPr>
            </w:pPr>
          </w:p>
        </w:tc>
        <w:tc>
          <w:tcPr>
            <w:tcW w:w="1701" w:type="dxa"/>
            <w:noWrap/>
            <w:vAlign w:val="center"/>
          </w:tcPr>
          <w:p>
            <w:pPr>
              <w:spacing w:line="360" w:lineRule="auto"/>
              <w:contextualSpacing/>
              <w:jc w:val="center"/>
              <w:rPr>
                <w:rFonts w:ascii="宋体" w:hAnsi="宋体"/>
                <w:color w:val="auto"/>
                <w:sz w:val="24"/>
                <w:szCs w:val="20"/>
              </w:rPr>
            </w:pPr>
          </w:p>
        </w:tc>
        <w:tc>
          <w:tcPr>
            <w:tcW w:w="2268" w:type="dxa"/>
            <w:noWrap/>
            <w:vAlign w:val="center"/>
          </w:tcPr>
          <w:p>
            <w:pPr>
              <w:spacing w:line="360" w:lineRule="auto"/>
              <w:contextualSpacing/>
              <w:jc w:val="center"/>
              <w:rPr>
                <w:rFonts w:ascii="宋体" w:hAnsi="宋体"/>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ign w:val="center"/>
          </w:tcPr>
          <w:p>
            <w:pPr>
              <w:spacing w:line="360" w:lineRule="auto"/>
              <w:contextualSpacing/>
              <w:jc w:val="center"/>
              <w:rPr>
                <w:rFonts w:ascii="宋体" w:hAnsi="宋体"/>
                <w:color w:val="auto"/>
                <w:sz w:val="24"/>
                <w:szCs w:val="20"/>
              </w:rPr>
            </w:pPr>
          </w:p>
        </w:tc>
        <w:tc>
          <w:tcPr>
            <w:tcW w:w="709" w:type="dxa"/>
            <w:noWrap/>
            <w:vAlign w:val="center"/>
          </w:tcPr>
          <w:p>
            <w:pPr>
              <w:spacing w:line="360" w:lineRule="auto"/>
              <w:contextualSpacing/>
              <w:jc w:val="center"/>
              <w:rPr>
                <w:rFonts w:ascii="宋体" w:hAnsi="宋体"/>
                <w:color w:val="auto"/>
                <w:sz w:val="24"/>
                <w:szCs w:val="20"/>
              </w:rPr>
            </w:pPr>
          </w:p>
        </w:tc>
        <w:tc>
          <w:tcPr>
            <w:tcW w:w="2126" w:type="dxa"/>
            <w:noWrap/>
            <w:vAlign w:val="center"/>
          </w:tcPr>
          <w:p>
            <w:pPr>
              <w:spacing w:line="360" w:lineRule="auto"/>
              <w:contextualSpacing/>
              <w:jc w:val="center"/>
              <w:rPr>
                <w:rFonts w:ascii="宋体" w:hAnsi="宋体"/>
                <w:color w:val="auto"/>
                <w:sz w:val="24"/>
                <w:szCs w:val="20"/>
              </w:rPr>
            </w:pPr>
          </w:p>
        </w:tc>
        <w:tc>
          <w:tcPr>
            <w:tcW w:w="1559" w:type="dxa"/>
            <w:noWrap/>
            <w:vAlign w:val="center"/>
          </w:tcPr>
          <w:p>
            <w:pPr>
              <w:spacing w:line="360" w:lineRule="auto"/>
              <w:contextualSpacing/>
              <w:jc w:val="center"/>
              <w:rPr>
                <w:rFonts w:ascii="宋体" w:hAnsi="宋体"/>
                <w:color w:val="auto"/>
                <w:sz w:val="24"/>
                <w:szCs w:val="20"/>
              </w:rPr>
            </w:pPr>
          </w:p>
        </w:tc>
        <w:tc>
          <w:tcPr>
            <w:tcW w:w="1701" w:type="dxa"/>
            <w:noWrap/>
            <w:vAlign w:val="center"/>
          </w:tcPr>
          <w:p>
            <w:pPr>
              <w:spacing w:line="360" w:lineRule="auto"/>
              <w:contextualSpacing/>
              <w:jc w:val="center"/>
              <w:rPr>
                <w:rFonts w:ascii="宋体" w:hAnsi="宋体"/>
                <w:color w:val="auto"/>
                <w:sz w:val="24"/>
                <w:szCs w:val="20"/>
              </w:rPr>
            </w:pPr>
          </w:p>
        </w:tc>
        <w:tc>
          <w:tcPr>
            <w:tcW w:w="2268" w:type="dxa"/>
            <w:noWrap/>
            <w:vAlign w:val="center"/>
          </w:tcPr>
          <w:p>
            <w:pPr>
              <w:spacing w:line="360" w:lineRule="auto"/>
              <w:contextualSpacing/>
              <w:jc w:val="center"/>
              <w:rPr>
                <w:rFonts w:ascii="宋体" w:hAnsi="宋体"/>
                <w:color w:val="auto"/>
                <w:sz w:val="24"/>
                <w:szCs w:val="20"/>
              </w:rPr>
            </w:pPr>
          </w:p>
        </w:tc>
      </w:tr>
    </w:tbl>
    <w:p>
      <w:pPr>
        <w:spacing w:line="360" w:lineRule="auto"/>
        <w:contextualSpacing/>
        <w:jc w:val="left"/>
        <w:rPr>
          <w:rFonts w:ascii="宋体" w:hAnsi="宋体"/>
          <w:color w:val="auto"/>
          <w:sz w:val="24"/>
          <w:szCs w:val="20"/>
        </w:rPr>
      </w:pPr>
      <w:r>
        <w:rPr>
          <w:rFonts w:hint="eastAsia" w:ascii="宋体" w:hAnsi="宋体"/>
          <w:color w:val="auto"/>
          <w:sz w:val="24"/>
          <w:szCs w:val="20"/>
        </w:rPr>
        <w:t>注：</w:t>
      </w:r>
    </w:p>
    <w:p>
      <w:pPr>
        <w:spacing w:line="360" w:lineRule="auto"/>
        <w:contextualSpacing/>
        <w:jc w:val="left"/>
        <w:rPr>
          <w:rFonts w:ascii="宋体" w:hAnsi="宋体"/>
          <w:color w:val="auto"/>
          <w:sz w:val="24"/>
          <w:szCs w:val="20"/>
        </w:rPr>
      </w:pPr>
      <w:r>
        <w:rPr>
          <w:rFonts w:hint="eastAsia" w:ascii="宋体" w:hAnsi="宋体"/>
          <w:color w:val="auto"/>
          <w:sz w:val="24"/>
          <w:szCs w:val="20"/>
        </w:rPr>
        <w:t>1</w:t>
      </w:r>
      <w:r>
        <w:rPr>
          <w:rFonts w:ascii="宋体" w:hAnsi="宋体"/>
          <w:color w:val="auto"/>
          <w:sz w:val="24"/>
          <w:szCs w:val="20"/>
        </w:rPr>
        <w:t>.</w:t>
      </w:r>
      <w:r>
        <w:rPr>
          <w:rFonts w:hint="eastAsia" w:ascii="宋体" w:hAnsi="宋体"/>
          <w:color w:val="auto"/>
          <w:sz w:val="24"/>
          <w:szCs w:val="20"/>
        </w:rPr>
        <w:t>在填写时，如本表格不适合供应商的实际情况，可根据本表格式自行制表填写。</w:t>
      </w:r>
    </w:p>
    <w:p>
      <w:pPr>
        <w:spacing w:line="360" w:lineRule="auto"/>
        <w:contextualSpacing/>
        <w:jc w:val="left"/>
        <w:rPr>
          <w:rFonts w:ascii="宋体" w:hAnsi="宋体"/>
          <w:color w:val="auto"/>
          <w:sz w:val="24"/>
          <w:szCs w:val="20"/>
        </w:rPr>
      </w:pPr>
      <w:r>
        <w:rPr>
          <w:rFonts w:ascii="宋体" w:hAnsi="宋体"/>
          <w:color w:val="auto"/>
          <w:sz w:val="24"/>
          <w:szCs w:val="20"/>
        </w:rPr>
        <w:t>2.</w:t>
      </w:r>
      <w:r>
        <w:rPr>
          <w:rFonts w:hint="eastAsia" w:ascii="宋体" w:hAnsi="宋体"/>
          <w:color w:val="auto"/>
          <w:sz w:val="24"/>
          <w:szCs w:val="20"/>
        </w:rPr>
        <w:t>供应商应当附本表所列证书的复印件并加盖供应商</w:t>
      </w:r>
      <w:r>
        <w:rPr>
          <w:rFonts w:hint="eastAsia" w:ascii="宋体" w:hAnsi="宋体"/>
          <w:color w:val="auto"/>
          <w:sz w:val="24"/>
          <w:szCs w:val="20"/>
          <w:lang w:eastAsia="zh-CN"/>
        </w:rPr>
        <w:t>公章</w:t>
      </w:r>
      <w:r>
        <w:rPr>
          <w:rFonts w:hint="eastAsia" w:ascii="宋体" w:hAnsi="宋体"/>
          <w:color w:val="auto"/>
          <w:sz w:val="24"/>
          <w:szCs w:val="20"/>
        </w:rPr>
        <w:t>。</w:t>
      </w:r>
    </w:p>
    <w:p>
      <w:pPr>
        <w:spacing w:line="360" w:lineRule="auto"/>
        <w:ind w:right="-817" w:rightChars="-389"/>
        <w:contextualSpacing/>
        <w:jc w:val="center"/>
        <w:rPr>
          <w:rFonts w:ascii="宋体" w:hAnsi="宋体" w:cs="仿宋_GB2312"/>
          <w:color w:val="auto"/>
          <w:sz w:val="24"/>
        </w:rPr>
      </w:pPr>
      <w:r>
        <w:rPr>
          <w:rFonts w:hint="eastAsia" w:ascii="宋体" w:hAnsi="宋体" w:cs="仿宋_GB2312"/>
          <w:color w:val="auto"/>
          <w:sz w:val="24"/>
        </w:rPr>
        <w:t>法定代表人或者委托代理人（签字）：</w:t>
      </w:r>
    </w:p>
    <w:p>
      <w:pPr>
        <w:spacing w:line="360" w:lineRule="auto"/>
        <w:ind w:right="-817" w:rightChars="-389" w:firstLine="2880" w:firstLineChars="1200"/>
        <w:contextualSpacing/>
        <w:rPr>
          <w:rFonts w:ascii="宋体" w:hAnsi="宋体" w:cs="仿宋_GB2312"/>
          <w:color w:val="auto"/>
          <w:sz w:val="24"/>
        </w:rPr>
      </w:pPr>
      <w:r>
        <w:rPr>
          <w:rFonts w:hint="eastAsia" w:ascii="宋体" w:hAnsi="宋体" w:cs="仿宋_GB2312"/>
          <w:color w:val="auto"/>
          <w:sz w:val="24"/>
        </w:rPr>
        <w:t xml:space="preserve">供应商（盖单位公章）：      </w:t>
      </w:r>
    </w:p>
    <w:p>
      <w:pPr>
        <w:spacing w:line="360" w:lineRule="auto"/>
        <w:contextualSpacing/>
        <w:jc w:val="center"/>
        <w:rPr>
          <w:rFonts w:ascii="宋体" w:hAnsi="宋体"/>
          <w:color w:val="auto"/>
          <w:sz w:val="24"/>
          <w:szCs w:val="20"/>
        </w:rPr>
      </w:pPr>
      <w:r>
        <w:rPr>
          <w:rFonts w:hint="eastAsia" w:ascii="宋体" w:hAnsi="宋体" w:cs="仿宋_GB2312"/>
          <w:color w:val="auto"/>
          <w:sz w:val="24"/>
        </w:rPr>
        <w:t>日期：   年   月   日</w:t>
      </w:r>
    </w:p>
    <w:p>
      <w:pPr>
        <w:snapToGrid w:val="0"/>
        <w:spacing w:before="50" w:afterLines="50"/>
        <w:jc w:val="left"/>
        <w:rPr>
          <w:rFonts w:ascii="宋体" w:hAnsi="宋体"/>
          <w:color w:val="auto"/>
          <w:sz w:val="24"/>
          <w:szCs w:val="20"/>
        </w:rPr>
      </w:pPr>
    </w:p>
    <w:p>
      <w:pPr>
        <w:snapToGrid w:val="0"/>
        <w:spacing w:before="50" w:after="50" w:line="360" w:lineRule="auto"/>
        <w:ind w:right="-817" w:rightChars="-389" w:firstLine="5461" w:firstLineChars="1700"/>
        <w:rPr>
          <w:rFonts w:ascii="仿宋_GB2312" w:hAnsi="仿宋_GB2312" w:eastAsia="仿宋_GB2312" w:cs="仿宋_GB2312"/>
          <w:b/>
          <w:color w:val="auto"/>
          <w:sz w:val="32"/>
          <w:szCs w:val="32"/>
        </w:rPr>
      </w:pPr>
    </w:p>
    <w:p>
      <w:pPr>
        <w:spacing w:line="300" w:lineRule="auto"/>
        <w:rPr>
          <w:rFonts w:ascii="宋体" w:hAnsi="宋体"/>
          <w:color w:val="auto"/>
        </w:rPr>
      </w:pPr>
      <w:r>
        <w:rPr>
          <w:rFonts w:ascii="宋体" w:hAnsi="宋体"/>
          <w:b/>
          <w:bCs/>
          <w:color w:val="auto"/>
          <w:sz w:val="24"/>
        </w:rPr>
        <w:br w:type="page"/>
      </w:r>
      <w:r>
        <w:rPr>
          <w:rFonts w:hint="eastAsia" w:ascii="宋体" w:hAnsi="宋体"/>
          <w:b/>
          <w:bCs/>
          <w:color w:val="auto"/>
          <w:sz w:val="24"/>
        </w:rPr>
        <w:t>其他文书、文件格式</w:t>
      </w:r>
    </w:p>
    <w:p>
      <w:pPr>
        <w:jc w:val="center"/>
        <w:rPr>
          <w:rFonts w:ascii="方正小标宋简体" w:hAnsi="方正小标宋简体" w:eastAsia="方正小标宋简体" w:cs="方正小标宋简体"/>
          <w:bCs/>
          <w:color w:val="auto"/>
          <w:sz w:val="44"/>
          <w:szCs w:val="44"/>
        </w:rPr>
      </w:pPr>
      <w:bookmarkStart w:id="176" w:name="_Toc71366187"/>
      <w:r>
        <w:rPr>
          <w:rFonts w:hint="eastAsia" w:ascii="方正小标宋简体" w:hAnsi="方正小标宋简体" w:eastAsia="方正小标宋简体" w:cs="方正小标宋简体"/>
          <w:bCs/>
          <w:color w:val="auto"/>
          <w:sz w:val="44"/>
          <w:szCs w:val="44"/>
        </w:rPr>
        <w:t>中小企业声明函（货物）</w:t>
      </w:r>
      <w:bookmarkEnd w:id="176"/>
    </w:p>
    <w:p>
      <w:pPr>
        <w:spacing w:line="360" w:lineRule="auto"/>
        <w:contextualSpacing/>
        <w:rPr>
          <w:rFonts w:ascii="宋体" w:hAnsi="宋体" w:cs="宋体"/>
          <w:b/>
          <w:bCs/>
          <w:color w:val="auto"/>
          <w:sz w:val="27"/>
          <w:szCs w:val="27"/>
        </w:rPr>
      </w:pPr>
    </w:p>
    <w:p>
      <w:pPr>
        <w:pStyle w:val="2"/>
        <w:spacing w:line="360" w:lineRule="auto"/>
        <w:ind w:left="-426" w:right="142" w:firstLine="640"/>
        <w:contextualSpacing/>
        <w:rPr>
          <w:rFonts w:ascii="宋体" w:hAnsi="宋体"/>
          <w:color w:val="auto"/>
        </w:rPr>
      </w:pPr>
      <w:r>
        <w:rPr>
          <w:rFonts w:ascii="宋体" w:hAnsi="宋体"/>
          <w:color w:val="auto"/>
        </w:rPr>
        <w:t>本公司（联合体）郑重声明，根据《政府采购促进中小企业发展管理办法》（财库﹝2020﹞46号）的规定，本公司（联合体）参加</w:t>
      </w:r>
      <w:r>
        <w:rPr>
          <w:rFonts w:ascii="宋体" w:hAnsi="宋体"/>
          <w:color w:val="auto"/>
          <w:u w:val="single"/>
        </w:rPr>
        <w:t>（单位名称）</w:t>
      </w:r>
      <w:r>
        <w:rPr>
          <w:rFonts w:ascii="宋体" w:hAnsi="宋体"/>
          <w:color w:val="auto"/>
        </w:rPr>
        <w:t>的</w:t>
      </w:r>
      <w:r>
        <w:rPr>
          <w:rFonts w:ascii="宋体" w:hAnsi="宋体"/>
          <w:color w:val="auto"/>
          <w:u w:val="single"/>
        </w:rPr>
        <w:t>（项目名称）</w:t>
      </w:r>
      <w:r>
        <w:rPr>
          <w:rFonts w:ascii="宋体" w:hAnsi="宋体"/>
          <w:color w:val="auto"/>
        </w:rPr>
        <w:t>采购活动，提供的货物全部由符合政策要求的中小企业制造。相关企业（含联合体中的中小企业、签订分包意向协议的中小企业）的具体情况如下：</w:t>
      </w:r>
    </w:p>
    <w:p>
      <w:pPr>
        <w:tabs>
          <w:tab w:val="left" w:pos="1384"/>
          <w:tab w:val="left" w:pos="4562"/>
          <w:tab w:val="left" w:pos="6803"/>
        </w:tabs>
        <w:spacing w:line="360" w:lineRule="auto"/>
        <w:ind w:left="-426" w:right="-58" w:firstLine="655"/>
        <w:contextualSpacing/>
        <w:rPr>
          <w:rFonts w:ascii="宋体" w:hAnsi="宋体"/>
          <w:color w:val="auto"/>
          <w:sz w:val="24"/>
        </w:rPr>
      </w:pPr>
      <w:r>
        <w:rPr>
          <w:rFonts w:ascii="宋体" w:hAnsi="宋体"/>
          <w:color w:val="auto"/>
          <w:sz w:val="24"/>
        </w:rPr>
        <w:t>1.</w:t>
      </w:r>
      <w:r>
        <w:rPr>
          <w:rFonts w:ascii="宋体" w:hAnsi="宋体"/>
          <w:color w:val="auto"/>
          <w:sz w:val="24"/>
          <w:u w:val="single"/>
        </w:rPr>
        <w:t>（标的名称）</w:t>
      </w:r>
      <w:r>
        <w:rPr>
          <w:rFonts w:ascii="宋体" w:hAnsi="宋体"/>
          <w:color w:val="auto"/>
          <w:sz w:val="24"/>
        </w:rPr>
        <w:t>，属于</w:t>
      </w:r>
      <w:r>
        <w:rPr>
          <w:rFonts w:ascii="宋体" w:hAnsi="宋体"/>
          <w:color w:val="auto"/>
          <w:sz w:val="24"/>
          <w:u w:val="single"/>
        </w:rPr>
        <w:t>（采购文件中明确的所属行业）</w:t>
      </w:r>
      <w:r>
        <w:rPr>
          <w:rFonts w:ascii="宋体" w:hAnsi="宋体"/>
          <w:color w:val="auto"/>
          <w:sz w:val="24"/>
        </w:rPr>
        <w:t>行业；制造商为</w:t>
      </w:r>
      <w:r>
        <w:rPr>
          <w:rFonts w:ascii="宋体" w:hAnsi="宋体"/>
          <w:color w:val="auto"/>
          <w:sz w:val="24"/>
          <w:u w:val="single"/>
        </w:rPr>
        <w:t>（企业名称）</w:t>
      </w:r>
      <w:r>
        <w:rPr>
          <w:rFonts w:ascii="宋体" w:hAnsi="宋体"/>
          <w:color w:val="auto"/>
          <w:sz w:val="24"/>
        </w:rPr>
        <w:t>，从业人员</w:t>
      </w:r>
      <w:r>
        <w:rPr>
          <w:rFonts w:hint="eastAsia" w:ascii="宋体" w:hAnsi="宋体"/>
          <w:color w:val="auto"/>
          <w:sz w:val="24"/>
          <w:u w:val="single"/>
          <w:lang w:val="en-US" w:eastAsia="zh-CN"/>
        </w:rPr>
        <w:t xml:space="preserve">    </w:t>
      </w:r>
      <w:r>
        <w:rPr>
          <w:rFonts w:ascii="宋体" w:hAnsi="宋体"/>
          <w:color w:val="auto"/>
          <w:sz w:val="24"/>
        </w:rPr>
        <w:t>人，营业收入为</w:t>
      </w:r>
      <w:r>
        <w:rPr>
          <w:rFonts w:hint="eastAsia" w:ascii="宋体" w:hAnsi="宋体"/>
          <w:color w:val="auto"/>
          <w:sz w:val="24"/>
          <w:u w:val="single"/>
          <w:lang w:val="en-US" w:eastAsia="zh-CN"/>
        </w:rPr>
        <w:t xml:space="preserve">    </w:t>
      </w:r>
      <w:r>
        <w:rPr>
          <w:rFonts w:ascii="宋体" w:hAnsi="宋体"/>
          <w:color w:val="auto"/>
          <w:sz w:val="24"/>
        </w:rPr>
        <w:t>万元，资产总额为</w:t>
      </w:r>
      <w:r>
        <w:rPr>
          <w:rFonts w:hint="eastAsia" w:ascii="宋体" w:hAnsi="宋体"/>
          <w:color w:val="auto"/>
          <w:sz w:val="24"/>
          <w:u w:val="single"/>
          <w:lang w:val="en-US" w:eastAsia="zh-CN"/>
        </w:rPr>
        <w:t xml:space="preserve">    </w:t>
      </w:r>
      <w:r>
        <w:rPr>
          <w:rFonts w:ascii="宋体" w:hAnsi="宋体"/>
          <w:color w:val="auto"/>
          <w:sz w:val="24"/>
        </w:rPr>
        <w:t>万元，属于</w:t>
      </w:r>
      <w:r>
        <w:rPr>
          <w:rFonts w:ascii="宋体" w:hAnsi="宋体"/>
          <w:color w:val="auto"/>
          <w:sz w:val="24"/>
          <w:u w:val="single"/>
        </w:rPr>
        <w:t>（中型企业、小型企业、微型企业）</w:t>
      </w:r>
      <w:r>
        <w:rPr>
          <w:rFonts w:ascii="宋体" w:hAnsi="宋体"/>
          <w:color w:val="auto"/>
          <w:sz w:val="24"/>
        </w:rPr>
        <w:t>；</w:t>
      </w:r>
    </w:p>
    <w:p>
      <w:pPr>
        <w:tabs>
          <w:tab w:val="left" w:pos="1065"/>
          <w:tab w:val="left" w:pos="6477"/>
        </w:tabs>
        <w:spacing w:line="360" w:lineRule="auto"/>
        <w:ind w:left="-426" w:right="-58" w:firstLine="655"/>
        <w:contextualSpacing/>
        <w:rPr>
          <w:rFonts w:ascii="宋体" w:hAnsi="宋体"/>
          <w:color w:val="auto"/>
          <w:sz w:val="24"/>
        </w:rPr>
      </w:pPr>
      <w:r>
        <w:rPr>
          <w:rFonts w:ascii="宋体" w:hAnsi="宋体"/>
          <w:color w:val="auto"/>
          <w:sz w:val="24"/>
        </w:rPr>
        <w:t>2.</w:t>
      </w:r>
      <w:r>
        <w:rPr>
          <w:rFonts w:ascii="宋体" w:hAnsi="宋体"/>
          <w:color w:val="auto"/>
          <w:sz w:val="24"/>
          <w:u w:val="single"/>
        </w:rPr>
        <w:t>（标的名称）</w:t>
      </w:r>
      <w:r>
        <w:rPr>
          <w:rFonts w:ascii="宋体" w:hAnsi="宋体"/>
          <w:color w:val="auto"/>
          <w:sz w:val="24"/>
        </w:rPr>
        <w:t>，属于</w:t>
      </w:r>
      <w:r>
        <w:rPr>
          <w:rFonts w:ascii="宋体" w:hAnsi="宋体"/>
          <w:color w:val="auto"/>
          <w:sz w:val="24"/>
          <w:u w:val="single"/>
        </w:rPr>
        <w:t>（采购文件中明确的所属行业）</w:t>
      </w:r>
      <w:r>
        <w:rPr>
          <w:rFonts w:ascii="宋体" w:hAnsi="宋体"/>
          <w:color w:val="auto"/>
          <w:sz w:val="24"/>
        </w:rPr>
        <w:t>行业；制造商为</w:t>
      </w:r>
      <w:r>
        <w:rPr>
          <w:rFonts w:ascii="宋体" w:hAnsi="宋体"/>
          <w:color w:val="auto"/>
          <w:sz w:val="24"/>
          <w:u w:val="single"/>
        </w:rPr>
        <w:t>（企业名称）</w:t>
      </w:r>
      <w:r>
        <w:rPr>
          <w:rFonts w:ascii="宋体" w:hAnsi="宋体"/>
          <w:color w:val="auto"/>
          <w:sz w:val="24"/>
        </w:rPr>
        <w:t>，从业人员</w:t>
      </w:r>
      <w:r>
        <w:rPr>
          <w:rFonts w:hint="eastAsia" w:ascii="宋体" w:hAnsi="宋体"/>
          <w:color w:val="auto"/>
          <w:sz w:val="24"/>
          <w:u w:val="single"/>
          <w:lang w:val="en-US" w:eastAsia="zh-CN"/>
        </w:rPr>
        <w:t xml:space="preserve">    </w:t>
      </w:r>
      <w:r>
        <w:rPr>
          <w:rFonts w:ascii="宋体" w:hAnsi="宋体"/>
          <w:color w:val="auto"/>
          <w:sz w:val="24"/>
        </w:rPr>
        <w:t>人，营业收入为</w:t>
      </w:r>
      <w:r>
        <w:rPr>
          <w:rFonts w:hint="eastAsia" w:ascii="宋体" w:hAnsi="宋体"/>
          <w:color w:val="auto"/>
          <w:sz w:val="24"/>
          <w:u w:val="single"/>
          <w:lang w:val="en-US" w:eastAsia="zh-CN"/>
        </w:rPr>
        <w:t xml:space="preserve">    </w:t>
      </w:r>
      <w:r>
        <w:rPr>
          <w:rFonts w:ascii="宋体" w:hAnsi="宋体"/>
          <w:color w:val="auto"/>
          <w:sz w:val="24"/>
        </w:rPr>
        <w:t>万元，资产总额为</w:t>
      </w:r>
      <w:r>
        <w:rPr>
          <w:rFonts w:hint="eastAsia" w:ascii="宋体" w:hAnsi="宋体"/>
          <w:color w:val="auto"/>
          <w:sz w:val="24"/>
          <w:u w:val="single"/>
          <w:lang w:val="en-US" w:eastAsia="zh-CN"/>
        </w:rPr>
        <w:t xml:space="preserve">    </w:t>
      </w:r>
      <w:r>
        <w:rPr>
          <w:rFonts w:ascii="宋体" w:hAnsi="宋体"/>
          <w:color w:val="auto"/>
          <w:sz w:val="24"/>
        </w:rPr>
        <w:t>万元，属于</w:t>
      </w:r>
      <w:r>
        <w:rPr>
          <w:rFonts w:ascii="宋体" w:hAnsi="宋体"/>
          <w:color w:val="auto"/>
          <w:sz w:val="24"/>
          <w:u w:val="single"/>
        </w:rPr>
        <w:t>（中型企业、小型企业、微型企业）</w:t>
      </w:r>
      <w:r>
        <w:rPr>
          <w:rFonts w:ascii="宋体" w:hAnsi="宋体"/>
          <w:color w:val="auto"/>
          <w:sz w:val="24"/>
        </w:rPr>
        <w:t>；</w:t>
      </w:r>
    </w:p>
    <w:p>
      <w:pPr>
        <w:pStyle w:val="2"/>
        <w:spacing w:line="360" w:lineRule="auto"/>
        <w:ind w:left="142" w:right="142"/>
        <w:contextualSpacing/>
        <w:rPr>
          <w:rFonts w:ascii="宋体" w:hAnsi="宋体"/>
          <w:color w:val="auto"/>
        </w:rPr>
      </w:pPr>
      <w:r>
        <w:rPr>
          <w:rFonts w:ascii="宋体" w:hAnsi="宋体"/>
          <w:color w:val="auto"/>
        </w:rPr>
        <w:t xml:space="preserve">…… </w:t>
      </w:r>
    </w:p>
    <w:p>
      <w:pPr>
        <w:pStyle w:val="2"/>
        <w:spacing w:line="360" w:lineRule="auto"/>
        <w:ind w:left="-405" w:leftChars="-193" w:right="142" w:firstLine="453" w:firstLineChars="189"/>
        <w:contextualSpacing/>
        <w:rPr>
          <w:rFonts w:ascii="宋体" w:hAnsi="宋体"/>
          <w:color w:val="auto"/>
        </w:rPr>
      </w:pPr>
      <w:r>
        <w:rPr>
          <w:rFonts w:ascii="宋体" w:hAnsi="宋体"/>
          <w:color w:val="auto"/>
        </w:rPr>
        <w:t>以上企业，不属于大企业的分支机构，不存在控股股东为大企业的情形，也不存在与大企业的负责人为同一人的情形。</w:t>
      </w:r>
    </w:p>
    <w:p>
      <w:pPr>
        <w:pStyle w:val="2"/>
        <w:spacing w:line="360" w:lineRule="auto"/>
        <w:ind w:left="-426" w:right="142" w:firstLine="567"/>
        <w:contextualSpacing/>
        <w:rPr>
          <w:rFonts w:ascii="宋体" w:hAnsi="宋体"/>
          <w:color w:val="auto"/>
        </w:rPr>
      </w:pPr>
      <w:r>
        <w:rPr>
          <w:rFonts w:ascii="宋体" w:hAnsi="宋体"/>
          <w:color w:val="auto"/>
        </w:rPr>
        <w:t>本企业对上述声明内容的真实性负责。如有虚假，将依法承担相应责任。</w:t>
      </w:r>
    </w:p>
    <w:p>
      <w:pPr>
        <w:pStyle w:val="2"/>
        <w:spacing w:line="360" w:lineRule="auto"/>
        <w:ind w:left="3960" w:right="1808"/>
        <w:contextualSpacing/>
        <w:rPr>
          <w:rFonts w:ascii="宋体" w:hAnsi="宋体"/>
          <w:color w:val="auto"/>
        </w:rPr>
      </w:pPr>
    </w:p>
    <w:p>
      <w:pPr>
        <w:pStyle w:val="2"/>
        <w:spacing w:line="360" w:lineRule="auto"/>
        <w:ind w:left="3960" w:right="1808"/>
        <w:contextualSpacing/>
        <w:rPr>
          <w:rFonts w:ascii="宋体" w:hAnsi="宋体"/>
          <w:color w:val="auto"/>
        </w:rPr>
      </w:pPr>
      <w:r>
        <w:rPr>
          <w:rFonts w:ascii="宋体" w:hAnsi="宋体"/>
          <w:color w:val="auto"/>
        </w:rPr>
        <w:t xml:space="preserve">企业名称（章）： </w:t>
      </w:r>
    </w:p>
    <w:p>
      <w:pPr>
        <w:pStyle w:val="2"/>
        <w:spacing w:line="360" w:lineRule="auto"/>
        <w:ind w:left="3960" w:right="1808"/>
        <w:contextualSpacing/>
        <w:rPr>
          <w:rFonts w:ascii="宋体" w:hAnsi="宋体"/>
          <w:color w:val="auto"/>
        </w:rPr>
      </w:pPr>
      <w:r>
        <w:rPr>
          <w:rFonts w:ascii="宋体" w:hAnsi="宋体"/>
          <w:color w:val="auto"/>
        </w:rPr>
        <w:t>日期：</w:t>
      </w:r>
    </w:p>
    <w:p>
      <w:pPr>
        <w:pStyle w:val="2"/>
        <w:spacing w:line="360" w:lineRule="auto"/>
        <w:ind w:right="1808"/>
        <w:contextualSpacing/>
        <w:rPr>
          <w:color w:val="auto"/>
        </w:rPr>
      </w:pPr>
    </w:p>
    <w:p>
      <w:pPr>
        <w:spacing w:line="360" w:lineRule="auto"/>
        <w:contextualSpacing/>
        <w:jc w:val="left"/>
        <w:rPr>
          <w:rFonts w:ascii="宋体" w:hAnsi="宋体" w:cs="仿宋_GB2312"/>
          <w:color w:val="auto"/>
          <w:sz w:val="24"/>
        </w:rPr>
      </w:pPr>
      <w:bookmarkStart w:id="177" w:name="_Hlk65858720"/>
      <w:r>
        <w:rPr>
          <w:rFonts w:hint="eastAsia" w:ascii="宋体" w:hAnsi="宋体" w:cs="仿宋_GB2312"/>
          <w:color w:val="auto"/>
          <w:sz w:val="24"/>
        </w:rPr>
        <w:t>注：</w:t>
      </w:r>
      <w:bookmarkEnd w:id="177"/>
      <w:r>
        <w:rPr>
          <w:rFonts w:hint="eastAsia" w:ascii="宋体" w:hAnsi="宋体" w:cs="仿宋_GB2312"/>
          <w:color w:val="auto"/>
          <w:sz w:val="24"/>
        </w:rPr>
        <w:t>享受《政府采购促进中小企业发展管理办法》（财库〔2020〕46号）规定的中小企业扶持政策的，采购人、采购代理机构应当随成交结果公开成交供应商的《中小企业声明函》。从业人员、营业收入、资产总额填报上一年度数据，无上一年度数据的新成立企业可不填报。</w:t>
      </w:r>
    </w:p>
    <w:p>
      <w:pPr>
        <w:spacing w:line="360" w:lineRule="auto"/>
        <w:contextualSpacing/>
        <w:jc w:val="center"/>
        <w:rPr>
          <w:rFonts w:ascii="仿宋_GB2312" w:hAnsi="仿宋_GB2312" w:eastAsia="仿宋_GB2312" w:cs="仿宋_GB2312"/>
          <w:color w:val="auto"/>
          <w:sz w:val="32"/>
          <w:szCs w:val="32"/>
        </w:rPr>
      </w:pPr>
      <w:r>
        <w:rPr>
          <w:rFonts w:ascii="宋体" w:hAnsi="宋体" w:cs="仿宋_GB2312"/>
          <w:color w:val="auto"/>
          <w:sz w:val="24"/>
        </w:rPr>
        <w:br w:type="page"/>
      </w:r>
      <w:r>
        <w:rPr>
          <w:rFonts w:hint="eastAsia" w:ascii="方正小标宋简体" w:hAnsi="方正小标宋简体" w:eastAsia="方正小标宋简体" w:cs="方正小标宋简体"/>
          <w:color w:val="auto"/>
          <w:sz w:val="44"/>
          <w:szCs w:val="44"/>
        </w:rPr>
        <w:t>残疾人福利性单位声明函</w:t>
      </w:r>
    </w:p>
    <w:p>
      <w:pPr>
        <w:spacing w:line="360" w:lineRule="auto"/>
        <w:contextualSpacing/>
        <w:rPr>
          <w:rFonts w:ascii="仿宋_GB2312" w:hAnsi="仿宋_GB2312" w:eastAsia="仿宋_GB2312" w:cs="仿宋_GB2312"/>
          <w:color w:val="auto"/>
          <w:sz w:val="32"/>
          <w:szCs w:val="32"/>
        </w:rPr>
      </w:pP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contextualSpacing/>
        <w:rPr>
          <w:rFonts w:ascii="宋体" w:hAnsi="宋体" w:cs="仿宋_GB2312"/>
          <w:color w:val="auto"/>
          <w:sz w:val="24"/>
        </w:rPr>
      </w:pPr>
      <w:r>
        <w:rPr>
          <w:rFonts w:hint="eastAsia" w:ascii="宋体" w:hAnsi="宋体" w:cs="仿宋_GB2312"/>
          <w:color w:val="auto"/>
          <w:sz w:val="24"/>
        </w:rPr>
        <w:t>本单位对上述声明的真实性负责。如有虚假，将依法承担相应责任。</w:t>
      </w:r>
    </w:p>
    <w:p>
      <w:pPr>
        <w:spacing w:line="360" w:lineRule="auto"/>
        <w:contextualSpacing/>
        <w:rPr>
          <w:rFonts w:ascii="宋体" w:hAnsi="宋体" w:cs="仿宋_GB2312"/>
          <w:color w:val="auto"/>
          <w:sz w:val="24"/>
        </w:rPr>
      </w:pPr>
    </w:p>
    <w:p>
      <w:pPr>
        <w:spacing w:line="360" w:lineRule="auto"/>
        <w:contextualSpacing/>
        <w:rPr>
          <w:rFonts w:ascii="宋体" w:hAnsi="宋体" w:cs="仿宋_GB2312"/>
          <w:color w:val="auto"/>
          <w:sz w:val="24"/>
        </w:rPr>
      </w:pPr>
    </w:p>
    <w:p>
      <w:pPr>
        <w:spacing w:line="360" w:lineRule="auto"/>
        <w:contextualSpacing/>
        <w:rPr>
          <w:rFonts w:ascii="宋体" w:hAnsi="宋体" w:cs="仿宋_GB2312"/>
          <w:color w:val="auto"/>
          <w:sz w:val="24"/>
        </w:rPr>
      </w:pPr>
    </w:p>
    <w:p>
      <w:pPr>
        <w:spacing w:line="360" w:lineRule="auto"/>
        <w:ind w:firstLine="2400" w:firstLineChars="1000"/>
        <w:contextualSpacing/>
        <w:rPr>
          <w:rFonts w:ascii="宋体" w:hAnsi="宋体" w:cs="仿宋_GB2312"/>
          <w:color w:val="auto"/>
          <w:sz w:val="24"/>
        </w:rPr>
      </w:pPr>
      <w:r>
        <w:rPr>
          <w:rFonts w:hint="eastAsia" w:ascii="宋体" w:hAnsi="宋体" w:cs="仿宋_GB2312"/>
          <w:color w:val="auto"/>
          <w:sz w:val="24"/>
        </w:rPr>
        <w:t>单位名称（盖章）：</w:t>
      </w:r>
    </w:p>
    <w:p>
      <w:pPr>
        <w:spacing w:line="360" w:lineRule="auto"/>
        <w:ind w:firstLine="3600" w:firstLineChars="1500"/>
        <w:contextualSpacing/>
        <w:rPr>
          <w:rFonts w:ascii="宋体" w:hAnsi="宋体" w:cs="仿宋_GB2312"/>
          <w:color w:val="auto"/>
          <w:sz w:val="24"/>
        </w:rPr>
      </w:pPr>
      <w:r>
        <w:rPr>
          <w:rFonts w:hint="eastAsia" w:ascii="宋体" w:hAnsi="宋体" w:cs="仿宋_GB2312"/>
          <w:color w:val="auto"/>
          <w:sz w:val="24"/>
        </w:rPr>
        <w:t>日  期：</w:t>
      </w:r>
    </w:p>
    <w:p>
      <w:pPr>
        <w:spacing w:line="360" w:lineRule="auto"/>
        <w:rPr>
          <w:rFonts w:ascii="宋体" w:hAnsi="宋体" w:cs="仿宋_GB2312"/>
          <w:color w:val="auto"/>
          <w:sz w:val="24"/>
        </w:rPr>
      </w:pPr>
    </w:p>
    <w:p>
      <w:pPr>
        <w:spacing w:line="360" w:lineRule="auto"/>
        <w:rPr>
          <w:rFonts w:ascii="宋体" w:hAnsi="宋体" w:cs="仿宋_GB2312"/>
          <w:color w:val="auto"/>
          <w:sz w:val="24"/>
        </w:rPr>
      </w:pPr>
    </w:p>
    <w:p>
      <w:pPr>
        <w:spacing w:line="360" w:lineRule="auto"/>
        <w:contextualSpacing/>
        <w:rPr>
          <w:rFonts w:ascii="宋体" w:hAnsi="宋体" w:cs="仿宋_GB2312"/>
          <w:color w:val="auto"/>
          <w:sz w:val="24"/>
        </w:rPr>
      </w:pPr>
    </w:p>
    <w:p>
      <w:pPr>
        <w:spacing w:line="360" w:lineRule="auto"/>
        <w:contextualSpacing/>
        <w:rPr>
          <w:rFonts w:ascii="宋体" w:hAnsi="宋体" w:cs="仿宋_GB2312"/>
          <w:color w:val="auto"/>
          <w:sz w:val="24"/>
        </w:rPr>
      </w:pPr>
      <w:r>
        <w:rPr>
          <w:rFonts w:hint="eastAsia" w:ascii="宋体" w:hAnsi="宋体" w:cs="仿宋_GB2312"/>
          <w:color w:val="auto"/>
          <w:sz w:val="24"/>
        </w:rPr>
        <w:t>注：请根据自己的真实情况出具《残疾人福利性单位声明函》。依法享受中小企业优惠政策的，采购人或者采购代理机构在公告成交结果时，同时公告其《残疾人福利性单位声明函》，接受社会监督。</w:t>
      </w:r>
    </w:p>
    <w:p>
      <w:pPr>
        <w:pStyle w:val="24"/>
        <w:spacing w:line="360" w:lineRule="auto"/>
        <w:ind w:left="25" w:leftChars="12" w:firstLine="352" w:firstLineChars="147"/>
        <w:rPr>
          <w:rFonts w:hAnsi="宋体"/>
          <w:b/>
          <w:color w:val="auto"/>
        </w:rPr>
      </w:pPr>
      <w:r>
        <w:rPr>
          <w:rFonts w:ascii="宋体" w:hAnsi="宋体" w:cs="仿宋_GB2312"/>
          <w:color w:val="auto"/>
          <w:sz w:val="24"/>
        </w:rPr>
        <w:br w:type="page"/>
      </w:r>
    </w:p>
    <w:p>
      <w:pPr>
        <w:pStyle w:val="5"/>
        <w:jc w:val="center"/>
        <w:rPr>
          <w:color w:val="auto"/>
        </w:rPr>
      </w:pPr>
      <w:bookmarkStart w:id="178" w:name="_Toc32396"/>
      <w:bookmarkStart w:id="179" w:name="_Toc74322610"/>
      <w:bookmarkStart w:id="180" w:name="_Toc31484"/>
      <w:r>
        <w:rPr>
          <w:rFonts w:hint="eastAsia"/>
          <w:color w:val="auto"/>
        </w:rPr>
        <w:t>第六章 合同文本</w:t>
      </w:r>
      <w:bookmarkEnd w:id="178"/>
      <w:bookmarkEnd w:id="179"/>
      <w:bookmarkEnd w:id="180"/>
    </w:p>
    <w:p>
      <w:pPr>
        <w:snapToGrid w:val="0"/>
        <w:spacing w:line="360" w:lineRule="auto"/>
        <w:jc w:val="center"/>
        <w:rPr>
          <w:rFonts w:ascii="宋体" w:hAnsi="宋体"/>
          <w:b/>
          <w:bCs/>
          <w:color w:val="auto"/>
          <w:sz w:val="32"/>
          <w:szCs w:val="32"/>
        </w:rPr>
      </w:pPr>
      <w:r>
        <w:rPr>
          <w:rFonts w:hint="eastAsia" w:ascii="宋体" w:hAnsi="宋体"/>
          <w:b/>
          <w:bCs/>
          <w:color w:val="auto"/>
          <w:sz w:val="32"/>
          <w:szCs w:val="32"/>
        </w:rPr>
        <w:t>采购合同</w:t>
      </w:r>
    </w:p>
    <w:p>
      <w:pPr>
        <w:snapToGrid w:val="0"/>
        <w:spacing w:line="360" w:lineRule="auto"/>
        <w:ind w:right="480" w:firstLine="5250" w:firstLineChars="2500"/>
        <w:rPr>
          <w:rFonts w:ascii="宋体" w:hAnsi="宋体"/>
          <w:bCs/>
          <w:color w:val="auto"/>
          <w:u w:val="single"/>
        </w:rPr>
      </w:pPr>
      <w:r>
        <w:rPr>
          <w:rFonts w:hint="eastAsia" w:ascii="宋体" w:hAnsi="宋体"/>
          <w:bCs/>
          <w:color w:val="auto"/>
        </w:rPr>
        <w:t>合同编号：</w:t>
      </w:r>
    </w:p>
    <w:p>
      <w:pPr>
        <w:snapToGrid w:val="0"/>
        <w:spacing w:line="380" w:lineRule="exact"/>
        <w:rPr>
          <w:rFonts w:ascii="宋体" w:hAnsi="宋体"/>
          <w:color w:val="auto"/>
          <w:u w:val="single"/>
        </w:rPr>
      </w:pPr>
      <w:r>
        <w:rPr>
          <w:rFonts w:hint="eastAsia" w:ascii="宋体" w:hAnsi="宋体"/>
          <w:color w:val="auto"/>
        </w:rPr>
        <w:t>采购人（甲方）：</w:t>
      </w:r>
    </w:p>
    <w:p>
      <w:pPr>
        <w:snapToGrid w:val="0"/>
        <w:spacing w:line="380" w:lineRule="exact"/>
        <w:rPr>
          <w:rFonts w:ascii="宋体" w:hAnsi="宋体"/>
          <w:color w:val="auto"/>
          <w:u w:val="single"/>
        </w:rPr>
      </w:pPr>
      <w:r>
        <w:rPr>
          <w:rFonts w:hint="eastAsia" w:ascii="宋体" w:hAnsi="宋体"/>
          <w:color w:val="auto"/>
        </w:rPr>
        <w:t>供应商（乙方）：</w:t>
      </w:r>
    </w:p>
    <w:p>
      <w:pPr>
        <w:snapToGrid w:val="0"/>
        <w:spacing w:line="380" w:lineRule="exact"/>
        <w:rPr>
          <w:rFonts w:ascii="宋体" w:hAnsi="宋体"/>
          <w:color w:val="auto"/>
        </w:rPr>
      </w:pPr>
      <w:r>
        <w:rPr>
          <w:rFonts w:hint="eastAsia" w:ascii="宋体" w:hAnsi="宋体"/>
          <w:color w:val="auto"/>
          <w:spacing w:val="-20"/>
        </w:rPr>
        <w:t>采 购 计 划 号：</w:t>
      </w:r>
    </w:p>
    <w:p>
      <w:pPr>
        <w:snapToGrid w:val="0"/>
        <w:spacing w:line="380" w:lineRule="exact"/>
        <w:rPr>
          <w:rFonts w:ascii="宋体" w:hAnsi="宋体"/>
          <w:color w:val="auto"/>
          <w:u w:val="single"/>
        </w:rPr>
      </w:pPr>
      <w:r>
        <w:rPr>
          <w:rFonts w:hint="eastAsia" w:ascii="宋体" w:hAnsi="宋体"/>
          <w:color w:val="auto"/>
        </w:rPr>
        <w:t>项目名称：项目编号：</w:t>
      </w:r>
    </w:p>
    <w:p>
      <w:pPr>
        <w:snapToGrid w:val="0"/>
        <w:spacing w:line="380" w:lineRule="exact"/>
        <w:rPr>
          <w:rFonts w:ascii="宋体" w:hAnsi="宋体"/>
          <w:color w:val="auto"/>
        </w:rPr>
      </w:pPr>
      <w:r>
        <w:rPr>
          <w:rFonts w:hint="eastAsia" w:ascii="宋体" w:hAnsi="宋体"/>
          <w:color w:val="auto"/>
        </w:rPr>
        <w:t>合同类型：</w:t>
      </w:r>
      <w:r>
        <w:rPr>
          <w:rFonts w:hint="eastAsia" w:ascii="宋体" w:hAnsi="宋体"/>
          <w:color w:val="auto"/>
          <w:u w:val="single"/>
        </w:rPr>
        <w:t>买卖合同</w:t>
      </w:r>
    </w:p>
    <w:p>
      <w:pPr>
        <w:snapToGrid w:val="0"/>
        <w:spacing w:line="380" w:lineRule="exact"/>
        <w:ind w:firstLine="420" w:firstLineChars="200"/>
        <w:rPr>
          <w:rFonts w:ascii="宋体" w:hAnsi="宋体"/>
          <w:color w:val="auto"/>
        </w:rPr>
      </w:pPr>
      <w:r>
        <w:rPr>
          <w:rFonts w:hint="eastAsia" w:ascii="宋体" w:hAnsi="宋体"/>
          <w:color w:val="auto"/>
        </w:rPr>
        <w:t>根据《中华人民共和国政府采购法》《中华人民共和国民法典》等法律、法规规定，按照采购文件规定条款和乙方竞标承诺，甲乙双方签订本合同。</w:t>
      </w:r>
    </w:p>
    <w:p>
      <w:pPr>
        <w:snapToGrid w:val="0"/>
        <w:spacing w:line="380" w:lineRule="exact"/>
        <w:ind w:firstLine="422" w:firstLineChars="200"/>
        <w:rPr>
          <w:rFonts w:ascii="宋体" w:hAnsi="宋体"/>
          <w:b/>
          <w:color w:val="auto"/>
        </w:rPr>
      </w:pPr>
      <w:r>
        <w:rPr>
          <w:rFonts w:hint="eastAsia" w:ascii="宋体" w:hAnsi="宋体"/>
          <w:b/>
          <w:color w:val="auto"/>
        </w:rPr>
        <w:t>第一条　合同标的</w:t>
      </w:r>
    </w:p>
    <w:tbl>
      <w:tblPr>
        <w:tblStyle w:val="41"/>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87"/>
        <w:gridCol w:w="1191"/>
        <w:gridCol w:w="1167"/>
        <w:gridCol w:w="1090"/>
        <w:gridCol w:w="908"/>
        <w:gridCol w:w="668"/>
        <w:gridCol w:w="947"/>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709" w:type="dxa"/>
            <w:noWrap/>
            <w:vAlign w:val="center"/>
          </w:tcPr>
          <w:p>
            <w:pPr>
              <w:snapToGrid w:val="0"/>
              <w:spacing w:line="380" w:lineRule="exact"/>
              <w:jc w:val="center"/>
              <w:rPr>
                <w:rFonts w:ascii="宋体" w:hAnsi="宋体"/>
                <w:color w:val="auto"/>
              </w:rPr>
            </w:pPr>
            <w:r>
              <w:rPr>
                <w:rFonts w:hint="eastAsia" w:ascii="宋体" w:hAnsi="宋体"/>
                <w:color w:val="auto"/>
              </w:rPr>
              <w:t>序号</w:t>
            </w:r>
          </w:p>
        </w:tc>
        <w:tc>
          <w:tcPr>
            <w:tcW w:w="1287" w:type="dxa"/>
            <w:noWrap/>
            <w:vAlign w:val="center"/>
          </w:tcPr>
          <w:p>
            <w:pPr>
              <w:snapToGrid w:val="0"/>
              <w:spacing w:line="380" w:lineRule="exact"/>
              <w:jc w:val="center"/>
              <w:rPr>
                <w:rFonts w:ascii="宋体" w:hAnsi="宋体"/>
                <w:color w:val="auto"/>
              </w:rPr>
            </w:pPr>
            <w:r>
              <w:rPr>
                <w:rFonts w:hint="eastAsia" w:ascii="宋体" w:hAnsi="宋体"/>
                <w:color w:val="auto"/>
              </w:rPr>
              <w:t>标的名称</w:t>
            </w:r>
          </w:p>
        </w:tc>
        <w:tc>
          <w:tcPr>
            <w:tcW w:w="1191" w:type="dxa"/>
            <w:noWrap/>
            <w:vAlign w:val="center"/>
          </w:tcPr>
          <w:p>
            <w:pPr>
              <w:snapToGrid w:val="0"/>
              <w:spacing w:line="380" w:lineRule="exact"/>
              <w:jc w:val="center"/>
              <w:rPr>
                <w:rFonts w:ascii="宋体" w:hAnsi="宋体"/>
                <w:color w:val="auto"/>
              </w:rPr>
            </w:pPr>
            <w:r>
              <w:rPr>
                <w:rFonts w:hint="eastAsia" w:ascii="宋体" w:hAnsi="宋体"/>
                <w:color w:val="auto"/>
              </w:rPr>
              <w:t>品牌</w:t>
            </w:r>
          </w:p>
        </w:tc>
        <w:tc>
          <w:tcPr>
            <w:tcW w:w="1167" w:type="dxa"/>
            <w:noWrap/>
            <w:vAlign w:val="center"/>
          </w:tcPr>
          <w:p>
            <w:pPr>
              <w:snapToGrid w:val="0"/>
              <w:spacing w:line="380" w:lineRule="exact"/>
              <w:jc w:val="center"/>
              <w:rPr>
                <w:rFonts w:ascii="宋体" w:hAnsi="宋体"/>
                <w:color w:val="auto"/>
              </w:rPr>
            </w:pPr>
            <w:r>
              <w:rPr>
                <w:rFonts w:hint="eastAsia" w:ascii="宋体" w:hAnsi="宋体"/>
                <w:color w:val="auto"/>
              </w:rPr>
              <w:t>规格</w:t>
            </w:r>
          </w:p>
        </w:tc>
        <w:tc>
          <w:tcPr>
            <w:tcW w:w="1090" w:type="dxa"/>
            <w:noWrap/>
            <w:vAlign w:val="center"/>
          </w:tcPr>
          <w:p>
            <w:pPr>
              <w:snapToGrid w:val="0"/>
              <w:spacing w:line="380" w:lineRule="exact"/>
              <w:jc w:val="center"/>
              <w:rPr>
                <w:rFonts w:ascii="宋体" w:hAnsi="宋体"/>
                <w:color w:val="auto"/>
              </w:rPr>
            </w:pPr>
            <w:r>
              <w:rPr>
                <w:rFonts w:hint="eastAsia" w:ascii="宋体" w:hAnsi="宋体"/>
                <w:color w:val="auto"/>
              </w:rPr>
              <w:t>生产厂家</w:t>
            </w:r>
          </w:p>
        </w:tc>
        <w:tc>
          <w:tcPr>
            <w:tcW w:w="908" w:type="dxa"/>
            <w:noWrap/>
            <w:vAlign w:val="center"/>
          </w:tcPr>
          <w:p>
            <w:pPr>
              <w:snapToGrid w:val="0"/>
              <w:spacing w:line="380" w:lineRule="exact"/>
              <w:jc w:val="center"/>
              <w:rPr>
                <w:rFonts w:ascii="宋体" w:hAnsi="宋体"/>
                <w:color w:val="auto"/>
              </w:rPr>
            </w:pPr>
            <w:r>
              <w:rPr>
                <w:rFonts w:hint="eastAsia" w:ascii="宋体" w:hAnsi="宋体"/>
                <w:color w:val="auto"/>
              </w:rPr>
              <w:t>数  量</w:t>
            </w:r>
          </w:p>
        </w:tc>
        <w:tc>
          <w:tcPr>
            <w:tcW w:w="668" w:type="dxa"/>
            <w:noWrap/>
            <w:vAlign w:val="center"/>
          </w:tcPr>
          <w:p>
            <w:pPr>
              <w:snapToGrid w:val="0"/>
              <w:spacing w:line="380" w:lineRule="exact"/>
              <w:jc w:val="center"/>
              <w:rPr>
                <w:rFonts w:ascii="宋体" w:hAnsi="宋体"/>
                <w:color w:val="auto"/>
              </w:rPr>
            </w:pPr>
            <w:r>
              <w:rPr>
                <w:rFonts w:hint="eastAsia" w:ascii="宋体" w:hAnsi="宋体"/>
                <w:color w:val="auto"/>
              </w:rPr>
              <w:t>单位</w:t>
            </w:r>
          </w:p>
        </w:tc>
        <w:tc>
          <w:tcPr>
            <w:tcW w:w="947" w:type="dxa"/>
            <w:noWrap/>
            <w:vAlign w:val="center"/>
          </w:tcPr>
          <w:p>
            <w:pPr>
              <w:snapToGrid w:val="0"/>
              <w:spacing w:line="380" w:lineRule="exact"/>
              <w:jc w:val="center"/>
              <w:rPr>
                <w:rFonts w:ascii="宋体" w:hAnsi="宋体"/>
                <w:color w:val="auto"/>
              </w:rPr>
            </w:pPr>
            <w:r>
              <w:rPr>
                <w:rFonts w:hint="eastAsia" w:ascii="宋体" w:hAnsi="宋体"/>
                <w:color w:val="auto"/>
              </w:rPr>
              <w:t>单  价</w:t>
            </w:r>
          </w:p>
          <w:p>
            <w:pPr>
              <w:snapToGrid w:val="0"/>
              <w:spacing w:line="380" w:lineRule="exact"/>
              <w:jc w:val="center"/>
              <w:rPr>
                <w:rFonts w:ascii="宋体" w:hAnsi="宋体"/>
                <w:color w:val="auto"/>
              </w:rPr>
            </w:pPr>
            <w:r>
              <w:rPr>
                <w:rFonts w:hint="eastAsia" w:ascii="宋体" w:hAnsi="宋体"/>
                <w:color w:val="auto"/>
              </w:rPr>
              <w:t>（元）</w:t>
            </w:r>
          </w:p>
        </w:tc>
        <w:tc>
          <w:tcPr>
            <w:tcW w:w="1189" w:type="dxa"/>
            <w:noWrap/>
            <w:vAlign w:val="center"/>
          </w:tcPr>
          <w:p>
            <w:pPr>
              <w:snapToGrid w:val="0"/>
              <w:spacing w:line="380" w:lineRule="exact"/>
              <w:jc w:val="center"/>
              <w:rPr>
                <w:rFonts w:ascii="宋体" w:hAnsi="宋体"/>
                <w:color w:val="auto"/>
              </w:rPr>
            </w:pPr>
            <w:r>
              <w:rPr>
                <w:rFonts w:hint="eastAsia" w:ascii="宋体" w:hAnsi="宋体"/>
                <w:color w:val="auto"/>
              </w:rPr>
              <w:t>金  额</w:t>
            </w:r>
          </w:p>
          <w:p>
            <w:pPr>
              <w:snapToGrid w:val="0"/>
              <w:spacing w:line="380" w:lineRule="exact"/>
              <w:jc w:val="center"/>
              <w:rPr>
                <w:rFonts w:ascii="宋体" w:hAnsi="宋体"/>
                <w:color w:val="auto"/>
              </w:rPr>
            </w:pPr>
            <w:r>
              <w:rPr>
                <w:rFonts w:hint="eastAsia" w:ascii="宋体" w:hAnsi="宋体"/>
                <w:color w:val="auto"/>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noWrap/>
            <w:vAlign w:val="center"/>
          </w:tcPr>
          <w:p>
            <w:pPr>
              <w:snapToGrid w:val="0"/>
              <w:spacing w:line="380" w:lineRule="exact"/>
              <w:jc w:val="center"/>
              <w:rPr>
                <w:rFonts w:ascii="宋体" w:hAnsi="宋体"/>
                <w:color w:val="auto"/>
              </w:rPr>
            </w:pPr>
            <w:r>
              <w:rPr>
                <w:rFonts w:hint="eastAsia" w:ascii="宋体" w:hAnsi="宋体"/>
                <w:color w:val="auto"/>
              </w:rPr>
              <w:t>1</w:t>
            </w:r>
          </w:p>
        </w:tc>
        <w:tc>
          <w:tcPr>
            <w:tcW w:w="1287" w:type="dxa"/>
            <w:noWrap/>
            <w:vAlign w:val="center"/>
          </w:tcPr>
          <w:p>
            <w:pPr>
              <w:snapToGrid w:val="0"/>
              <w:spacing w:line="380" w:lineRule="exact"/>
              <w:jc w:val="center"/>
              <w:rPr>
                <w:rFonts w:ascii="宋体" w:hAnsi="宋体"/>
                <w:color w:val="auto"/>
              </w:rPr>
            </w:pPr>
          </w:p>
        </w:tc>
        <w:tc>
          <w:tcPr>
            <w:tcW w:w="1191" w:type="dxa"/>
            <w:noWrap/>
            <w:vAlign w:val="center"/>
          </w:tcPr>
          <w:p>
            <w:pPr>
              <w:snapToGrid w:val="0"/>
              <w:spacing w:line="380" w:lineRule="exact"/>
              <w:jc w:val="center"/>
              <w:rPr>
                <w:rFonts w:ascii="宋体" w:hAnsi="宋体"/>
                <w:color w:val="auto"/>
              </w:rPr>
            </w:pPr>
          </w:p>
        </w:tc>
        <w:tc>
          <w:tcPr>
            <w:tcW w:w="1167" w:type="dxa"/>
            <w:noWrap/>
            <w:vAlign w:val="center"/>
          </w:tcPr>
          <w:p>
            <w:pPr>
              <w:snapToGrid w:val="0"/>
              <w:spacing w:line="380" w:lineRule="exact"/>
              <w:jc w:val="center"/>
              <w:rPr>
                <w:rFonts w:ascii="宋体" w:hAnsi="宋体"/>
                <w:color w:val="auto"/>
              </w:rPr>
            </w:pPr>
          </w:p>
        </w:tc>
        <w:tc>
          <w:tcPr>
            <w:tcW w:w="1090" w:type="dxa"/>
            <w:noWrap/>
            <w:vAlign w:val="center"/>
          </w:tcPr>
          <w:p>
            <w:pPr>
              <w:snapToGrid w:val="0"/>
              <w:spacing w:line="380" w:lineRule="exact"/>
              <w:jc w:val="center"/>
              <w:rPr>
                <w:rFonts w:ascii="宋体" w:hAnsi="宋体"/>
                <w:color w:val="auto"/>
              </w:rPr>
            </w:pPr>
          </w:p>
        </w:tc>
        <w:tc>
          <w:tcPr>
            <w:tcW w:w="908" w:type="dxa"/>
            <w:noWrap/>
            <w:vAlign w:val="center"/>
          </w:tcPr>
          <w:p>
            <w:pPr>
              <w:snapToGrid w:val="0"/>
              <w:spacing w:line="380" w:lineRule="exact"/>
              <w:jc w:val="center"/>
              <w:rPr>
                <w:rFonts w:ascii="宋体" w:hAnsi="宋体"/>
                <w:color w:val="auto"/>
              </w:rPr>
            </w:pPr>
          </w:p>
        </w:tc>
        <w:tc>
          <w:tcPr>
            <w:tcW w:w="668" w:type="dxa"/>
            <w:noWrap/>
            <w:vAlign w:val="center"/>
          </w:tcPr>
          <w:p>
            <w:pPr>
              <w:snapToGrid w:val="0"/>
              <w:spacing w:line="380" w:lineRule="exact"/>
              <w:jc w:val="center"/>
              <w:rPr>
                <w:rFonts w:ascii="宋体" w:hAnsi="宋体"/>
                <w:color w:val="auto"/>
              </w:rPr>
            </w:pPr>
          </w:p>
        </w:tc>
        <w:tc>
          <w:tcPr>
            <w:tcW w:w="947" w:type="dxa"/>
            <w:noWrap/>
            <w:vAlign w:val="center"/>
          </w:tcPr>
          <w:p>
            <w:pPr>
              <w:snapToGrid w:val="0"/>
              <w:spacing w:line="380" w:lineRule="exact"/>
              <w:jc w:val="center"/>
              <w:rPr>
                <w:rFonts w:ascii="宋体" w:hAnsi="宋体"/>
                <w:color w:val="auto"/>
              </w:rPr>
            </w:pPr>
          </w:p>
        </w:tc>
        <w:tc>
          <w:tcPr>
            <w:tcW w:w="1189" w:type="dxa"/>
            <w:noWrap/>
            <w:vAlign w:val="center"/>
          </w:tcPr>
          <w:p>
            <w:pPr>
              <w:snapToGrid w:val="0"/>
              <w:spacing w:line="380" w:lineRule="exact"/>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noWrap/>
            <w:vAlign w:val="center"/>
          </w:tcPr>
          <w:p>
            <w:pPr>
              <w:snapToGrid w:val="0"/>
              <w:spacing w:line="380" w:lineRule="exact"/>
              <w:jc w:val="center"/>
              <w:rPr>
                <w:rFonts w:ascii="宋体" w:hAnsi="宋体"/>
                <w:color w:val="auto"/>
              </w:rPr>
            </w:pPr>
            <w:r>
              <w:rPr>
                <w:rFonts w:hint="eastAsia" w:ascii="宋体" w:hAnsi="宋体"/>
                <w:color w:val="auto"/>
              </w:rPr>
              <w:t>2</w:t>
            </w:r>
          </w:p>
        </w:tc>
        <w:tc>
          <w:tcPr>
            <w:tcW w:w="1287" w:type="dxa"/>
            <w:noWrap/>
            <w:vAlign w:val="center"/>
          </w:tcPr>
          <w:p>
            <w:pPr>
              <w:snapToGrid w:val="0"/>
              <w:spacing w:line="380" w:lineRule="exact"/>
              <w:jc w:val="center"/>
              <w:rPr>
                <w:rFonts w:ascii="宋体" w:hAnsi="宋体"/>
                <w:color w:val="auto"/>
              </w:rPr>
            </w:pPr>
          </w:p>
        </w:tc>
        <w:tc>
          <w:tcPr>
            <w:tcW w:w="1191" w:type="dxa"/>
            <w:noWrap/>
            <w:vAlign w:val="center"/>
          </w:tcPr>
          <w:p>
            <w:pPr>
              <w:snapToGrid w:val="0"/>
              <w:spacing w:line="380" w:lineRule="exact"/>
              <w:jc w:val="center"/>
              <w:rPr>
                <w:rFonts w:ascii="宋体" w:hAnsi="宋体"/>
                <w:color w:val="auto"/>
              </w:rPr>
            </w:pPr>
          </w:p>
        </w:tc>
        <w:tc>
          <w:tcPr>
            <w:tcW w:w="1167" w:type="dxa"/>
            <w:noWrap/>
            <w:vAlign w:val="center"/>
          </w:tcPr>
          <w:p>
            <w:pPr>
              <w:snapToGrid w:val="0"/>
              <w:spacing w:line="380" w:lineRule="exact"/>
              <w:jc w:val="center"/>
              <w:rPr>
                <w:rFonts w:ascii="宋体" w:hAnsi="宋体"/>
                <w:color w:val="auto"/>
              </w:rPr>
            </w:pPr>
          </w:p>
        </w:tc>
        <w:tc>
          <w:tcPr>
            <w:tcW w:w="1090" w:type="dxa"/>
            <w:noWrap/>
            <w:vAlign w:val="center"/>
          </w:tcPr>
          <w:p>
            <w:pPr>
              <w:snapToGrid w:val="0"/>
              <w:spacing w:line="380" w:lineRule="exact"/>
              <w:jc w:val="center"/>
              <w:rPr>
                <w:rFonts w:ascii="宋体" w:hAnsi="宋体"/>
                <w:color w:val="auto"/>
              </w:rPr>
            </w:pPr>
          </w:p>
        </w:tc>
        <w:tc>
          <w:tcPr>
            <w:tcW w:w="908" w:type="dxa"/>
            <w:noWrap/>
            <w:vAlign w:val="center"/>
          </w:tcPr>
          <w:p>
            <w:pPr>
              <w:snapToGrid w:val="0"/>
              <w:spacing w:line="380" w:lineRule="exact"/>
              <w:jc w:val="center"/>
              <w:rPr>
                <w:rFonts w:ascii="宋体" w:hAnsi="宋体"/>
                <w:color w:val="auto"/>
              </w:rPr>
            </w:pPr>
          </w:p>
        </w:tc>
        <w:tc>
          <w:tcPr>
            <w:tcW w:w="668" w:type="dxa"/>
            <w:noWrap/>
            <w:vAlign w:val="center"/>
          </w:tcPr>
          <w:p>
            <w:pPr>
              <w:snapToGrid w:val="0"/>
              <w:spacing w:line="380" w:lineRule="exact"/>
              <w:jc w:val="center"/>
              <w:rPr>
                <w:rFonts w:ascii="宋体" w:hAnsi="宋体"/>
                <w:color w:val="auto"/>
              </w:rPr>
            </w:pPr>
          </w:p>
        </w:tc>
        <w:tc>
          <w:tcPr>
            <w:tcW w:w="947" w:type="dxa"/>
            <w:noWrap/>
            <w:vAlign w:val="center"/>
          </w:tcPr>
          <w:p>
            <w:pPr>
              <w:snapToGrid w:val="0"/>
              <w:spacing w:line="380" w:lineRule="exact"/>
              <w:jc w:val="center"/>
              <w:rPr>
                <w:rFonts w:ascii="宋体" w:hAnsi="宋体"/>
                <w:color w:val="auto"/>
              </w:rPr>
            </w:pPr>
          </w:p>
        </w:tc>
        <w:tc>
          <w:tcPr>
            <w:tcW w:w="1189" w:type="dxa"/>
            <w:noWrap/>
            <w:vAlign w:val="center"/>
          </w:tcPr>
          <w:p>
            <w:pPr>
              <w:snapToGrid w:val="0"/>
              <w:spacing w:line="380" w:lineRule="exact"/>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noWrap/>
            <w:vAlign w:val="center"/>
          </w:tcPr>
          <w:p>
            <w:pPr>
              <w:snapToGrid w:val="0"/>
              <w:spacing w:line="380" w:lineRule="exact"/>
              <w:jc w:val="center"/>
              <w:rPr>
                <w:rFonts w:ascii="宋体" w:hAnsi="宋体"/>
                <w:color w:val="auto"/>
              </w:rPr>
            </w:pPr>
            <w:r>
              <w:rPr>
                <w:rFonts w:hint="eastAsia" w:ascii="宋体" w:hAnsi="宋体"/>
                <w:color w:val="auto"/>
              </w:rPr>
              <w:t>3</w:t>
            </w:r>
          </w:p>
        </w:tc>
        <w:tc>
          <w:tcPr>
            <w:tcW w:w="1287" w:type="dxa"/>
            <w:noWrap/>
            <w:vAlign w:val="center"/>
          </w:tcPr>
          <w:p>
            <w:pPr>
              <w:snapToGrid w:val="0"/>
              <w:spacing w:line="380" w:lineRule="exact"/>
              <w:jc w:val="center"/>
              <w:rPr>
                <w:rFonts w:ascii="宋体" w:hAnsi="宋体"/>
                <w:color w:val="auto"/>
              </w:rPr>
            </w:pPr>
          </w:p>
        </w:tc>
        <w:tc>
          <w:tcPr>
            <w:tcW w:w="1191" w:type="dxa"/>
            <w:noWrap/>
            <w:vAlign w:val="center"/>
          </w:tcPr>
          <w:p>
            <w:pPr>
              <w:snapToGrid w:val="0"/>
              <w:spacing w:line="380" w:lineRule="exact"/>
              <w:jc w:val="center"/>
              <w:rPr>
                <w:rFonts w:ascii="宋体" w:hAnsi="宋体"/>
                <w:color w:val="auto"/>
              </w:rPr>
            </w:pPr>
          </w:p>
        </w:tc>
        <w:tc>
          <w:tcPr>
            <w:tcW w:w="1167" w:type="dxa"/>
            <w:noWrap/>
            <w:vAlign w:val="center"/>
          </w:tcPr>
          <w:p>
            <w:pPr>
              <w:snapToGrid w:val="0"/>
              <w:spacing w:line="380" w:lineRule="exact"/>
              <w:jc w:val="center"/>
              <w:rPr>
                <w:rFonts w:ascii="宋体" w:hAnsi="宋体"/>
                <w:color w:val="auto"/>
              </w:rPr>
            </w:pPr>
          </w:p>
        </w:tc>
        <w:tc>
          <w:tcPr>
            <w:tcW w:w="1090" w:type="dxa"/>
            <w:noWrap/>
            <w:vAlign w:val="center"/>
          </w:tcPr>
          <w:p>
            <w:pPr>
              <w:snapToGrid w:val="0"/>
              <w:spacing w:line="380" w:lineRule="exact"/>
              <w:jc w:val="center"/>
              <w:rPr>
                <w:rFonts w:ascii="宋体" w:hAnsi="宋体"/>
                <w:color w:val="auto"/>
              </w:rPr>
            </w:pPr>
          </w:p>
        </w:tc>
        <w:tc>
          <w:tcPr>
            <w:tcW w:w="908" w:type="dxa"/>
            <w:noWrap/>
            <w:vAlign w:val="center"/>
          </w:tcPr>
          <w:p>
            <w:pPr>
              <w:snapToGrid w:val="0"/>
              <w:spacing w:line="380" w:lineRule="exact"/>
              <w:jc w:val="center"/>
              <w:rPr>
                <w:rFonts w:ascii="宋体" w:hAnsi="宋体"/>
                <w:color w:val="auto"/>
              </w:rPr>
            </w:pPr>
          </w:p>
        </w:tc>
        <w:tc>
          <w:tcPr>
            <w:tcW w:w="668" w:type="dxa"/>
            <w:noWrap/>
            <w:vAlign w:val="center"/>
          </w:tcPr>
          <w:p>
            <w:pPr>
              <w:snapToGrid w:val="0"/>
              <w:spacing w:line="380" w:lineRule="exact"/>
              <w:jc w:val="center"/>
              <w:rPr>
                <w:rFonts w:ascii="宋体" w:hAnsi="宋体"/>
                <w:color w:val="auto"/>
              </w:rPr>
            </w:pPr>
          </w:p>
        </w:tc>
        <w:tc>
          <w:tcPr>
            <w:tcW w:w="947" w:type="dxa"/>
            <w:noWrap/>
            <w:vAlign w:val="center"/>
          </w:tcPr>
          <w:p>
            <w:pPr>
              <w:snapToGrid w:val="0"/>
              <w:spacing w:line="380" w:lineRule="exact"/>
              <w:jc w:val="center"/>
              <w:rPr>
                <w:rFonts w:ascii="宋体" w:hAnsi="宋体"/>
                <w:color w:val="auto"/>
              </w:rPr>
            </w:pPr>
          </w:p>
        </w:tc>
        <w:tc>
          <w:tcPr>
            <w:tcW w:w="1189" w:type="dxa"/>
            <w:noWrap/>
            <w:vAlign w:val="center"/>
          </w:tcPr>
          <w:p>
            <w:pPr>
              <w:snapToGrid w:val="0"/>
              <w:spacing w:line="380" w:lineRule="exact"/>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709" w:type="dxa"/>
            <w:noWrap/>
            <w:vAlign w:val="center"/>
          </w:tcPr>
          <w:p>
            <w:pPr>
              <w:snapToGrid w:val="0"/>
              <w:spacing w:line="380" w:lineRule="exact"/>
              <w:jc w:val="center"/>
              <w:rPr>
                <w:rFonts w:ascii="宋体" w:hAnsi="宋体"/>
                <w:color w:val="auto"/>
              </w:rPr>
            </w:pPr>
            <w:r>
              <w:rPr>
                <w:rFonts w:hint="eastAsia" w:ascii="宋体" w:hAnsi="宋体"/>
                <w:color w:val="auto"/>
              </w:rPr>
              <w:t>……</w:t>
            </w:r>
          </w:p>
        </w:tc>
        <w:tc>
          <w:tcPr>
            <w:tcW w:w="1287" w:type="dxa"/>
            <w:noWrap/>
            <w:vAlign w:val="center"/>
          </w:tcPr>
          <w:p>
            <w:pPr>
              <w:snapToGrid w:val="0"/>
              <w:spacing w:line="380" w:lineRule="exact"/>
              <w:jc w:val="center"/>
              <w:rPr>
                <w:rFonts w:ascii="宋体" w:hAnsi="宋体"/>
                <w:color w:val="auto"/>
              </w:rPr>
            </w:pPr>
          </w:p>
        </w:tc>
        <w:tc>
          <w:tcPr>
            <w:tcW w:w="1191" w:type="dxa"/>
            <w:noWrap/>
            <w:vAlign w:val="center"/>
          </w:tcPr>
          <w:p>
            <w:pPr>
              <w:snapToGrid w:val="0"/>
              <w:spacing w:line="380" w:lineRule="exact"/>
              <w:jc w:val="center"/>
              <w:rPr>
                <w:rFonts w:ascii="宋体" w:hAnsi="宋体"/>
                <w:color w:val="auto"/>
              </w:rPr>
            </w:pPr>
          </w:p>
        </w:tc>
        <w:tc>
          <w:tcPr>
            <w:tcW w:w="1167" w:type="dxa"/>
            <w:noWrap/>
            <w:vAlign w:val="center"/>
          </w:tcPr>
          <w:p>
            <w:pPr>
              <w:snapToGrid w:val="0"/>
              <w:spacing w:line="380" w:lineRule="exact"/>
              <w:jc w:val="center"/>
              <w:rPr>
                <w:rFonts w:ascii="宋体" w:hAnsi="宋体"/>
                <w:color w:val="auto"/>
              </w:rPr>
            </w:pPr>
          </w:p>
        </w:tc>
        <w:tc>
          <w:tcPr>
            <w:tcW w:w="1090" w:type="dxa"/>
            <w:noWrap/>
            <w:vAlign w:val="center"/>
          </w:tcPr>
          <w:p>
            <w:pPr>
              <w:snapToGrid w:val="0"/>
              <w:spacing w:line="380" w:lineRule="exact"/>
              <w:jc w:val="center"/>
              <w:rPr>
                <w:rFonts w:ascii="宋体" w:hAnsi="宋体"/>
                <w:color w:val="auto"/>
              </w:rPr>
            </w:pPr>
          </w:p>
        </w:tc>
        <w:tc>
          <w:tcPr>
            <w:tcW w:w="908" w:type="dxa"/>
            <w:noWrap/>
            <w:vAlign w:val="center"/>
          </w:tcPr>
          <w:p>
            <w:pPr>
              <w:snapToGrid w:val="0"/>
              <w:spacing w:line="380" w:lineRule="exact"/>
              <w:jc w:val="center"/>
              <w:rPr>
                <w:rFonts w:ascii="宋体" w:hAnsi="宋体"/>
                <w:color w:val="auto"/>
              </w:rPr>
            </w:pPr>
          </w:p>
        </w:tc>
        <w:tc>
          <w:tcPr>
            <w:tcW w:w="668" w:type="dxa"/>
            <w:noWrap/>
            <w:vAlign w:val="center"/>
          </w:tcPr>
          <w:p>
            <w:pPr>
              <w:snapToGrid w:val="0"/>
              <w:spacing w:line="380" w:lineRule="exact"/>
              <w:jc w:val="center"/>
              <w:rPr>
                <w:rFonts w:ascii="宋体" w:hAnsi="宋体"/>
                <w:color w:val="auto"/>
              </w:rPr>
            </w:pPr>
          </w:p>
        </w:tc>
        <w:tc>
          <w:tcPr>
            <w:tcW w:w="947" w:type="dxa"/>
            <w:noWrap/>
            <w:vAlign w:val="center"/>
          </w:tcPr>
          <w:p>
            <w:pPr>
              <w:snapToGrid w:val="0"/>
              <w:spacing w:line="380" w:lineRule="exact"/>
              <w:jc w:val="center"/>
              <w:rPr>
                <w:rFonts w:ascii="宋体" w:hAnsi="宋体"/>
                <w:color w:val="auto"/>
              </w:rPr>
            </w:pPr>
          </w:p>
        </w:tc>
        <w:tc>
          <w:tcPr>
            <w:tcW w:w="1189" w:type="dxa"/>
            <w:noWrap/>
            <w:vAlign w:val="center"/>
          </w:tcPr>
          <w:p>
            <w:pPr>
              <w:snapToGrid w:val="0"/>
              <w:spacing w:line="380" w:lineRule="exact"/>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156" w:type="dxa"/>
            <w:gridSpan w:val="9"/>
            <w:noWrap/>
            <w:vAlign w:val="center"/>
          </w:tcPr>
          <w:p>
            <w:pPr>
              <w:snapToGrid w:val="0"/>
              <w:spacing w:line="380" w:lineRule="exact"/>
              <w:rPr>
                <w:rFonts w:ascii="宋体" w:hAnsi="宋体"/>
                <w:color w:val="auto"/>
              </w:rPr>
            </w:pPr>
            <w:r>
              <w:rPr>
                <w:rFonts w:hint="eastAsia" w:ascii="宋体" w:hAnsi="宋体"/>
                <w:color w:val="auto"/>
              </w:rPr>
              <w:t>采购中药饮片的名称、规格、等级、数量及单价详见报价表。合同合计金额为大写</w:t>
            </w:r>
            <w:r>
              <w:rPr>
                <w:rFonts w:hint="eastAsia" w:ascii="宋体" w:hAnsi="宋体"/>
                <w:color w:val="auto"/>
                <w:u w:val="single"/>
              </w:rPr>
              <w:t xml:space="preserve">        </w:t>
            </w:r>
            <w:r>
              <w:rPr>
                <w:rFonts w:hint="eastAsia" w:ascii="宋体" w:hAnsi="宋体"/>
                <w:color w:val="auto"/>
              </w:rPr>
              <w:t>元，￥</w:t>
            </w:r>
            <w:r>
              <w:rPr>
                <w:rFonts w:hint="eastAsia" w:ascii="宋体" w:hAnsi="宋体"/>
                <w:color w:val="auto"/>
                <w:u w:val="single"/>
              </w:rPr>
              <w:t xml:space="preserve">       </w:t>
            </w:r>
            <w:r>
              <w:rPr>
                <w:rFonts w:hint="eastAsia" w:ascii="宋体" w:hAnsi="宋体"/>
                <w:color w:val="auto"/>
              </w:rPr>
              <w:t>元。本合同金额为含税金额，增值税税率为</w:t>
            </w:r>
            <w:r>
              <w:rPr>
                <w:rFonts w:hint="eastAsia" w:ascii="宋体" w:hAnsi="宋体"/>
                <w:color w:val="auto"/>
                <w:u w:val="single"/>
              </w:rPr>
              <w:t xml:space="preserve">  </w:t>
            </w:r>
            <w:r>
              <w:rPr>
                <w:rFonts w:hint="eastAsia" w:ascii="宋体" w:hAnsi="宋体"/>
                <w:color w:val="auto"/>
              </w:rPr>
              <w:t>%。</w:t>
            </w:r>
          </w:p>
        </w:tc>
      </w:tr>
    </w:tbl>
    <w:p>
      <w:pPr>
        <w:snapToGrid w:val="0"/>
        <w:spacing w:line="380" w:lineRule="exact"/>
        <w:ind w:firstLine="422" w:firstLineChars="200"/>
        <w:rPr>
          <w:rFonts w:ascii="宋体" w:hAnsi="宋体"/>
          <w:color w:val="auto"/>
        </w:rPr>
      </w:pPr>
      <w:r>
        <w:rPr>
          <w:rFonts w:hint="eastAsia" w:ascii="宋体" w:hAnsi="宋体"/>
          <w:b/>
          <w:color w:val="auto"/>
        </w:rPr>
        <w:t>第二条　标的质量</w:t>
      </w:r>
    </w:p>
    <w:p>
      <w:pPr>
        <w:snapToGrid w:val="0"/>
        <w:spacing w:line="380" w:lineRule="exact"/>
        <w:ind w:firstLine="420"/>
        <w:rPr>
          <w:rFonts w:ascii="宋体" w:hAnsi="宋体"/>
          <w:color w:val="auto"/>
        </w:rPr>
      </w:pPr>
      <w:r>
        <w:rPr>
          <w:rFonts w:hint="eastAsia" w:ascii="宋体" w:hAnsi="宋体"/>
          <w:color w:val="auto"/>
        </w:rPr>
        <w:t>1.乙方提供的饮片名称、</w:t>
      </w:r>
      <w:r>
        <w:rPr>
          <w:rFonts w:hint="eastAsia" w:ascii="宋体" w:hAnsi="宋体"/>
          <w:bCs/>
          <w:color w:val="auto"/>
        </w:rPr>
        <w:t>产地、规格、等级、包装、有效期</w:t>
      </w:r>
      <w:r>
        <w:rPr>
          <w:rFonts w:hint="eastAsia" w:ascii="宋体" w:hAnsi="宋体"/>
          <w:color w:val="auto"/>
        </w:rPr>
        <w:t>等内容必须与乙方响应文件及有关承诺相一致，且满足项目实施要求。</w:t>
      </w:r>
    </w:p>
    <w:p>
      <w:pPr>
        <w:snapToGrid w:val="0"/>
        <w:spacing w:line="380" w:lineRule="exact"/>
        <w:ind w:firstLine="420"/>
        <w:rPr>
          <w:color w:val="auto"/>
        </w:rPr>
      </w:pPr>
      <w:r>
        <w:rPr>
          <w:rFonts w:hint="eastAsia"/>
          <w:color w:val="auto"/>
        </w:rPr>
        <w:t>2.乙方在供货时须提供饮片正规来源的证明材料，确保饮片的质量符合药典和国家、行业相关质量标准，确保交易合法及用药安全有效。</w:t>
      </w:r>
    </w:p>
    <w:p>
      <w:pPr>
        <w:snapToGrid w:val="0"/>
        <w:spacing w:line="380" w:lineRule="exact"/>
        <w:ind w:firstLine="420"/>
        <w:rPr>
          <w:color w:val="auto"/>
        </w:rPr>
      </w:pPr>
      <w:r>
        <w:rPr>
          <w:rFonts w:hint="eastAsia"/>
          <w:color w:val="auto"/>
        </w:rPr>
        <w:t>3.乙方应遵守有关的国家法律、法令和条例，对特许生产和经营的小包装中药饮片符合国家相关法律、法规要求。</w:t>
      </w:r>
    </w:p>
    <w:p>
      <w:pPr>
        <w:snapToGrid w:val="0"/>
        <w:spacing w:line="380" w:lineRule="exact"/>
        <w:ind w:firstLine="420"/>
        <w:rPr>
          <w:color w:val="auto"/>
        </w:rPr>
      </w:pPr>
      <w:r>
        <w:rPr>
          <w:rFonts w:hint="eastAsia"/>
          <w:color w:val="auto"/>
        </w:rPr>
        <w:t>4.乙方提供的小包装中药饮片规格和色标应符合《国家中医药管理局办公室关于印发小包装中药饮片规格和色标的通知》(国中医药办医政发[2011]18号)的要求。</w:t>
      </w:r>
    </w:p>
    <w:p>
      <w:pPr>
        <w:snapToGrid w:val="0"/>
        <w:spacing w:line="380" w:lineRule="exact"/>
        <w:ind w:firstLine="420"/>
        <w:rPr>
          <w:color w:val="auto"/>
        </w:rPr>
      </w:pPr>
      <w:r>
        <w:rPr>
          <w:rFonts w:hint="eastAsia"/>
          <w:color w:val="auto"/>
        </w:rPr>
        <w:t>5.乙方安排至少1名固定人员在甲方处进行质量跟踪服务。未经甲方允许，固定人员不得随意变更。</w:t>
      </w:r>
    </w:p>
    <w:p>
      <w:pPr>
        <w:snapToGrid w:val="0"/>
        <w:spacing w:line="380" w:lineRule="exact"/>
        <w:ind w:firstLine="422" w:firstLineChars="200"/>
        <w:rPr>
          <w:rFonts w:ascii="宋体" w:hAnsi="宋体"/>
          <w:color w:val="auto"/>
        </w:rPr>
      </w:pPr>
      <w:r>
        <w:rPr>
          <w:rFonts w:hint="eastAsia" w:ascii="宋体" w:hAnsi="宋体"/>
          <w:b/>
          <w:color w:val="auto"/>
        </w:rPr>
        <w:t>第三条　</w:t>
      </w:r>
      <w:r>
        <w:rPr>
          <w:rFonts w:hint="eastAsia" w:ascii="宋体" w:hAnsi="宋体"/>
          <w:color w:val="auto"/>
        </w:rPr>
        <w:t>履行时间（期限）、地点和方式</w:t>
      </w:r>
    </w:p>
    <w:p>
      <w:pPr>
        <w:snapToGrid w:val="0"/>
        <w:spacing w:line="380" w:lineRule="exact"/>
        <w:ind w:firstLine="420" w:firstLineChars="200"/>
        <w:rPr>
          <w:rFonts w:ascii="宋体" w:hAnsi="宋体"/>
          <w:i/>
          <w:color w:val="auto"/>
        </w:rPr>
      </w:pPr>
      <w:r>
        <w:rPr>
          <w:rFonts w:hint="eastAsia" w:ascii="宋体" w:hAnsi="宋体" w:cs="宋体"/>
          <w:color w:val="auto"/>
        </w:rPr>
        <w:t>1.履行时间（期限）：一年内分批次供货，乙方每次接甲方供货通知单后在甲方指定的时间（接供货通知单后36小时内，最迟不超过72小时内)和地点交付产地、质量、包装、有效期等均符合条件的药品，且产品外包装标签上必须标示有品名、规格、产地、等级、生产企业、产品批号、生产日期并附质量合格标志。逾期供货视为一次不配送，药品出库单须与药品同行并附上成品检验报告单，甲方根据饮片验收时的质量状况确认收货或退换货。</w:t>
      </w:r>
    </w:p>
    <w:p>
      <w:pPr>
        <w:snapToGrid w:val="0"/>
        <w:spacing w:line="380" w:lineRule="exact"/>
        <w:ind w:firstLine="420" w:firstLineChars="200"/>
        <w:rPr>
          <w:rFonts w:ascii="宋体" w:hAnsi="宋体" w:cs="宋体"/>
          <w:color w:val="auto"/>
        </w:rPr>
      </w:pPr>
      <w:r>
        <w:rPr>
          <w:rFonts w:hint="eastAsia" w:ascii="宋体" w:hAnsi="宋体" w:cs="宋体"/>
          <w:color w:val="auto"/>
        </w:rPr>
        <w:t>2.履行地点：南宁市东葛路20-1号</w:t>
      </w:r>
      <w:r>
        <w:rPr>
          <w:rFonts w:hint="eastAsia" w:ascii="宋体" w:hAnsi="宋体" w:cs="宋体"/>
          <w:color w:val="auto"/>
          <w:u w:val="single"/>
        </w:rPr>
        <w:t>甲方指定地点</w:t>
      </w:r>
    </w:p>
    <w:p>
      <w:pPr>
        <w:snapToGrid w:val="0"/>
        <w:spacing w:line="380" w:lineRule="exact"/>
        <w:ind w:firstLine="420" w:firstLineChars="200"/>
        <w:rPr>
          <w:rFonts w:ascii="宋体" w:hAnsi="宋体" w:cs="宋体"/>
          <w:color w:val="auto"/>
        </w:rPr>
      </w:pPr>
      <w:r>
        <w:rPr>
          <w:rFonts w:hint="eastAsia" w:ascii="宋体" w:hAnsi="宋体" w:cs="宋体"/>
          <w:color w:val="auto"/>
        </w:rPr>
        <w:t>3.履行方式</w:t>
      </w:r>
    </w:p>
    <w:p>
      <w:pPr>
        <w:snapToGrid w:val="0"/>
        <w:spacing w:line="380" w:lineRule="exact"/>
        <w:ind w:firstLine="420" w:firstLineChars="200"/>
        <w:rPr>
          <w:rFonts w:ascii="宋体" w:hAnsi="宋体" w:cs="宋体"/>
          <w:color w:val="auto"/>
        </w:rPr>
      </w:pPr>
      <w:r>
        <w:rPr>
          <w:rFonts w:hint="eastAsia" w:ascii="宋体" w:hAnsi="宋体" w:cs="宋体"/>
          <w:color w:val="auto"/>
        </w:rPr>
        <w:t>（1）</w:t>
      </w:r>
      <w:r>
        <w:rPr>
          <w:rFonts w:hint="eastAsia" w:ascii="宋体" w:hAnsi="宋体"/>
          <w:color w:val="auto"/>
        </w:rPr>
        <w:t>乙方负责货物运输，</w:t>
      </w:r>
      <w:r>
        <w:rPr>
          <w:rFonts w:hint="eastAsia" w:ascii="宋体" w:hAnsi="宋体" w:cs="宋体"/>
          <w:color w:val="auto"/>
        </w:rPr>
        <w:t>货物的运输方式：</w:t>
      </w:r>
      <w:r>
        <w:rPr>
          <w:rFonts w:hint="eastAsia" w:ascii="宋体" w:hAnsi="宋体" w:cs="宋体"/>
          <w:color w:val="auto"/>
          <w:u w:val="single"/>
        </w:rPr>
        <w:t xml:space="preserve">不限 </w:t>
      </w:r>
      <w:r>
        <w:rPr>
          <w:rFonts w:hint="eastAsia" w:ascii="宋体" w:hAnsi="宋体" w:cs="宋体"/>
          <w:color w:val="auto"/>
        </w:rPr>
        <w:t>。</w:t>
      </w:r>
    </w:p>
    <w:p>
      <w:pPr>
        <w:snapToGrid w:val="0"/>
        <w:spacing w:line="380" w:lineRule="exact"/>
        <w:ind w:firstLine="420" w:firstLineChars="200"/>
        <w:rPr>
          <w:rFonts w:ascii="宋体" w:hAnsi="宋体" w:cs="宋体"/>
          <w:color w:val="auto"/>
        </w:rPr>
      </w:pPr>
      <w:r>
        <w:rPr>
          <w:rFonts w:hint="eastAsia" w:ascii="宋体" w:hAnsi="宋体" w:cs="宋体"/>
          <w:color w:val="auto"/>
        </w:rPr>
        <w:t>（2）交货方式</w:t>
      </w:r>
    </w:p>
    <w:p>
      <w:pPr>
        <w:snapToGrid w:val="0"/>
        <w:spacing w:line="380" w:lineRule="exact"/>
        <w:ind w:firstLine="420" w:firstLineChars="200"/>
        <w:rPr>
          <w:rFonts w:ascii="宋体" w:hAnsi="宋体" w:cs="宋体"/>
          <w:color w:val="auto"/>
        </w:rPr>
      </w:pPr>
      <w:r>
        <w:rPr>
          <w:rFonts w:hint="eastAsia" w:ascii="宋体" w:hAnsi="宋体"/>
          <w:color w:val="auto"/>
        </w:rPr>
        <w:t>√</w:t>
      </w:r>
      <w:r>
        <w:rPr>
          <w:rFonts w:hint="eastAsia" w:ascii="宋体" w:hAnsi="宋体" w:cs="宋体"/>
          <w:color w:val="auto"/>
        </w:rPr>
        <w:t>乙方将货物送到甲方指定地点。</w:t>
      </w:r>
    </w:p>
    <w:p>
      <w:pPr>
        <w:snapToGrid w:val="0"/>
        <w:spacing w:line="380" w:lineRule="exact"/>
        <w:ind w:firstLine="420" w:firstLineChars="200"/>
        <w:rPr>
          <w:rFonts w:ascii="宋体" w:hAnsi="宋体" w:cs="宋体"/>
          <w:color w:val="auto"/>
        </w:rPr>
      </w:pPr>
      <w:r>
        <w:rPr>
          <w:rFonts w:hint="eastAsia" w:ascii="宋体" w:hAnsi="宋体"/>
          <w:color w:val="auto"/>
        </w:rPr>
        <w:t>□</w:t>
      </w:r>
      <w:r>
        <w:rPr>
          <w:rFonts w:hint="eastAsia" w:ascii="宋体" w:hAnsi="宋体" w:cs="宋体"/>
          <w:color w:val="auto"/>
        </w:rPr>
        <w:t>甲方自行到乙方指定地点提货。</w:t>
      </w:r>
    </w:p>
    <w:p>
      <w:pPr>
        <w:snapToGrid w:val="0"/>
        <w:spacing w:line="380" w:lineRule="exact"/>
        <w:ind w:firstLine="420" w:firstLineChars="200"/>
        <w:rPr>
          <w:rFonts w:ascii="宋体" w:hAnsi="宋体" w:cs="宋体"/>
          <w:color w:val="auto"/>
        </w:rPr>
      </w:pPr>
      <w:r>
        <w:rPr>
          <w:rFonts w:hint="eastAsia" w:ascii="宋体" w:hAnsi="宋体"/>
          <w:color w:val="auto"/>
        </w:rPr>
        <w:t>□</w:t>
      </w:r>
      <w:r>
        <w:rPr>
          <w:rFonts w:hint="eastAsia" w:ascii="宋体" w:hAnsi="宋体" w:cs="宋体"/>
          <w:color w:val="auto"/>
        </w:rPr>
        <w:t>其他：</w:t>
      </w:r>
      <w:r>
        <w:rPr>
          <w:rFonts w:hint="eastAsia" w:ascii="宋体" w:hAnsi="宋体" w:cs="宋体"/>
          <w:color w:val="auto"/>
          <w:u w:val="single"/>
        </w:rPr>
        <w:t>/</w:t>
      </w:r>
      <w:r>
        <w:rPr>
          <w:rFonts w:hint="eastAsia" w:ascii="宋体" w:hAnsi="宋体" w:cs="宋体"/>
          <w:color w:val="auto"/>
        </w:rPr>
        <w:t>。</w:t>
      </w:r>
    </w:p>
    <w:p>
      <w:pPr>
        <w:snapToGrid w:val="0"/>
        <w:spacing w:line="380" w:lineRule="exact"/>
        <w:ind w:firstLine="422" w:firstLineChars="200"/>
        <w:rPr>
          <w:rFonts w:ascii="宋体" w:hAnsi="宋体"/>
          <w:b/>
          <w:color w:val="auto"/>
        </w:rPr>
      </w:pPr>
      <w:r>
        <w:rPr>
          <w:rFonts w:hint="eastAsia" w:ascii="宋体" w:hAnsi="宋体"/>
          <w:b/>
          <w:color w:val="auto"/>
        </w:rPr>
        <w:t>第四条　包装方式</w:t>
      </w:r>
    </w:p>
    <w:p>
      <w:pPr>
        <w:snapToGrid w:val="0"/>
        <w:spacing w:line="380" w:lineRule="exact"/>
        <w:ind w:firstLine="420" w:firstLineChars="200"/>
        <w:rPr>
          <w:rFonts w:ascii="宋体" w:hAnsi="宋体"/>
          <w:color w:val="auto"/>
        </w:rPr>
      </w:pPr>
      <w:r>
        <w:rPr>
          <w:rFonts w:hint="eastAsia" w:ascii="宋体" w:hAnsi="宋体"/>
          <w:color w:val="auto"/>
        </w:rPr>
        <w:t>1.乙方提供的货物均应按响应文件承诺的要求的包装材料、包装标准、包装方式进行包装。</w:t>
      </w:r>
    </w:p>
    <w:p>
      <w:pPr>
        <w:snapToGrid w:val="0"/>
        <w:spacing w:line="380" w:lineRule="exact"/>
        <w:ind w:firstLine="420" w:firstLineChars="200"/>
        <w:rPr>
          <w:rFonts w:ascii="宋体" w:hAnsi="宋体"/>
          <w:color w:val="auto"/>
          <w:kern w:val="0"/>
        </w:rPr>
      </w:pPr>
      <w:r>
        <w:rPr>
          <w:rFonts w:hint="eastAsia" w:ascii="宋体" w:hAnsi="宋体"/>
          <w:color w:val="auto"/>
          <w:kern w:val="0"/>
        </w:rPr>
        <w:t>2.乙方应在货物发运前对其进行满足运输距离、防水、防潮、防震、防锈和防破损装卸等要求包装，以保证货物安全运达甲方指定地点。</w:t>
      </w:r>
    </w:p>
    <w:p>
      <w:pPr>
        <w:spacing w:line="380" w:lineRule="exact"/>
        <w:ind w:firstLine="420" w:firstLineChars="200"/>
        <w:rPr>
          <w:rFonts w:hAnsi="宋体"/>
          <w:color w:val="auto"/>
          <w:kern w:val="0"/>
        </w:rPr>
      </w:pPr>
      <w:r>
        <w:rPr>
          <w:rFonts w:hint="eastAsia" w:hAnsi="宋体"/>
          <w:color w:val="auto"/>
          <w:kern w:val="0"/>
        </w:rPr>
        <w:t>3.货物的使用说明书、质量检验证明书、质量合格证、随配附件和工具以及清单一并附于货物包装内。</w:t>
      </w:r>
    </w:p>
    <w:p>
      <w:pPr>
        <w:snapToGrid w:val="0"/>
        <w:spacing w:line="380" w:lineRule="exact"/>
        <w:ind w:firstLine="422" w:firstLineChars="200"/>
        <w:rPr>
          <w:rFonts w:ascii="宋体" w:hAnsi="宋体"/>
          <w:b/>
          <w:color w:val="auto"/>
        </w:rPr>
      </w:pPr>
      <w:r>
        <w:rPr>
          <w:rFonts w:hint="eastAsia" w:ascii="宋体" w:hAnsi="宋体"/>
          <w:b/>
          <w:color w:val="auto"/>
        </w:rPr>
        <w:t>第五条　合同价款及支付</w:t>
      </w:r>
    </w:p>
    <w:p>
      <w:pPr>
        <w:snapToGrid w:val="0"/>
        <w:spacing w:line="380" w:lineRule="exact"/>
        <w:ind w:firstLine="420" w:firstLineChars="200"/>
        <w:rPr>
          <w:rFonts w:ascii="宋体" w:hAnsi="宋体"/>
          <w:color w:val="auto"/>
          <w:kern w:val="0"/>
        </w:rPr>
      </w:pPr>
      <w:r>
        <w:rPr>
          <w:rFonts w:hint="eastAsia" w:ascii="宋体" w:hAnsi="宋体"/>
          <w:color w:val="auto"/>
          <w:kern w:val="0"/>
        </w:rPr>
        <w:t>1.本合同以人民币付款。</w:t>
      </w:r>
    </w:p>
    <w:p>
      <w:pPr>
        <w:snapToGrid w:val="0"/>
        <w:spacing w:line="380" w:lineRule="exact"/>
        <w:ind w:firstLine="420" w:firstLineChars="200"/>
        <w:rPr>
          <w:rFonts w:ascii="宋体" w:hAnsi="宋体"/>
          <w:i/>
          <w:color w:val="auto"/>
          <w:kern w:val="0"/>
        </w:rPr>
      </w:pPr>
      <w:r>
        <w:rPr>
          <w:rFonts w:hint="eastAsia" w:ascii="宋体" w:hAnsi="宋体"/>
          <w:bCs/>
          <w:color w:val="auto"/>
          <w:kern w:val="0"/>
        </w:rPr>
        <w:t>2.</w:t>
      </w:r>
      <w:r>
        <w:rPr>
          <w:rFonts w:hint="eastAsia" w:ascii="宋体" w:hAnsi="宋体"/>
          <w:color w:val="auto"/>
          <w:kern w:val="0"/>
        </w:rPr>
        <w:t>付款进度安排</w:t>
      </w:r>
      <w:r>
        <w:rPr>
          <w:rFonts w:hint="eastAsia" w:ascii="宋体" w:hAnsi="宋体"/>
          <w:i/>
          <w:color w:val="auto"/>
          <w:kern w:val="0"/>
        </w:rPr>
        <w:t>：</w:t>
      </w:r>
    </w:p>
    <w:p>
      <w:pPr>
        <w:snapToGrid w:val="0"/>
        <w:spacing w:line="380" w:lineRule="exact"/>
        <w:ind w:firstLine="420" w:firstLineChars="200"/>
        <w:rPr>
          <w:rFonts w:ascii="宋体" w:hAnsi="宋体"/>
          <w:color w:val="auto"/>
          <w:kern w:val="0"/>
        </w:rPr>
      </w:pPr>
      <w:r>
        <w:rPr>
          <w:rFonts w:hint="eastAsia" w:ascii="宋体" w:hAnsi="宋体"/>
          <w:color w:val="auto"/>
          <w:kern w:val="0"/>
        </w:rPr>
        <w:t>1）货款按月结算，甲方收到当期发票后，在二十个工作日内，按当期发票金额100%支付给乙方。</w:t>
      </w:r>
    </w:p>
    <w:p>
      <w:pPr>
        <w:snapToGrid w:val="0"/>
        <w:spacing w:line="380" w:lineRule="exact"/>
        <w:ind w:firstLine="420" w:firstLineChars="200"/>
        <w:rPr>
          <w:rFonts w:ascii="宋体" w:hAnsi="宋体"/>
          <w:color w:val="auto"/>
          <w:kern w:val="0"/>
        </w:rPr>
      </w:pPr>
      <w:r>
        <w:rPr>
          <w:rFonts w:hint="eastAsia" w:ascii="宋体" w:hAnsi="宋体"/>
          <w:color w:val="auto"/>
          <w:kern w:val="0"/>
        </w:rPr>
        <w:t>2）所涉及的检定费用由乙方承担，合同价款中应包含检定费用，合同实施时，甲方不再支付任何项目费用。</w:t>
      </w:r>
    </w:p>
    <w:p>
      <w:pPr>
        <w:snapToGrid w:val="0"/>
        <w:spacing w:line="380" w:lineRule="exact"/>
        <w:ind w:firstLine="420" w:firstLineChars="200"/>
        <w:rPr>
          <w:rFonts w:hAnsi="宋体"/>
          <w:color w:val="auto"/>
        </w:rPr>
      </w:pPr>
      <w:r>
        <w:rPr>
          <w:rFonts w:hint="eastAsia" w:hAnsi="宋体"/>
          <w:color w:val="auto"/>
        </w:rPr>
        <w:t>3.资金支付方式：</w:t>
      </w:r>
      <w:r>
        <w:rPr>
          <w:rFonts w:hint="eastAsia" w:hAnsi="宋体"/>
          <w:color w:val="auto"/>
          <w:u w:val="single"/>
        </w:rPr>
        <w:t xml:space="preserve"> 银行转账 </w:t>
      </w:r>
      <w:r>
        <w:rPr>
          <w:rFonts w:hint="eastAsia" w:hAnsi="宋体"/>
          <w:color w:val="auto"/>
        </w:rPr>
        <w:t>。</w:t>
      </w:r>
    </w:p>
    <w:p>
      <w:pPr>
        <w:pStyle w:val="33"/>
        <w:rPr>
          <w:color w:val="auto"/>
        </w:rPr>
      </w:pPr>
      <w:r>
        <w:rPr>
          <w:rFonts w:hint="eastAsia"/>
          <w:color w:val="auto"/>
        </w:rPr>
        <w:t>4.乙方有违约的，甲方有权从任一期货款中优先扣除违约金、赔偿金，不足部分再扣减履约保证金。</w:t>
      </w:r>
    </w:p>
    <w:p>
      <w:pPr>
        <w:snapToGrid w:val="0"/>
        <w:spacing w:line="380" w:lineRule="exact"/>
        <w:ind w:firstLine="422" w:firstLineChars="200"/>
        <w:rPr>
          <w:rFonts w:ascii="宋体" w:hAnsi="宋体"/>
          <w:b/>
          <w:color w:val="auto"/>
        </w:rPr>
      </w:pPr>
      <w:r>
        <w:rPr>
          <w:rFonts w:hint="eastAsia" w:ascii="宋体" w:hAnsi="宋体"/>
          <w:b/>
          <w:color w:val="auto"/>
        </w:rPr>
        <w:t>第六条　验收、交付标准和方法</w:t>
      </w:r>
    </w:p>
    <w:p>
      <w:pPr>
        <w:snapToGrid w:val="0"/>
        <w:spacing w:line="380" w:lineRule="exact"/>
        <w:ind w:firstLine="420" w:firstLineChars="200"/>
        <w:rPr>
          <w:rFonts w:ascii="宋体" w:hAnsi="宋体"/>
          <w:color w:val="auto"/>
        </w:rPr>
      </w:pPr>
      <w:r>
        <w:rPr>
          <w:rFonts w:hint="eastAsia" w:ascii="宋体" w:hAnsi="宋体"/>
          <w:color w:val="auto"/>
        </w:rPr>
        <w:t>1.甲方对乙方提交的货物依据采购文件上的技术规格要求和国家有关质量标准进行现场签收，外观、说明书符合采购文件技术要求的，给予签收，不合格的不予签收。</w:t>
      </w:r>
    </w:p>
    <w:p>
      <w:pPr>
        <w:snapToGrid w:val="0"/>
        <w:spacing w:line="380" w:lineRule="exact"/>
        <w:ind w:firstLine="420" w:firstLineChars="200"/>
        <w:rPr>
          <w:rFonts w:ascii="宋体" w:hAnsi="宋体"/>
          <w:color w:val="auto"/>
        </w:rPr>
      </w:pPr>
      <w:r>
        <w:rPr>
          <w:rFonts w:hint="eastAsia" w:ascii="宋体" w:hAnsi="宋体"/>
          <w:color w:val="auto"/>
        </w:rPr>
        <w:t>2.乙方交货前应对产品作出全面检查和对验收文件进行整理，并列出清单，作为甲方收货验收和使用的技术条件依据，检验的结果应随货物交甲方。乙方不能完整交付货物及本款规定的单证和工具的，必须负责补齐，否则视为未按合同约定交货。</w:t>
      </w:r>
    </w:p>
    <w:p>
      <w:pPr>
        <w:snapToGrid w:val="0"/>
        <w:spacing w:line="380" w:lineRule="exact"/>
        <w:ind w:firstLine="420" w:firstLineChars="200"/>
        <w:rPr>
          <w:rFonts w:ascii="宋体" w:hAnsi="宋体"/>
          <w:color w:val="auto"/>
        </w:rPr>
      </w:pPr>
      <w:r>
        <w:rPr>
          <w:rFonts w:hint="eastAsia" w:ascii="宋体" w:hAnsi="宋体"/>
          <w:color w:val="auto"/>
        </w:rPr>
        <w:t>3.甲方组织验收，乙方必须到场配合，验收合格后双方签署验收合格凭证。</w:t>
      </w:r>
    </w:p>
    <w:p>
      <w:pPr>
        <w:snapToGrid w:val="0"/>
        <w:spacing w:line="380" w:lineRule="exact"/>
        <w:ind w:firstLine="420" w:firstLineChars="200"/>
        <w:rPr>
          <w:rFonts w:ascii="宋体" w:hAnsi="宋体"/>
          <w:color w:val="auto"/>
        </w:rPr>
      </w:pPr>
      <w:r>
        <w:rPr>
          <w:rFonts w:hint="eastAsia" w:ascii="宋体" w:hAnsi="宋体"/>
          <w:color w:val="auto"/>
        </w:rPr>
        <w:t>4.其他未尽事宜应严格按照《关于印发广西壮族自治区政府采购项目履约验收管理办法的通知》[桂财采〔2015〕22号]以及《财政部关于进一步加强政府采购需求和履约验收管理的指导意见》[财库〔2016〕205号]规定执行。</w:t>
      </w:r>
    </w:p>
    <w:p>
      <w:pPr>
        <w:snapToGrid w:val="0"/>
        <w:spacing w:line="380" w:lineRule="exact"/>
        <w:ind w:firstLine="420" w:firstLineChars="200"/>
        <w:rPr>
          <w:rFonts w:ascii="宋体" w:hAnsi="宋体"/>
          <w:b/>
          <w:color w:val="auto"/>
        </w:rPr>
      </w:pPr>
      <w:r>
        <w:rPr>
          <w:rFonts w:hint="eastAsia" w:ascii="宋体" w:hAnsi="宋体"/>
          <w:color w:val="auto"/>
        </w:rPr>
        <w:t>5.验收产生的费用乙方负责。</w:t>
      </w:r>
    </w:p>
    <w:p>
      <w:pPr>
        <w:snapToGrid w:val="0"/>
        <w:spacing w:line="380" w:lineRule="exact"/>
        <w:ind w:firstLine="422" w:firstLineChars="200"/>
        <w:rPr>
          <w:rFonts w:ascii="宋体" w:hAnsi="宋体"/>
          <w:b/>
          <w:color w:val="auto"/>
        </w:rPr>
      </w:pPr>
      <w:r>
        <w:rPr>
          <w:rFonts w:hint="eastAsia" w:ascii="宋体" w:hAnsi="宋体"/>
          <w:b/>
          <w:color w:val="auto"/>
        </w:rPr>
        <w:t>第七条  售后服务</w:t>
      </w:r>
    </w:p>
    <w:p>
      <w:pPr>
        <w:snapToGrid w:val="0"/>
        <w:spacing w:line="380" w:lineRule="exact"/>
        <w:ind w:firstLine="420" w:firstLineChars="200"/>
        <w:rPr>
          <w:rFonts w:ascii="宋体" w:hAnsi="宋体"/>
          <w:color w:val="auto"/>
        </w:rPr>
      </w:pPr>
      <w:r>
        <w:rPr>
          <w:rFonts w:hint="eastAsia" w:ascii="宋体" w:hAnsi="宋体"/>
          <w:color w:val="auto"/>
        </w:rPr>
        <w:t>1.乙方应按照国家有关法律法规规定以及投标（响应）文件承诺，为甲方提供售后服务。</w:t>
      </w:r>
    </w:p>
    <w:p>
      <w:pPr>
        <w:snapToGrid w:val="0"/>
        <w:spacing w:line="380" w:lineRule="exact"/>
        <w:ind w:firstLine="420" w:firstLineChars="200"/>
        <w:rPr>
          <w:rFonts w:ascii="宋体" w:hAnsi="宋体"/>
          <w:color w:val="auto"/>
          <w:u w:val="single"/>
        </w:rPr>
      </w:pPr>
      <w:r>
        <w:rPr>
          <w:rFonts w:hint="eastAsia" w:ascii="宋体" w:hAnsi="宋体"/>
          <w:color w:val="auto"/>
        </w:rPr>
        <w:t>2.验收货日期距离生产日期不超过1年。</w:t>
      </w:r>
    </w:p>
    <w:p>
      <w:pPr>
        <w:snapToGrid w:val="0"/>
        <w:spacing w:line="380" w:lineRule="exact"/>
        <w:ind w:left="-61" w:leftChars="-29" w:firstLine="517" w:firstLineChars="245"/>
        <w:rPr>
          <w:rFonts w:ascii="宋体" w:hAnsi="宋体"/>
          <w:b/>
          <w:color w:val="auto"/>
        </w:rPr>
      </w:pPr>
      <w:r>
        <w:rPr>
          <w:rFonts w:hint="eastAsia" w:ascii="宋体" w:hAnsi="宋体"/>
          <w:b/>
          <w:color w:val="auto"/>
        </w:rPr>
        <w:t>第八条　履约保证金</w:t>
      </w:r>
    </w:p>
    <w:p>
      <w:pPr>
        <w:autoSpaceDE w:val="0"/>
        <w:autoSpaceDN w:val="0"/>
        <w:snapToGrid w:val="0"/>
        <w:spacing w:line="380" w:lineRule="exact"/>
        <w:ind w:firstLine="424" w:firstLineChars="202"/>
        <w:textAlignment w:val="bottom"/>
        <w:rPr>
          <w:rFonts w:ascii="宋体" w:hAnsi="宋体" w:cs="宋体"/>
          <w:color w:val="auto"/>
        </w:rPr>
      </w:pPr>
      <w:r>
        <w:rPr>
          <w:rFonts w:hint="eastAsia" w:ascii="宋体" w:hAnsi="宋体" w:cs="宋体"/>
          <w:color w:val="auto"/>
        </w:rPr>
        <w:t>1.履约保证金金额：</w:t>
      </w:r>
      <w:r>
        <w:rPr>
          <w:rFonts w:hint="eastAsia" w:ascii="宋体" w:hAnsi="宋体" w:cs="宋体"/>
          <w:color w:val="auto"/>
          <w:u w:val="single"/>
        </w:rPr>
        <w:t>按成交金额的2%，</w:t>
      </w:r>
      <w:r>
        <w:rPr>
          <w:rFonts w:hint="eastAsia"/>
          <w:color w:val="auto"/>
        </w:rPr>
        <w:t>￥        元。</w:t>
      </w:r>
    </w:p>
    <w:p>
      <w:pPr>
        <w:autoSpaceDE w:val="0"/>
        <w:autoSpaceDN w:val="0"/>
        <w:snapToGrid w:val="0"/>
        <w:spacing w:line="380" w:lineRule="exact"/>
        <w:ind w:firstLine="424" w:firstLineChars="202"/>
        <w:textAlignment w:val="bottom"/>
        <w:rPr>
          <w:rFonts w:ascii="宋体" w:hAnsi="宋体" w:cs="宋体"/>
          <w:color w:val="auto"/>
        </w:rPr>
      </w:pPr>
      <w:r>
        <w:rPr>
          <w:rFonts w:hint="eastAsia" w:ascii="宋体" w:hAnsi="宋体" w:cs="宋体"/>
          <w:color w:val="auto"/>
        </w:rPr>
        <w:t>2.履约保证金递交方式：</w:t>
      </w:r>
      <w:r>
        <w:rPr>
          <w:rFonts w:hint="eastAsia" w:ascii="宋体" w:hAnsi="宋体" w:cs="宋体"/>
          <w:color w:val="auto"/>
          <w:u w:val="single"/>
        </w:rPr>
        <w:t>银行转账</w:t>
      </w:r>
    </w:p>
    <w:p>
      <w:pPr>
        <w:autoSpaceDE w:val="0"/>
        <w:autoSpaceDN w:val="0"/>
        <w:snapToGrid w:val="0"/>
        <w:spacing w:line="380" w:lineRule="exact"/>
        <w:ind w:firstLine="424" w:firstLineChars="202"/>
        <w:textAlignment w:val="bottom"/>
        <w:rPr>
          <w:rFonts w:ascii="宋体" w:hAnsi="宋体" w:cs="宋体"/>
          <w:color w:val="auto"/>
        </w:rPr>
      </w:pPr>
      <w:r>
        <w:rPr>
          <w:rFonts w:hint="eastAsia" w:ascii="宋体" w:hAnsi="宋体" w:cs="宋体"/>
          <w:color w:val="auto"/>
        </w:rPr>
        <w:t>3.履约保证金退付的方式、时间及条件：</w:t>
      </w:r>
      <w:r>
        <w:rPr>
          <w:rFonts w:hint="eastAsia" w:ascii="宋体" w:hAnsi="宋体" w:cs="宋体"/>
          <w:color w:val="auto"/>
          <w:u w:val="single"/>
        </w:rPr>
        <w:t>乙方在签订合同之前，足额提交履约保证金。未提交履约保证金的，不予签订合同。履约保证金自项目验收合格后，待乙方履行完质保义务后无息退还。</w:t>
      </w:r>
    </w:p>
    <w:p>
      <w:pPr>
        <w:autoSpaceDE w:val="0"/>
        <w:autoSpaceDN w:val="0"/>
        <w:snapToGrid w:val="0"/>
        <w:spacing w:line="380" w:lineRule="exact"/>
        <w:ind w:firstLine="424" w:firstLineChars="202"/>
        <w:textAlignment w:val="bottom"/>
        <w:rPr>
          <w:color w:val="auto"/>
        </w:rPr>
      </w:pPr>
      <w:r>
        <w:rPr>
          <w:rFonts w:hint="eastAsia" w:ascii="宋体" w:hAnsi="宋体" w:cs="宋体"/>
          <w:color w:val="auto"/>
        </w:rPr>
        <w:t>4.不予退还的情形：签订合同后，如乙方不按双方签订的合同规定履约，则其全部履约保证金不予退还。</w:t>
      </w:r>
    </w:p>
    <w:p>
      <w:pPr>
        <w:snapToGrid w:val="0"/>
        <w:spacing w:line="380" w:lineRule="exact"/>
        <w:ind w:firstLine="422" w:firstLineChars="200"/>
        <w:rPr>
          <w:rFonts w:ascii="宋体" w:hAnsi="宋体"/>
          <w:b/>
          <w:color w:val="auto"/>
        </w:rPr>
      </w:pPr>
      <w:r>
        <w:rPr>
          <w:rFonts w:hint="eastAsia" w:ascii="宋体" w:hAnsi="宋体"/>
          <w:b/>
          <w:color w:val="auto"/>
        </w:rPr>
        <w:t>第九条　违约责任</w:t>
      </w:r>
    </w:p>
    <w:p>
      <w:pPr>
        <w:snapToGrid w:val="0"/>
        <w:spacing w:line="380" w:lineRule="exact"/>
        <w:ind w:firstLine="420" w:firstLineChars="200"/>
        <w:rPr>
          <w:rFonts w:ascii="宋体" w:hAnsi="宋体"/>
          <w:color w:val="auto"/>
          <w:kern w:val="0"/>
        </w:rPr>
      </w:pPr>
      <w:r>
        <w:rPr>
          <w:rFonts w:hint="eastAsia" w:ascii="宋体" w:hAnsi="宋体"/>
          <w:color w:val="auto"/>
          <w:kern w:val="0"/>
        </w:rPr>
        <w:t>1.合同一方不履行合同义务、履行合同义务不符合约定或者违反合同项下所作保证的， 应向对方承担继续履行、采取修理、更换、退货等补救措施或者赔偿损失等违约责任。</w:t>
      </w:r>
    </w:p>
    <w:p>
      <w:pPr>
        <w:snapToGrid w:val="0"/>
        <w:spacing w:line="380" w:lineRule="exact"/>
        <w:ind w:firstLine="420" w:firstLineChars="200"/>
        <w:rPr>
          <w:rFonts w:ascii="宋体" w:hAnsi="宋体"/>
          <w:color w:val="auto"/>
          <w:kern w:val="0"/>
        </w:rPr>
      </w:pPr>
      <w:r>
        <w:rPr>
          <w:rFonts w:hint="eastAsia" w:ascii="宋体" w:hAnsi="宋体"/>
          <w:color w:val="auto"/>
          <w:kern w:val="0"/>
        </w:rPr>
        <w:t>2.乙方未能按时交付货物的，应向甲方支付迟延交付违约金。迟延交付违约金的计算方法如下：</w:t>
      </w:r>
    </w:p>
    <w:p>
      <w:pPr>
        <w:snapToGrid w:val="0"/>
        <w:spacing w:line="380" w:lineRule="exact"/>
        <w:ind w:firstLine="420" w:firstLineChars="200"/>
        <w:rPr>
          <w:rFonts w:ascii="宋体" w:hAnsi="宋体"/>
          <w:color w:val="auto"/>
          <w:kern w:val="0"/>
        </w:rPr>
      </w:pPr>
      <w:r>
        <w:rPr>
          <w:rFonts w:hint="eastAsia" w:ascii="宋体" w:hAnsi="宋体"/>
          <w:color w:val="auto"/>
          <w:kern w:val="0"/>
        </w:rPr>
        <w:t>（1）从迟交的第一周到第四周，每周迟延交付违约金为</w:t>
      </w:r>
      <w:r>
        <w:rPr>
          <w:rFonts w:hint="eastAsia"/>
          <w:color w:val="auto"/>
        </w:rPr>
        <w:t>相应批次饮片价款</w:t>
      </w:r>
      <w:r>
        <w:rPr>
          <w:rFonts w:hint="eastAsia" w:ascii="宋体" w:hAnsi="宋体"/>
          <w:color w:val="auto"/>
          <w:kern w:val="0"/>
        </w:rPr>
        <w:t>的</w:t>
      </w:r>
      <w:r>
        <w:rPr>
          <w:rFonts w:hint="eastAsia" w:ascii="宋体" w:hAnsi="宋体"/>
          <w:i/>
          <w:color w:val="auto"/>
          <w:kern w:val="0"/>
          <w:u w:val="single"/>
        </w:rPr>
        <w:t xml:space="preserve"> 0.5% </w:t>
      </w:r>
      <w:r>
        <w:rPr>
          <w:rFonts w:hint="eastAsia" w:ascii="宋体" w:hAnsi="宋体"/>
          <w:color w:val="auto"/>
          <w:kern w:val="0"/>
        </w:rPr>
        <w:t>；</w:t>
      </w:r>
    </w:p>
    <w:p>
      <w:pPr>
        <w:snapToGrid w:val="0"/>
        <w:spacing w:line="380" w:lineRule="exact"/>
        <w:ind w:firstLine="420" w:firstLineChars="200"/>
        <w:rPr>
          <w:rFonts w:ascii="宋体" w:hAnsi="宋体"/>
          <w:color w:val="auto"/>
          <w:kern w:val="0"/>
        </w:rPr>
      </w:pPr>
      <w:r>
        <w:rPr>
          <w:rFonts w:hint="eastAsia" w:ascii="宋体" w:hAnsi="宋体"/>
          <w:color w:val="auto"/>
          <w:kern w:val="0"/>
        </w:rPr>
        <w:t>（2）从迟交的第五周到第八周，每周迟延交付违约金为</w:t>
      </w:r>
      <w:r>
        <w:rPr>
          <w:rFonts w:hint="eastAsia"/>
          <w:color w:val="auto"/>
        </w:rPr>
        <w:t>相应批次饮片价款</w:t>
      </w:r>
      <w:r>
        <w:rPr>
          <w:rFonts w:hint="eastAsia" w:ascii="宋体" w:hAnsi="宋体"/>
          <w:color w:val="auto"/>
          <w:kern w:val="0"/>
        </w:rPr>
        <w:t>的</w:t>
      </w:r>
      <w:r>
        <w:rPr>
          <w:rFonts w:hint="eastAsia" w:ascii="宋体" w:hAnsi="宋体"/>
          <w:i/>
          <w:color w:val="auto"/>
          <w:kern w:val="0"/>
          <w:u w:val="single"/>
        </w:rPr>
        <w:t xml:space="preserve"> 1% </w:t>
      </w:r>
      <w:r>
        <w:rPr>
          <w:rFonts w:hint="eastAsia" w:ascii="宋体" w:hAnsi="宋体"/>
          <w:color w:val="auto"/>
          <w:kern w:val="0"/>
        </w:rPr>
        <w:t>；</w:t>
      </w:r>
    </w:p>
    <w:p>
      <w:pPr>
        <w:snapToGrid w:val="0"/>
        <w:spacing w:line="380" w:lineRule="exact"/>
        <w:ind w:firstLine="420" w:firstLineChars="200"/>
        <w:rPr>
          <w:rFonts w:ascii="宋体" w:hAnsi="宋体"/>
          <w:color w:val="auto"/>
          <w:kern w:val="0"/>
        </w:rPr>
      </w:pPr>
      <w:r>
        <w:rPr>
          <w:rFonts w:hint="eastAsia" w:ascii="宋体" w:hAnsi="宋体"/>
          <w:color w:val="auto"/>
          <w:kern w:val="0"/>
        </w:rPr>
        <w:t>（3）从迟交第九周起，每周迟延交付违约金为</w:t>
      </w:r>
      <w:r>
        <w:rPr>
          <w:rFonts w:hint="eastAsia"/>
          <w:color w:val="auto"/>
        </w:rPr>
        <w:t>相应批次饮片价款</w:t>
      </w:r>
      <w:r>
        <w:rPr>
          <w:rFonts w:hint="eastAsia" w:ascii="宋体" w:hAnsi="宋体"/>
          <w:color w:val="auto"/>
          <w:kern w:val="0"/>
        </w:rPr>
        <w:t>的</w:t>
      </w:r>
      <w:r>
        <w:rPr>
          <w:rFonts w:hint="eastAsia" w:ascii="宋体" w:hAnsi="宋体"/>
          <w:i/>
          <w:color w:val="auto"/>
          <w:kern w:val="0"/>
          <w:u w:val="single"/>
        </w:rPr>
        <w:t xml:space="preserve"> 1.5% </w:t>
      </w:r>
      <w:r>
        <w:rPr>
          <w:rFonts w:hint="eastAsia" w:ascii="宋体" w:hAnsi="宋体"/>
          <w:color w:val="auto"/>
          <w:kern w:val="0"/>
        </w:rPr>
        <w:t>。在计算迟延交付违约金时，迟交不足一周的按一周计算。迟延交付违约金的总额不得超过合同总价款的</w:t>
      </w:r>
      <w:r>
        <w:rPr>
          <w:rFonts w:hint="eastAsia" w:ascii="宋体" w:hAnsi="宋体"/>
          <w:color w:val="auto"/>
          <w:kern w:val="0"/>
          <w:u w:val="single"/>
        </w:rPr>
        <w:t xml:space="preserve"> 10% </w:t>
      </w:r>
      <w:r>
        <w:rPr>
          <w:rFonts w:hint="eastAsia" w:ascii="宋体" w:hAnsi="宋体"/>
          <w:color w:val="auto"/>
          <w:kern w:val="0"/>
        </w:rPr>
        <w:t>。迟延交付违约金的支付不能免除乙方继续交付相关合同货物的义务，但如迟延交付导致甲方用药断档的，甲方有权解除合同，同时乙方还应另行支付合同总价款20%的违约金。</w:t>
      </w:r>
    </w:p>
    <w:p>
      <w:pPr>
        <w:snapToGrid w:val="0"/>
        <w:spacing w:line="380" w:lineRule="exact"/>
        <w:ind w:firstLine="420" w:firstLineChars="200"/>
        <w:rPr>
          <w:color w:val="auto"/>
        </w:rPr>
      </w:pPr>
      <w:r>
        <w:rPr>
          <w:rFonts w:hint="eastAsia" w:ascii="宋体" w:hAnsi="宋体"/>
          <w:color w:val="auto"/>
          <w:kern w:val="0"/>
        </w:rPr>
        <w:t>3.甲方未能按合同约定支付合同价款的，应向乙方支付延迟付款违约金。迟延付款违约金的计算方法如下：</w:t>
      </w:r>
      <w:r>
        <w:rPr>
          <w:rFonts w:hint="eastAsia"/>
          <w:color w:val="auto"/>
        </w:rPr>
        <w:t>每日按迟延付款金额的0.</w:t>
      </w:r>
      <w:r>
        <w:rPr>
          <w:color w:val="auto"/>
        </w:rPr>
        <w:t>1</w:t>
      </w:r>
      <w:r>
        <w:rPr>
          <w:rFonts w:hint="eastAsia" w:ascii="宋体" w:hAnsi="宋体"/>
          <w:color w:val="auto"/>
        </w:rPr>
        <w:t>‰</w:t>
      </w:r>
      <w:r>
        <w:rPr>
          <w:rFonts w:hint="eastAsia"/>
          <w:color w:val="auto"/>
        </w:rPr>
        <w:t>向乙方支付违约金。</w:t>
      </w:r>
    </w:p>
    <w:p>
      <w:pPr>
        <w:snapToGrid w:val="0"/>
        <w:spacing w:line="380" w:lineRule="exact"/>
        <w:ind w:firstLine="420" w:firstLineChars="200"/>
        <w:rPr>
          <w:rFonts w:ascii="宋体" w:hAnsi="宋体"/>
          <w:color w:val="auto"/>
          <w:kern w:val="0"/>
        </w:rPr>
      </w:pPr>
      <w:r>
        <w:rPr>
          <w:rFonts w:hint="eastAsia" w:ascii="宋体" w:hAnsi="宋体"/>
          <w:color w:val="auto"/>
          <w:kern w:val="0"/>
        </w:rPr>
        <w:t xml:space="preserve">4.乙方未按本合同和响应文件承诺提供售后服务的，乙方应按本合同总价款的 </w:t>
      </w:r>
      <w:r>
        <w:rPr>
          <w:rFonts w:hint="eastAsia" w:ascii="宋体" w:hAnsi="宋体"/>
          <w:color w:val="auto"/>
          <w:kern w:val="0"/>
          <w:u w:val="single"/>
        </w:rPr>
        <w:t>5</w:t>
      </w:r>
      <w:r>
        <w:rPr>
          <w:rFonts w:hint="eastAsia" w:ascii="宋体" w:hAnsi="宋体"/>
          <w:color w:val="auto"/>
          <w:kern w:val="0"/>
        </w:rPr>
        <w:t>%向甲方支付违约金。</w:t>
      </w:r>
    </w:p>
    <w:p>
      <w:pPr>
        <w:snapToGrid w:val="0"/>
        <w:spacing w:line="380" w:lineRule="exact"/>
        <w:ind w:firstLine="420" w:firstLineChars="200"/>
        <w:rPr>
          <w:rFonts w:ascii="宋体" w:hAnsi="宋体"/>
          <w:color w:val="auto"/>
          <w:kern w:val="0"/>
        </w:rPr>
      </w:pPr>
      <w:r>
        <w:rPr>
          <w:rFonts w:hint="eastAsia" w:ascii="宋体" w:hAnsi="宋体"/>
          <w:color w:val="auto"/>
          <w:kern w:val="0"/>
        </w:rPr>
        <w:t>5.因某一方原因导致变更、中止或者终止</w:t>
      </w:r>
      <w:r>
        <w:rPr>
          <w:rFonts w:hint="eastAsia"/>
          <w:color w:val="auto"/>
        </w:rPr>
        <w:t>本合同</w:t>
      </w:r>
      <w:r>
        <w:rPr>
          <w:rFonts w:hint="eastAsia" w:ascii="宋体" w:hAnsi="宋体"/>
          <w:color w:val="auto"/>
          <w:kern w:val="0"/>
        </w:rPr>
        <w:t>的，该方应当对另一方受到的损失予以赔偿或者补偿。</w:t>
      </w:r>
    </w:p>
    <w:p>
      <w:pPr>
        <w:snapToGrid w:val="0"/>
        <w:spacing w:line="380" w:lineRule="exact"/>
        <w:ind w:firstLine="420" w:firstLineChars="200"/>
        <w:rPr>
          <w:rFonts w:ascii="宋体" w:hAnsi="宋体"/>
          <w:color w:val="auto"/>
          <w:kern w:val="0"/>
        </w:rPr>
      </w:pPr>
      <w:r>
        <w:rPr>
          <w:rFonts w:hint="eastAsia" w:ascii="宋体" w:hAnsi="宋体"/>
          <w:color w:val="auto"/>
          <w:kern w:val="0"/>
        </w:rPr>
        <w:t>6.其它违约责任按《中华人民共和国民法典》处理。</w:t>
      </w:r>
    </w:p>
    <w:p>
      <w:pPr>
        <w:snapToGrid w:val="0"/>
        <w:spacing w:line="380" w:lineRule="exact"/>
        <w:ind w:firstLine="413" w:firstLineChars="196"/>
        <w:rPr>
          <w:rFonts w:ascii="宋体" w:hAnsi="宋体"/>
          <w:b/>
          <w:color w:val="auto"/>
          <w:kern w:val="0"/>
        </w:rPr>
      </w:pPr>
      <w:r>
        <w:rPr>
          <w:rFonts w:hint="eastAsia" w:ascii="宋体" w:hAnsi="宋体"/>
          <w:b/>
          <w:color w:val="auto"/>
          <w:kern w:val="0"/>
        </w:rPr>
        <w:t>第十条  不可抗力事件处理</w:t>
      </w:r>
    </w:p>
    <w:p>
      <w:pPr>
        <w:snapToGrid w:val="0"/>
        <w:spacing w:line="380" w:lineRule="exact"/>
        <w:ind w:firstLine="420" w:firstLineChars="200"/>
        <w:rPr>
          <w:rFonts w:ascii="宋体" w:hAnsi="宋体"/>
          <w:color w:val="auto"/>
          <w:kern w:val="0"/>
        </w:rPr>
      </w:pPr>
      <w:r>
        <w:rPr>
          <w:rFonts w:hint="eastAsia" w:ascii="宋体" w:hAnsi="宋体"/>
          <w:color w:val="auto"/>
          <w:kern w:val="0"/>
        </w:rPr>
        <w:t>1.在合同有效期内，任何一方因不可抗力事件导致不能履行合同，则合同履行期可延长，其延长期与不可抗力影响期相同。</w:t>
      </w:r>
    </w:p>
    <w:p>
      <w:pPr>
        <w:snapToGrid w:val="0"/>
        <w:spacing w:line="380" w:lineRule="exact"/>
        <w:ind w:firstLine="420" w:firstLineChars="200"/>
        <w:rPr>
          <w:rFonts w:ascii="宋体" w:hAnsi="宋体"/>
          <w:color w:val="auto"/>
          <w:kern w:val="0"/>
        </w:rPr>
      </w:pPr>
      <w:r>
        <w:rPr>
          <w:rFonts w:hint="eastAsia" w:ascii="宋体" w:hAnsi="宋体"/>
          <w:color w:val="auto"/>
          <w:kern w:val="0"/>
        </w:rPr>
        <w:t>2.不可抗力事件发生后，应立即通知对方，并寄送有关权威机构出具的证明。</w:t>
      </w:r>
    </w:p>
    <w:p>
      <w:pPr>
        <w:snapToGrid w:val="0"/>
        <w:spacing w:line="380" w:lineRule="exact"/>
        <w:ind w:firstLine="420" w:firstLineChars="200"/>
        <w:rPr>
          <w:rFonts w:ascii="宋体" w:hAnsi="宋体"/>
          <w:color w:val="auto"/>
        </w:rPr>
      </w:pPr>
      <w:r>
        <w:rPr>
          <w:rFonts w:hint="eastAsia" w:ascii="宋体" w:hAnsi="宋体"/>
          <w:color w:val="auto"/>
        </w:rPr>
        <w:t>3.不可抗力事件延续一百二十天以上，双方应通过友好协商，确定是否继续履行合同。</w:t>
      </w:r>
    </w:p>
    <w:p>
      <w:pPr>
        <w:snapToGrid w:val="0"/>
        <w:spacing w:line="380" w:lineRule="exact"/>
        <w:ind w:firstLine="422" w:firstLineChars="200"/>
        <w:rPr>
          <w:rFonts w:ascii="宋体" w:hAnsi="宋体"/>
          <w:color w:val="auto"/>
        </w:rPr>
      </w:pPr>
      <w:r>
        <w:rPr>
          <w:rFonts w:hint="eastAsia" w:ascii="宋体" w:hAnsi="宋体"/>
          <w:b/>
          <w:color w:val="auto"/>
        </w:rPr>
        <w:t>第十一条  合同争议解决</w:t>
      </w:r>
    </w:p>
    <w:p>
      <w:pPr>
        <w:snapToGrid w:val="0"/>
        <w:spacing w:line="380" w:lineRule="exact"/>
        <w:ind w:firstLine="420" w:firstLineChars="200"/>
        <w:rPr>
          <w:rFonts w:ascii="宋体" w:hAnsi="宋体"/>
          <w:color w:val="auto"/>
        </w:rPr>
      </w:pPr>
      <w:r>
        <w:rPr>
          <w:rFonts w:hint="eastAsia" w:ascii="宋体" w:hAnsi="宋体"/>
          <w:color w:val="auto"/>
        </w:rPr>
        <w:t>1.因货物质量问题发生争议的，应邀请国家认可的质量检测机构对货物质量进行鉴定。货物符合标准的，鉴定费由甲方承担；货物不符合标准的，鉴定费由乙方承担。</w:t>
      </w:r>
    </w:p>
    <w:p>
      <w:pPr>
        <w:autoSpaceDE w:val="0"/>
        <w:autoSpaceDN w:val="0"/>
        <w:adjustRightInd w:val="0"/>
        <w:spacing w:line="380" w:lineRule="exact"/>
        <w:ind w:left="100" w:right="42" w:firstLine="420"/>
        <w:rPr>
          <w:rFonts w:ascii="宋体" w:hAnsi="宋体"/>
          <w:color w:val="auto"/>
        </w:rPr>
      </w:pPr>
      <w:r>
        <w:rPr>
          <w:rFonts w:hint="eastAsia" w:ascii="宋体" w:hAnsi="宋体"/>
          <w:color w:val="auto"/>
        </w:rPr>
        <w:t xml:space="preserve">2.因履行本合同引起的或者与本合同有关的争议，甲乙双方应首先通过友好协商解决，如果协商不能解决，按下列 </w:t>
      </w:r>
      <w:r>
        <w:rPr>
          <w:rFonts w:hint="eastAsia" w:ascii="宋体" w:hAnsi="宋体"/>
          <w:color w:val="auto"/>
          <w:u w:val="single"/>
        </w:rPr>
        <w:t xml:space="preserve">2 </w:t>
      </w:r>
      <w:r>
        <w:rPr>
          <w:rFonts w:hint="eastAsia" w:ascii="宋体" w:hAnsi="宋体"/>
          <w:color w:val="auto"/>
        </w:rPr>
        <w:t>方式解决：</w:t>
      </w:r>
    </w:p>
    <w:p>
      <w:pPr>
        <w:autoSpaceDE w:val="0"/>
        <w:autoSpaceDN w:val="0"/>
        <w:adjustRightInd w:val="0"/>
        <w:spacing w:line="380" w:lineRule="exact"/>
        <w:ind w:right="40" w:firstLine="420"/>
        <w:rPr>
          <w:rFonts w:ascii="宋体" w:hAnsi="宋体"/>
          <w:color w:val="auto"/>
        </w:rPr>
      </w:pPr>
      <w:r>
        <w:rPr>
          <w:rFonts w:hint="eastAsia" w:ascii="宋体" w:hAnsi="宋体"/>
          <w:color w:val="auto"/>
        </w:rPr>
        <w:t>（</w:t>
      </w:r>
      <w:r>
        <w:rPr>
          <w:rFonts w:ascii="宋体" w:hAnsi="宋体"/>
          <w:color w:val="auto"/>
        </w:rPr>
        <w:t>1</w:t>
      </w:r>
      <w:r>
        <w:rPr>
          <w:rFonts w:hint="eastAsia" w:ascii="宋体" w:hAnsi="宋体"/>
          <w:color w:val="auto"/>
        </w:rPr>
        <w:t>）向</w:t>
      </w:r>
      <w:r>
        <w:rPr>
          <w:rFonts w:hint="eastAsia" w:ascii="宋体" w:hAnsi="宋体"/>
          <w:color w:val="auto"/>
          <w:u w:val="single"/>
        </w:rPr>
        <w:t>/</w:t>
      </w:r>
      <w:r>
        <w:rPr>
          <w:rFonts w:hint="eastAsia" w:ascii="宋体" w:hAnsi="宋体"/>
          <w:color w:val="auto"/>
        </w:rPr>
        <w:t>仲裁委员会申请仲裁；</w:t>
      </w:r>
    </w:p>
    <w:p>
      <w:pPr>
        <w:autoSpaceDE w:val="0"/>
        <w:autoSpaceDN w:val="0"/>
        <w:adjustRightInd w:val="0"/>
        <w:spacing w:line="380" w:lineRule="exact"/>
        <w:ind w:right="40" w:firstLine="420"/>
        <w:rPr>
          <w:rFonts w:ascii="宋体" w:hAnsi="宋体"/>
          <w:color w:val="auto"/>
        </w:rPr>
      </w:pPr>
      <w:r>
        <w:rPr>
          <w:rFonts w:hint="eastAsia" w:ascii="宋体" w:hAnsi="宋体"/>
          <w:color w:val="auto"/>
        </w:rPr>
        <w:t>（</w:t>
      </w:r>
      <w:r>
        <w:rPr>
          <w:rFonts w:ascii="宋体" w:hAnsi="宋体"/>
          <w:color w:val="auto"/>
        </w:rPr>
        <w:t>2</w:t>
      </w:r>
      <w:r>
        <w:rPr>
          <w:rFonts w:hint="eastAsia" w:ascii="宋体" w:hAnsi="宋体"/>
          <w:color w:val="auto"/>
        </w:rPr>
        <w:t>）向</w:t>
      </w:r>
      <w:r>
        <w:rPr>
          <w:rFonts w:hint="eastAsia"/>
          <w:color w:val="auto"/>
        </w:rPr>
        <w:t>甲方住所地</w:t>
      </w:r>
      <w:r>
        <w:rPr>
          <w:rFonts w:hint="eastAsia" w:ascii="宋体" w:hAnsi="宋体"/>
          <w:color w:val="auto"/>
        </w:rPr>
        <w:t>人民法院提起诉讼。</w:t>
      </w:r>
    </w:p>
    <w:p>
      <w:pPr>
        <w:snapToGrid w:val="0"/>
        <w:spacing w:line="380" w:lineRule="exact"/>
        <w:ind w:firstLine="422" w:firstLineChars="200"/>
        <w:rPr>
          <w:rFonts w:ascii="宋体" w:hAnsi="宋体"/>
          <w:b/>
          <w:color w:val="auto"/>
        </w:rPr>
      </w:pPr>
      <w:r>
        <w:rPr>
          <w:rFonts w:hint="eastAsia" w:ascii="宋体" w:hAnsi="宋体"/>
          <w:b/>
          <w:color w:val="auto"/>
        </w:rPr>
        <w:t>第十二条　合同的变更、中止或者终止</w:t>
      </w:r>
    </w:p>
    <w:p>
      <w:pPr>
        <w:snapToGrid w:val="0"/>
        <w:spacing w:line="380" w:lineRule="exact"/>
        <w:ind w:firstLine="420" w:firstLineChars="200"/>
        <w:rPr>
          <w:rFonts w:ascii="宋体" w:hAnsi="宋体"/>
          <w:color w:val="auto"/>
        </w:rPr>
      </w:pPr>
      <w:r>
        <w:rPr>
          <w:rFonts w:hint="eastAsia" w:ascii="宋体" w:hAnsi="宋体"/>
          <w:color w:val="auto"/>
        </w:rPr>
        <w:t>1. 除《中华人民共和国政府采购法》第五十条规定的情形外，本合同一经签订，甲乙双方不得擅自变更、中止或者终止合同。</w:t>
      </w:r>
    </w:p>
    <w:p>
      <w:pPr>
        <w:spacing w:line="380" w:lineRule="exact"/>
        <w:ind w:firstLine="420" w:firstLineChars="200"/>
        <w:rPr>
          <w:rFonts w:ascii="宋体" w:hAnsi="宋体"/>
          <w:color w:val="auto"/>
        </w:rPr>
      </w:pPr>
      <w:r>
        <w:rPr>
          <w:rFonts w:hint="eastAsia" w:ascii="宋体" w:hAnsi="宋体"/>
          <w:color w:val="auto"/>
        </w:rPr>
        <w:t>2.采购合同继续履行将损害国家利益和社会公共利益的，双方当事人应当变更、中止或者终止合同。有过错的一方应当承担赔偿责任，双方都有过错的，各自承担相应的责任。</w:t>
      </w:r>
    </w:p>
    <w:p>
      <w:pPr>
        <w:snapToGrid w:val="0"/>
        <w:spacing w:line="380" w:lineRule="exact"/>
        <w:ind w:firstLine="422" w:firstLineChars="200"/>
        <w:rPr>
          <w:rFonts w:ascii="宋体" w:hAnsi="宋体"/>
          <w:b/>
          <w:color w:val="auto"/>
        </w:rPr>
      </w:pPr>
      <w:r>
        <w:rPr>
          <w:rFonts w:hint="eastAsia" w:ascii="宋体" w:hAnsi="宋体"/>
          <w:b/>
          <w:color w:val="auto"/>
        </w:rPr>
        <w:t>第十三条　</w:t>
      </w:r>
      <w:r>
        <w:rPr>
          <w:rFonts w:hint="eastAsia" w:ascii="宋体" w:hAnsi="宋体" w:cs="微软雅黑"/>
          <w:b/>
          <w:color w:val="auto"/>
          <w:kern w:val="0"/>
        </w:rPr>
        <w:t>合</w:t>
      </w:r>
      <w:r>
        <w:rPr>
          <w:rFonts w:hint="eastAsia" w:ascii="宋体" w:hAnsi="宋体" w:cs="微软雅黑"/>
          <w:b/>
          <w:color w:val="auto"/>
          <w:spacing w:val="-2"/>
          <w:kern w:val="0"/>
        </w:rPr>
        <w:t>同</w:t>
      </w:r>
      <w:r>
        <w:rPr>
          <w:rFonts w:hint="eastAsia" w:ascii="宋体" w:hAnsi="宋体" w:cs="微软雅黑"/>
          <w:b/>
          <w:color w:val="auto"/>
          <w:kern w:val="0"/>
        </w:rPr>
        <w:t>文</w:t>
      </w:r>
      <w:r>
        <w:rPr>
          <w:rFonts w:hint="eastAsia" w:ascii="宋体" w:hAnsi="宋体" w:cs="微软雅黑"/>
          <w:b/>
          <w:color w:val="auto"/>
          <w:spacing w:val="-2"/>
          <w:kern w:val="0"/>
        </w:rPr>
        <w:t>件构成</w:t>
      </w:r>
    </w:p>
    <w:p>
      <w:pPr>
        <w:snapToGrid w:val="0"/>
        <w:spacing w:line="380" w:lineRule="exact"/>
        <w:ind w:left="420" w:leftChars="200"/>
        <w:rPr>
          <w:rFonts w:ascii="宋体" w:hAnsi="宋体"/>
          <w:color w:val="auto"/>
          <w:kern w:val="0"/>
        </w:rPr>
      </w:pPr>
      <w:r>
        <w:rPr>
          <w:rFonts w:hint="eastAsia" w:ascii="宋体" w:hAnsi="宋体"/>
          <w:color w:val="auto"/>
          <w:kern w:val="0"/>
        </w:rPr>
        <w:t>1.采购合同</w:t>
      </w:r>
    </w:p>
    <w:p>
      <w:pPr>
        <w:snapToGrid w:val="0"/>
        <w:spacing w:line="380" w:lineRule="exact"/>
        <w:ind w:left="420" w:leftChars="200"/>
        <w:rPr>
          <w:rFonts w:ascii="宋体" w:hAnsi="宋体"/>
          <w:color w:val="auto"/>
          <w:kern w:val="0"/>
        </w:rPr>
      </w:pPr>
      <w:r>
        <w:rPr>
          <w:rFonts w:hint="eastAsia" w:ascii="宋体" w:hAnsi="宋体"/>
          <w:color w:val="auto"/>
          <w:kern w:val="0"/>
        </w:rPr>
        <w:t>2.成交通知书；</w:t>
      </w:r>
    </w:p>
    <w:p>
      <w:pPr>
        <w:snapToGrid w:val="0"/>
        <w:spacing w:line="380" w:lineRule="exact"/>
        <w:ind w:left="420" w:leftChars="200"/>
        <w:rPr>
          <w:rFonts w:ascii="宋体" w:hAnsi="宋体"/>
          <w:color w:val="auto"/>
          <w:kern w:val="0"/>
        </w:rPr>
      </w:pPr>
      <w:r>
        <w:rPr>
          <w:rFonts w:hint="eastAsia" w:ascii="宋体" w:hAnsi="宋体"/>
          <w:color w:val="auto"/>
          <w:kern w:val="0"/>
        </w:rPr>
        <w:t>3.响应文件；</w:t>
      </w:r>
    </w:p>
    <w:p>
      <w:pPr>
        <w:snapToGrid w:val="0"/>
        <w:spacing w:line="380" w:lineRule="exact"/>
        <w:ind w:left="420" w:leftChars="200"/>
        <w:rPr>
          <w:rFonts w:ascii="宋体" w:hAnsi="宋体"/>
          <w:color w:val="auto"/>
          <w:kern w:val="0"/>
        </w:rPr>
      </w:pPr>
      <w:r>
        <w:rPr>
          <w:rFonts w:hint="eastAsia" w:ascii="宋体" w:hAnsi="宋体"/>
          <w:color w:val="auto"/>
          <w:kern w:val="0"/>
        </w:rPr>
        <w:t>4.采购文件及更正公告（澄清或补充通知）；</w:t>
      </w:r>
    </w:p>
    <w:p>
      <w:pPr>
        <w:snapToGrid w:val="0"/>
        <w:spacing w:line="380" w:lineRule="exact"/>
        <w:ind w:left="420" w:leftChars="200"/>
        <w:rPr>
          <w:rFonts w:ascii="宋体" w:hAnsi="宋体"/>
          <w:color w:val="auto"/>
          <w:kern w:val="0"/>
        </w:rPr>
      </w:pPr>
      <w:r>
        <w:rPr>
          <w:rFonts w:hint="eastAsia" w:ascii="宋体" w:hAnsi="宋体"/>
          <w:color w:val="auto"/>
          <w:kern w:val="0"/>
        </w:rPr>
        <w:t>5.标准、规范及有关技术文件；</w:t>
      </w:r>
    </w:p>
    <w:p>
      <w:pPr>
        <w:snapToGrid w:val="0"/>
        <w:spacing w:line="380" w:lineRule="exact"/>
        <w:ind w:left="420" w:leftChars="200"/>
        <w:rPr>
          <w:rFonts w:ascii="宋体" w:hAnsi="宋体"/>
          <w:color w:val="auto"/>
          <w:kern w:val="0"/>
        </w:rPr>
      </w:pPr>
      <w:r>
        <w:rPr>
          <w:rFonts w:hint="eastAsia" w:ascii="宋体" w:hAnsi="宋体"/>
          <w:color w:val="auto"/>
          <w:kern w:val="0"/>
        </w:rPr>
        <w:t>6.双方约定的其他合同文件。</w:t>
      </w:r>
    </w:p>
    <w:p>
      <w:pPr>
        <w:snapToGrid w:val="0"/>
        <w:spacing w:line="380" w:lineRule="exact"/>
        <w:ind w:firstLine="420" w:firstLineChars="200"/>
        <w:rPr>
          <w:rFonts w:ascii="宋体" w:hAnsi="宋体"/>
          <w:color w:val="auto"/>
          <w:kern w:val="0"/>
        </w:rPr>
      </w:pPr>
      <w:r>
        <w:rPr>
          <w:rFonts w:hint="eastAsia" w:ascii="宋体" w:hAnsi="宋体"/>
          <w:color w:val="auto"/>
          <w:kern w:val="0"/>
        </w:rPr>
        <w:t>上述合同文件互相补充和解释。如果合同文件之间存在矛盾或者不一致之处，以上述文件的排列顺序在先者为准。</w:t>
      </w:r>
    </w:p>
    <w:p>
      <w:pPr>
        <w:snapToGrid w:val="0"/>
        <w:spacing w:line="380" w:lineRule="exact"/>
        <w:ind w:firstLine="422" w:firstLineChars="200"/>
        <w:rPr>
          <w:rFonts w:ascii="宋体" w:hAnsi="宋体"/>
          <w:color w:val="auto"/>
        </w:rPr>
      </w:pPr>
      <w:r>
        <w:rPr>
          <w:rFonts w:hint="eastAsia" w:ascii="宋体" w:hAnsi="宋体"/>
          <w:b/>
          <w:color w:val="auto"/>
        </w:rPr>
        <w:t>第</w:t>
      </w:r>
      <w:r>
        <w:rPr>
          <w:rFonts w:hint="eastAsia" w:hAnsi="宋体"/>
          <w:b/>
          <w:color w:val="auto"/>
        </w:rPr>
        <w:t>十四</w:t>
      </w:r>
      <w:r>
        <w:rPr>
          <w:rFonts w:hint="eastAsia" w:ascii="宋体" w:hAnsi="宋体"/>
          <w:b/>
          <w:color w:val="auto"/>
        </w:rPr>
        <w:t>条　知识产权和保密要求</w:t>
      </w:r>
    </w:p>
    <w:p>
      <w:pPr>
        <w:snapToGrid w:val="0"/>
        <w:spacing w:line="380" w:lineRule="exact"/>
        <w:ind w:firstLine="420" w:firstLineChars="200"/>
        <w:rPr>
          <w:rFonts w:ascii="宋体" w:hAnsi="宋体"/>
          <w:color w:val="auto"/>
        </w:rPr>
      </w:pPr>
      <w:r>
        <w:rPr>
          <w:rFonts w:hint="eastAsia" w:ascii="宋体" w:hAnsi="宋体"/>
          <w:color w:val="auto"/>
        </w:rPr>
        <w:t>1.甲方在履行合同过程中提供给乙方的全部图纸、文件和其他含有数据和信息的资料，其知识产权属于甲方。</w:t>
      </w:r>
    </w:p>
    <w:p>
      <w:pPr>
        <w:snapToGrid w:val="0"/>
        <w:spacing w:line="380" w:lineRule="exact"/>
        <w:ind w:firstLine="420" w:firstLineChars="200"/>
        <w:rPr>
          <w:rFonts w:ascii="宋体" w:hAnsi="宋体"/>
          <w:color w:val="auto"/>
        </w:rPr>
      </w:pPr>
      <w:r>
        <w:rPr>
          <w:rFonts w:hint="eastAsia" w:ascii="宋体" w:hAnsi="宋体"/>
          <w:color w:val="auto"/>
        </w:rPr>
        <w:t>2.除采购文件采购需求另有约定外，甲方不因签署和履行合同而享有乙方在履行合同过程中提供给甲方的图纸、文件、配套软件、电子辅助程序和其他含有数据和信息的资料的知识产权。</w:t>
      </w:r>
    </w:p>
    <w:p>
      <w:pPr>
        <w:snapToGrid w:val="0"/>
        <w:spacing w:line="380" w:lineRule="exact"/>
        <w:ind w:firstLine="420" w:firstLineChars="200"/>
        <w:rPr>
          <w:rFonts w:ascii="宋体" w:hAnsi="宋体"/>
          <w:color w:val="auto"/>
        </w:rPr>
      </w:pPr>
      <w:r>
        <w:rPr>
          <w:rFonts w:hint="eastAsia" w:ascii="宋体" w:hAnsi="宋体"/>
          <w:color w:val="auto"/>
        </w:rPr>
        <w:t>3.乙方应保证所提供货物在使用时不会侵犯任何第三方的知识产权或者其他权利。如合同货物涉及知识产权，则乙方保证甲方在使用合同货物过程中免于受到第三方提出的有关知识产权侵权的主张、索赔或诉讼的伤害。</w:t>
      </w:r>
    </w:p>
    <w:p>
      <w:pPr>
        <w:snapToGrid w:val="0"/>
        <w:spacing w:line="380" w:lineRule="exact"/>
        <w:ind w:firstLine="420" w:firstLineChars="200"/>
        <w:rPr>
          <w:rFonts w:ascii="宋体" w:hAnsi="宋体"/>
          <w:color w:val="auto"/>
        </w:rPr>
      </w:pPr>
      <w:r>
        <w:rPr>
          <w:rFonts w:hint="eastAsia" w:ascii="宋体" w:hAnsi="宋体"/>
          <w:color w:val="auto"/>
        </w:rPr>
        <w:t>4.如果甲方收到任何第三方有关知识产权的主张、索赔或诉讼，乙方在收到甲方通知后， 应以甲方名义并在甲方的协助下，自负费用处理与第三方的索赔或诉讼，并赔偿甲方因此发生的费用和遭受的损失。如果乙方拒绝处理前述索赔或诉讼或在收到甲方通知后</w:t>
      </w:r>
      <w:r>
        <w:rPr>
          <w:rFonts w:ascii="宋体" w:hAnsi="宋体"/>
          <w:color w:val="auto"/>
        </w:rPr>
        <w:t>28</w:t>
      </w:r>
      <w:r>
        <w:rPr>
          <w:rFonts w:hint="eastAsia" w:ascii="宋体" w:hAnsi="宋体"/>
          <w:color w:val="auto"/>
        </w:rPr>
        <w:t>日内未作表示，甲方可以自己的名义进行这些索赔或诉讼，因此发生的费用和遭受的损失均应由乙方承担。</w:t>
      </w:r>
    </w:p>
    <w:p>
      <w:pPr>
        <w:snapToGrid w:val="0"/>
        <w:spacing w:line="380" w:lineRule="exact"/>
        <w:ind w:firstLine="420" w:firstLineChars="200"/>
        <w:rPr>
          <w:rFonts w:ascii="宋体" w:hAnsi="宋体"/>
          <w:color w:val="auto"/>
        </w:rPr>
      </w:pPr>
      <w:r>
        <w:rPr>
          <w:rFonts w:hint="eastAsia" w:ascii="宋体" w:hAnsi="宋体"/>
          <w:color w:val="auto"/>
        </w:rPr>
        <w:t>5.未经甲方书面同意，乙方不得将由甲方提供的有关合同或者任何合同条款、规格、计划、图纸、样品或者资料提供给与履行本合同无关的任何其他人。即使向履行本合同有关的其他人员提供，也应注意保密并限于履行合同的必需范围。</w:t>
      </w:r>
    </w:p>
    <w:p>
      <w:pPr>
        <w:snapToGrid w:val="0"/>
        <w:spacing w:line="380" w:lineRule="exact"/>
        <w:ind w:firstLine="420" w:firstLineChars="200"/>
        <w:rPr>
          <w:rFonts w:ascii="宋体" w:hAnsi="宋体"/>
          <w:color w:val="auto"/>
        </w:rPr>
      </w:pPr>
      <w:r>
        <w:rPr>
          <w:rFonts w:hint="eastAsia" w:ascii="宋体" w:hAnsi="宋体"/>
          <w:color w:val="auto"/>
        </w:rPr>
        <w:t>6.乙方保证将要交付的货物的所有权完全属于乙方且无任何抵押、质押、查封等产权瑕疵。</w:t>
      </w:r>
    </w:p>
    <w:p>
      <w:pPr>
        <w:snapToGrid w:val="0"/>
        <w:spacing w:line="380" w:lineRule="exact"/>
        <w:ind w:firstLine="413" w:firstLineChars="196"/>
        <w:rPr>
          <w:rFonts w:ascii="宋体" w:hAnsi="宋体"/>
          <w:b/>
          <w:color w:val="auto"/>
          <w:kern w:val="0"/>
        </w:rPr>
      </w:pPr>
      <w:r>
        <w:rPr>
          <w:rFonts w:hint="eastAsia" w:ascii="宋体" w:hAnsi="宋体"/>
          <w:b/>
          <w:color w:val="auto"/>
          <w:kern w:val="0"/>
        </w:rPr>
        <w:t>第十五条  合同生效及其它</w:t>
      </w:r>
    </w:p>
    <w:p>
      <w:pPr>
        <w:snapToGrid w:val="0"/>
        <w:spacing w:line="380" w:lineRule="exact"/>
        <w:ind w:firstLine="420" w:firstLineChars="200"/>
        <w:rPr>
          <w:rFonts w:ascii="宋体" w:hAnsi="宋体"/>
          <w:color w:val="auto"/>
          <w:kern w:val="0"/>
        </w:rPr>
      </w:pPr>
      <w:r>
        <w:rPr>
          <w:rFonts w:hint="eastAsia" w:ascii="宋体" w:hAnsi="宋体"/>
          <w:color w:val="auto"/>
          <w:kern w:val="0"/>
        </w:rPr>
        <w:t>1.合同经双方法定代表人或者委托代理人签字并加盖单位公章后生效（委托代理人签字的需后附授权委托书，格式自拟）。</w:t>
      </w:r>
    </w:p>
    <w:p>
      <w:pPr>
        <w:spacing w:line="380" w:lineRule="exact"/>
        <w:ind w:firstLine="420" w:firstLineChars="200"/>
        <w:rPr>
          <w:rFonts w:ascii="宋体" w:hAnsi="宋体"/>
          <w:color w:val="auto"/>
          <w:kern w:val="0"/>
        </w:rPr>
      </w:pPr>
      <w:r>
        <w:rPr>
          <w:rFonts w:hint="eastAsia" w:ascii="宋体" w:hAnsi="宋体"/>
          <w:color w:val="auto"/>
          <w:kern w:val="0"/>
        </w:rPr>
        <w:t>2.合同执行中涉及采购资金和采购内容修改或者补充的，签书面补充协议方可作为主合同不可分割的一部分。</w:t>
      </w:r>
    </w:p>
    <w:p>
      <w:pPr>
        <w:spacing w:line="380" w:lineRule="exact"/>
        <w:ind w:firstLine="420" w:firstLineChars="200"/>
        <w:rPr>
          <w:rFonts w:ascii="宋体" w:hAnsi="宋体"/>
          <w:color w:val="auto"/>
        </w:rPr>
      </w:pPr>
      <w:r>
        <w:rPr>
          <w:rFonts w:hint="eastAsia" w:ascii="宋体" w:hAnsi="宋体"/>
          <w:color w:val="auto"/>
        </w:rPr>
        <w:t>3.合同生效后，甲乙双方不得因姓名、名称的变更或者法定代表人、负责人、承办人的变动而不履行合同义务。</w:t>
      </w:r>
    </w:p>
    <w:p>
      <w:pPr>
        <w:snapToGrid w:val="0"/>
        <w:spacing w:line="380" w:lineRule="exact"/>
        <w:ind w:left="420" w:leftChars="200"/>
        <w:rPr>
          <w:rFonts w:ascii="宋体" w:hAnsi="宋体"/>
          <w:color w:val="auto"/>
          <w:kern w:val="0"/>
        </w:rPr>
      </w:pPr>
      <w:r>
        <w:rPr>
          <w:rFonts w:hint="eastAsia" w:ascii="宋体" w:hAnsi="宋体"/>
          <w:color w:val="auto"/>
          <w:kern w:val="0"/>
        </w:rPr>
        <w:t>4.本合同未尽事宜，遵照《中华人民共和国民法典》有关条文执行。</w:t>
      </w:r>
    </w:p>
    <w:p>
      <w:pPr>
        <w:snapToGrid w:val="0"/>
        <w:spacing w:line="380" w:lineRule="exact"/>
        <w:ind w:firstLine="420" w:firstLineChars="200"/>
        <w:rPr>
          <w:rFonts w:ascii="宋体" w:hAnsi="宋体"/>
          <w:color w:val="auto"/>
        </w:rPr>
      </w:pPr>
      <w:r>
        <w:rPr>
          <w:rFonts w:hint="eastAsia" w:ascii="宋体" w:hAnsi="宋体"/>
          <w:color w:val="auto"/>
        </w:rPr>
        <w:t>5.本合同一式</w:t>
      </w:r>
      <w:r>
        <w:rPr>
          <w:rFonts w:hint="eastAsia" w:ascii="宋体" w:hAnsi="宋体"/>
          <w:color w:val="auto"/>
          <w:u w:val="single"/>
        </w:rPr>
        <w:t>四</w:t>
      </w:r>
      <w:r>
        <w:rPr>
          <w:rFonts w:hint="eastAsia" w:ascii="宋体" w:hAnsi="宋体"/>
          <w:color w:val="auto"/>
        </w:rPr>
        <w:t>份，具有同等法律效力，甲乙双方各两份。</w:t>
      </w:r>
    </w:p>
    <w:p>
      <w:pPr>
        <w:snapToGrid w:val="0"/>
        <w:spacing w:line="380" w:lineRule="exact"/>
        <w:ind w:firstLine="420" w:firstLineChars="200"/>
        <w:rPr>
          <w:rFonts w:ascii="宋体" w:hAnsi="宋体"/>
          <w:color w:val="auto"/>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gridCol w:w="4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4516" w:type="dxa"/>
            <w:noWrap/>
            <w:vAlign w:val="center"/>
          </w:tcPr>
          <w:p>
            <w:pPr>
              <w:snapToGrid w:val="0"/>
              <w:spacing w:line="380" w:lineRule="exact"/>
              <w:rPr>
                <w:rFonts w:ascii="宋体" w:hAnsi="宋体"/>
                <w:color w:val="auto"/>
              </w:rPr>
            </w:pPr>
            <w:r>
              <w:rPr>
                <w:rFonts w:hint="eastAsia" w:ascii="宋体" w:hAnsi="宋体"/>
                <w:color w:val="auto"/>
              </w:rPr>
              <w:t>甲方（章）</w:t>
            </w:r>
            <w:r>
              <w:rPr>
                <w:rFonts w:hint="eastAsia" w:ascii="宋体" w:hAnsi="宋体" w:cs="Arial"/>
                <w:color w:val="auto"/>
              </w:rPr>
              <w:t>广西壮族自治区中医药研究院</w:t>
            </w:r>
          </w:p>
          <w:p>
            <w:pPr>
              <w:snapToGrid w:val="0"/>
              <w:spacing w:line="380" w:lineRule="exact"/>
              <w:rPr>
                <w:rFonts w:ascii="宋体" w:hAnsi="宋体"/>
                <w:color w:val="auto"/>
              </w:rPr>
            </w:pPr>
          </w:p>
          <w:p>
            <w:pPr>
              <w:snapToGrid w:val="0"/>
              <w:spacing w:line="380" w:lineRule="exact"/>
              <w:ind w:firstLine="945" w:firstLineChars="450"/>
              <w:jc w:val="right"/>
              <w:rPr>
                <w:rFonts w:ascii="宋体" w:hAnsi="宋体"/>
                <w:color w:val="auto"/>
              </w:rPr>
            </w:pPr>
            <w:r>
              <w:rPr>
                <w:rFonts w:hint="eastAsia" w:ascii="宋体" w:hAnsi="宋体"/>
                <w:color w:val="auto"/>
              </w:rPr>
              <w:t>年   月   日</w:t>
            </w:r>
          </w:p>
        </w:tc>
        <w:tc>
          <w:tcPr>
            <w:tcW w:w="4517" w:type="dxa"/>
            <w:noWrap/>
            <w:vAlign w:val="center"/>
          </w:tcPr>
          <w:p>
            <w:pPr>
              <w:snapToGrid w:val="0"/>
              <w:spacing w:line="380" w:lineRule="exact"/>
              <w:rPr>
                <w:rFonts w:ascii="宋体" w:hAnsi="宋体"/>
                <w:color w:val="auto"/>
              </w:rPr>
            </w:pPr>
            <w:r>
              <w:rPr>
                <w:rFonts w:hint="eastAsia" w:ascii="宋体" w:hAnsi="宋体"/>
                <w:color w:val="auto"/>
              </w:rPr>
              <w:t xml:space="preserve">乙方（章）              </w:t>
            </w:r>
          </w:p>
          <w:p>
            <w:pPr>
              <w:snapToGrid w:val="0"/>
              <w:spacing w:line="380" w:lineRule="exact"/>
              <w:rPr>
                <w:rFonts w:ascii="宋体" w:hAnsi="宋体"/>
                <w:color w:val="auto"/>
              </w:rPr>
            </w:pPr>
          </w:p>
          <w:p>
            <w:pPr>
              <w:snapToGrid w:val="0"/>
              <w:spacing w:line="380" w:lineRule="exact"/>
              <w:jc w:val="right"/>
              <w:rPr>
                <w:rFonts w:ascii="宋体" w:hAnsi="宋体"/>
                <w:color w:val="auto"/>
              </w:rPr>
            </w:pPr>
            <w:r>
              <w:rPr>
                <w:rFonts w:hint="eastAsia" w:ascii="宋体" w:hAnsi="宋体"/>
                <w:color w:val="auto"/>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4516" w:type="dxa"/>
            <w:noWrap/>
            <w:vAlign w:val="center"/>
          </w:tcPr>
          <w:p>
            <w:pPr>
              <w:snapToGrid w:val="0"/>
              <w:spacing w:line="380" w:lineRule="exact"/>
              <w:rPr>
                <w:rFonts w:ascii="宋体" w:hAnsi="宋体"/>
                <w:color w:val="auto"/>
              </w:rPr>
            </w:pPr>
            <w:r>
              <w:rPr>
                <w:rFonts w:hint="eastAsia" w:ascii="宋体" w:hAnsi="宋体"/>
                <w:color w:val="auto"/>
              </w:rPr>
              <w:t>单位地址：南宁市东葛路20-1号广西壮族自治区中医药研究院</w:t>
            </w:r>
          </w:p>
        </w:tc>
        <w:tc>
          <w:tcPr>
            <w:tcW w:w="4517" w:type="dxa"/>
            <w:noWrap/>
            <w:vAlign w:val="center"/>
          </w:tcPr>
          <w:p>
            <w:pPr>
              <w:snapToGrid w:val="0"/>
              <w:spacing w:line="380" w:lineRule="exact"/>
              <w:rPr>
                <w:rFonts w:ascii="宋体" w:hAnsi="宋体"/>
                <w:color w:val="auto"/>
              </w:rPr>
            </w:pPr>
            <w:r>
              <w:rPr>
                <w:rFonts w:hint="eastAsia" w:ascii="宋体" w:hAnsi="宋体"/>
                <w:color w:val="auto"/>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4516" w:type="dxa"/>
            <w:noWrap/>
          </w:tcPr>
          <w:p>
            <w:pPr>
              <w:snapToGrid w:val="0"/>
              <w:spacing w:line="380" w:lineRule="exact"/>
              <w:rPr>
                <w:rFonts w:ascii="宋体" w:hAnsi="宋体"/>
                <w:color w:val="auto"/>
              </w:rPr>
            </w:pPr>
            <w:r>
              <w:rPr>
                <w:rFonts w:hint="eastAsia" w:ascii="宋体" w:hAnsi="宋体"/>
                <w:color w:val="auto"/>
              </w:rPr>
              <w:t>法定代表人或者委托代理人：</w:t>
            </w:r>
          </w:p>
        </w:tc>
        <w:tc>
          <w:tcPr>
            <w:tcW w:w="4517" w:type="dxa"/>
            <w:noWrap/>
          </w:tcPr>
          <w:p>
            <w:pPr>
              <w:snapToGrid w:val="0"/>
              <w:spacing w:line="380" w:lineRule="exact"/>
              <w:rPr>
                <w:rFonts w:ascii="宋体" w:hAnsi="宋体"/>
                <w:color w:val="auto"/>
              </w:rPr>
            </w:pPr>
            <w:r>
              <w:rPr>
                <w:rFonts w:hint="eastAsia" w:ascii="宋体" w:hAnsi="宋体"/>
                <w:color w:val="auto"/>
              </w:rPr>
              <w:t>法定代表人或者委托代理人：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4516" w:type="dxa"/>
            <w:noWrap/>
            <w:vAlign w:val="center"/>
          </w:tcPr>
          <w:p>
            <w:pPr>
              <w:snapToGrid w:val="0"/>
              <w:spacing w:line="380" w:lineRule="exact"/>
              <w:rPr>
                <w:rFonts w:ascii="宋体" w:hAnsi="宋体"/>
                <w:color w:val="auto"/>
              </w:rPr>
            </w:pPr>
            <w:r>
              <w:rPr>
                <w:rFonts w:hint="eastAsia" w:ascii="宋体" w:hAnsi="宋体"/>
                <w:color w:val="auto"/>
              </w:rPr>
              <w:t>电话：</w:t>
            </w:r>
            <w:r>
              <w:rPr>
                <w:rFonts w:ascii="宋体" w:hAnsi="宋体"/>
                <w:color w:val="auto"/>
              </w:rPr>
              <w:t>0771-5830009</w:t>
            </w:r>
          </w:p>
        </w:tc>
        <w:tc>
          <w:tcPr>
            <w:tcW w:w="4517" w:type="dxa"/>
            <w:noWrap/>
            <w:vAlign w:val="center"/>
          </w:tcPr>
          <w:p>
            <w:pPr>
              <w:snapToGrid w:val="0"/>
              <w:spacing w:line="380" w:lineRule="exact"/>
              <w:rPr>
                <w:rFonts w:ascii="宋体" w:hAnsi="宋体"/>
                <w:color w:val="auto"/>
              </w:rPr>
            </w:pPr>
            <w:r>
              <w:rPr>
                <w:rFonts w:hint="eastAsia" w:ascii="宋体" w:hAnsi="宋体"/>
                <w:color w:val="auto"/>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4516" w:type="dxa"/>
            <w:noWrap/>
            <w:vAlign w:val="center"/>
          </w:tcPr>
          <w:p>
            <w:pPr>
              <w:snapToGrid w:val="0"/>
              <w:spacing w:line="380" w:lineRule="exact"/>
              <w:rPr>
                <w:rFonts w:ascii="宋体" w:hAnsi="宋体"/>
                <w:color w:val="auto"/>
              </w:rPr>
            </w:pPr>
            <w:r>
              <w:rPr>
                <w:rFonts w:hint="eastAsia" w:ascii="宋体" w:hAnsi="宋体"/>
                <w:color w:val="auto"/>
              </w:rPr>
              <w:t>电子邮箱：158717562@qq.com</w:t>
            </w:r>
          </w:p>
        </w:tc>
        <w:tc>
          <w:tcPr>
            <w:tcW w:w="4517" w:type="dxa"/>
            <w:noWrap/>
            <w:vAlign w:val="center"/>
          </w:tcPr>
          <w:p>
            <w:pPr>
              <w:snapToGrid w:val="0"/>
              <w:spacing w:line="380" w:lineRule="exact"/>
              <w:rPr>
                <w:rFonts w:ascii="宋体" w:hAnsi="宋体"/>
                <w:color w:val="auto"/>
              </w:rPr>
            </w:pPr>
            <w:r>
              <w:rPr>
                <w:rFonts w:hint="eastAsia" w:ascii="宋体" w:hAnsi="宋体"/>
                <w:color w:val="auto"/>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4516" w:type="dxa"/>
            <w:noWrap/>
            <w:vAlign w:val="center"/>
          </w:tcPr>
          <w:p>
            <w:pPr>
              <w:snapToGrid w:val="0"/>
              <w:spacing w:line="380" w:lineRule="exact"/>
              <w:rPr>
                <w:rFonts w:ascii="宋体" w:hAnsi="宋体"/>
                <w:color w:val="auto"/>
              </w:rPr>
            </w:pPr>
            <w:r>
              <w:rPr>
                <w:rFonts w:hint="eastAsia" w:ascii="宋体" w:hAnsi="宋体"/>
                <w:color w:val="auto"/>
              </w:rPr>
              <w:t>开户银行：</w:t>
            </w:r>
            <w:r>
              <w:rPr>
                <w:rFonts w:hint="eastAsia" w:ascii="宋体" w:hAnsi="宋体" w:cs="Arial"/>
                <w:color w:val="auto"/>
                <w:kern w:val="1"/>
              </w:rPr>
              <w:t>建行南宁市新城支行营业部</w:t>
            </w:r>
          </w:p>
        </w:tc>
        <w:tc>
          <w:tcPr>
            <w:tcW w:w="4517" w:type="dxa"/>
            <w:noWrap/>
            <w:vAlign w:val="center"/>
          </w:tcPr>
          <w:p>
            <w:pPr>
              <w:snapToGrid w:val="0"/>
              <w:spacing w:line="380" w:lineRule="exact"/>
              <w:rPr>
                <w:rFonts w:ascii="宋体" w:hAnsi="宋体"/>
                <w:color w:val="auto"/>
              </w:rPr>
            </w:pPr>
            <w:r>
              <w:rPr>
                <w:rFonts w:hint="eastAsia" w:ascii="宋体" w:hAnsi="宋体"/>
                <w:color w:val="auto"/>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4516" w:type="dxa"/>
            <w:noWrap/>
            <w:vAlign w:val="center"/>
          </w:tcPr>
          <w:p>
            <w:pPr>
              <w:snapToGrid w:val="0"/>
              <w:spacing w:line="380" w:lineRule="exact"/>
              <w:rPr>
                <w:rFonts w:ascii="宋体" w:hAnsi="宋体"/>
                <w:color w:val="auto"/>
              </w:rPr>
            </w:pPr>
            <w:r>
              <w:rPr>
                <w:rFonts w:hint="eastAsia" w:ascii="宋体" w:hAnsi="宋体"/>
                <w:color w:val="auto"/>
              </w:rPr>
              <w:t>账号：</w:t>
            </w:r>
            <w:r>
              <w:rPr>
                <w:rFonts w:hint="eastAsia" w:ascii="宋体" w:hAnsi="宋体" w:cs="Arial"/>
                <w:color w:val="auto"/>
                <w:kern w:val="1"/>
              </w:rPr>
              <w:t>45001604254050503752</w:t>
            </w:r>
          </w:p>
        </w:tc>
        <w:tc>
          <w:tcPr>
            <w:tcW w:w="4517" w:type="dxa"/>
            <w:noWrap/>
            <w:vAlign w:val="center"/>
          </w:tcPr>
          <w:p>
            <w:pPr>
              <w:snapToGrid w:val="0"/>
              <w:spacing w:line="380" w:lineRule="exact"/>
              <w:rPr>
                <w:rFonts w:ascii="宋体" w:hAnsi="宋体"/>
                <w:color w:val="auto"/>
              </w:rPr>
            </w:pPr>
            <w:r>
              <w:rPr>
                <w:rFonts w:hint="eastAsia" w:ascii="宋体" w:hAnsi="宋体"/>
                <w:color w:val="auto"/>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4516" w:type="dxa"/>
            <w:noWrap/>
            <w:vAlign w:val="center"/>
          </w:tcPr>
          <w:p>
            <w:pPr>
              <w:snapToGrid w:val="0"/>
              <w:spacing w:line="380" w:lineRule="exact"/>
              <w:rPr>
                <w:rFonts w:ascii="宋体" w:hAnsi="宋体"/>
                <w:color w:val="auto"/>
              </w:rPr>
            </w:pPr>
            <w:r>
              <w:rPr>
                <w:rFonts w:hint="eastAsia" w:ascii="宋体" w:hAnsi="宋体"/>
                <w:color w:val="auto"/>
              </w:rPr>
              <w:t>邮政编码：</w:t>
            </w:r>
            <w:r>
              <w:rPr>
                <w:rFonts w:ascii="宋体" w:hAnsi="宋体"/>
                <w:color w:val="auto"/>
              </w:rPr>
              <w:t>530</w:t>
            </w:r>
            <w:r>
              <w:rPr>
                <w:rFonts w:hint="eastAsia" w:ascii="宋体" w:hAnsi="宋体"/>
                <w:color w:val="auto"/>
              </w:rPr>
              <w:t>022</w:t>
            </w:r>
          </w:p>
        </w:tc>
        <w:tc>
          <w:tcPr>
            <w:tcW w:w="4517" w:type="dxa"/>
            <w:noWrap/>
            <w:vAlign w:val="center"/>
          </w:tcPr>
          <w:p>
            <w:pPr>
              <w:snapToGrid w:val="0"/>
              <w:spacing w:line="380" w:lineRule="exact"/>
              <w:rPr>
                <w:rFonts w:ascii="宋体" w:hAnsi="宋体"/>
                <w:color w:val="auto"/>
              </w:rPr>
            </w:pPr>
            <w:r>
              <w:rPr>
                <w:rFonts w:hint="eastAsia" w:ascii="宋体" w:hAnsi="宋体"/>
                <w:color w:val="auto"/>
              </w:rPr>
              <w:t>邮政编码：</w:t>
            </w:r>
          </w:p>
        </w:tc>
      </w:tr>
    </w:tbl>
    <w:p>
      <w:pPr>
        <w:snapToGrid w:val="0"/>
        <w:spacing w:line="360" w:lineRule="auto"/>
        <w:jc w:val="center"/>
        <w:rPr>
          <w:rFonts w:ascii="宋体" w:hAnsi="宋体"/>
          <w:color w:val="auto"/>
        </w:rPr>
      </w:pPr>
    </w:p>
    <w:p>
      <w:pPr>
        <w:rPr>
          <w:rFonts w:hAnsi="宋体"/>
          <w:b/>
          <w:bCs/>
          <w:color w:val="auto"/>
          <w:kern w:val="0"/>
        </w:rPr>
      </w:pPr>
      <w:r>
        <w:rPr>
          <w:rFonts w:hAnsi="宋体"/>
          <w:b/>
          <w:bCs/>
          <w:color w:val="auto"/>
          <w:kern w:val="0"/>
        </w:rPr>
        <w:br w:type="page"/>
      </w:r>
    </w:p>
    <w:p>
      <w:pPr>
        <w:pStyle w:val="5"/>
        <w:jc w:val="center"/>
        <w:rPr>
          <w:rFonts w:hint="eastAsia"/>
          <w:color w:val="auto"/>
        </w:rPr>
      </w:pPr>
      <w:bookmarkStart w:id="181" w:name="_Toc24876"/>
      <w:r>
        <w:rPr>
          <w:rFonts w:hint="eastAsia"/>
          <w:color w:val="auto"/>
          <w:lang w:eastAsia="zh-CN"/>
        </w:rPr>
        <w:t>第七章</w:t>
      </w:r>
      <w:r>
        <w:rPr>
          <w:rFonts w:hint="eastAsia"/>
          <w:color w:val="auto"/>
          <w:lang w:val="en-US" w:eastAsia="zh-CN"/>
        </w:rPr>
        <w:t xml:space="preserve"> </w:t>
      </w:r>
      <w:r>
        <w:rPr>
          <w:rFonts w:hint="eastAsia"/>
          <w:color w:val="auto"/>
        </w:rPr>
        <w:t>质疑、投诉证明材料格式</w:t>
      </w:r>
      <w:bookmarkEnd w:id="181"/>
    </w:p>
    <w:p>
      <w:pPr>
        <w:spacing w:line="360" w:lineRule="auto"/>
        <w:jc w:val="center"/>
        <w:rPr>
          <w:rFonts w:ascii="宋体" w:hAnsi="宋体"/>
          <w:b/>
          <w:bCs/>
          <w:color w:val="auto"/>
          <w:sz w:val="32"/>
          <w:szCs w:val="32"/>
        </w:rPr>
      </w:pPr>
      <w:r>
        <w:rPr>
          <w:rFonts w:hint="eastAsia" w:ascii="方正小标宋简体" w:hAnsi="方正小标宋简体" w:eastAsia="方正小标宋简体" w:cs="方正小标宋简体"/>
          <w:color w:val="auto"/>
          <w:sz w:val="44"/>
          <w:szCs w:val="44"/>
        </w:rPr>
        <w:t>质疑函（格式）</w:t>
      </w:r>
    </w:p>
    <w:p>
      <w:pPr>
        <w:pStyle w:val="24"/>
        <w:snapToGrid w:val="0"/>
        <w:spacing w:line="360" w:lineRule="auto"/>
        <w:ind w:firstLine="482" w:firstLineChars="200"/>
        <w:rPr>
          <w:rFonts w:hAnsi="宋体"/>
          <w:b/>
          <w:bCs/>
          <w:color w:val="auto"/>
          <w:sz w:val="24"/>
          <w:szCs w:val="24"/>
        </w:rPr>
      </w:pPr>
      <w:r>
        <w:rPr>
          <w:rFonts w:hint="eastAsia" w:hAnsi="宋体"/>
          <w:b/>
          <w:bCs/>
          <w:color w:val="auto"/>
          <w:sz w:val="24"/>
          <w:szCs w:val="24"/>
        </w:rPr>
        <w:t>一、质疑供应商基本信息：</w:t>
      </w:r>
    </w:p>
    <w:p>
      <w:pPr>
        <w:pStyle w:val="24"/>
        <w:snapToGrid w:val="0"/>
        <w:spacing w:line="360" w:lineRule="auto"/>
        <w:ind w:firstLine="480" w:firstLineChars="200"/>
        <w:rPr>
          <w:rFonts w:hAnsi="宋体"/>
          <w:bCs/>
          <w:color w:val="auto"/>
          <w:sz w:val="24"/>
          <w:szCs w:val="24"/>
          <w:u w:val="single"/>
        </w:rPr>
      </w:pPr>
      <w:r>
        <w:rPr>
          <w:rFonts w:hint="eastAsia" w:hAnsi="宋体"/>
          <w:bCs/>
          <w:color w:val="auto"/>
          <w:sz w:val="24"/>
          <w:szCs w:val="24"/>
        </w:rPr>
        <w:t>质疑供应商：</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地址</w:t>
      </w:r>
      <w:r>
        <w:rPr>
          <w:rFonts w:hint="eastAsia" w:hAnsi="宋体"/>
          <w:bCs/>
          <w:color w:val="auto"/>
          <w:sz w:val="24"/>
          <w:szCs w:val="24"/>
        </w:rPr>
        <w:t>：</w:t>
      </w:r>
      <w:r>
        <w:rPr>
          <w:rFonts w:hAnsi="宋体"/>
          <w:bCs/>
          <w:color w:val="auto"/>
          <w:sz w:val="24"/>
          <w:szCs w:val="24"/>
        </w:rPr>
        <w:t>邮编</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联系人</w:t>
      </w:r>
      <w:r>
        <w:rPr>
          <w:rFonts w:hint="eastAsia" w:hAnsi="宋体"/>
          <w:bCs/>
          <w:color w:val="auto"/>
          <w:sz w:val="24"/>
          <w:szCs w:val="24"/>
        </w:rPr>
        <w:t>：</w:t>
      </w:r>
      <w:r>
        <w:rPr>
          <w:rFonts w:hAnsi="宋体"/>
          <w:bCs/>
          <w:color w:val="auto"/>
          <w:sz w:val="24"/>
          <w:szCs w:val="24"/>
        </w:rPr>
        <w:t>联系电话</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rPr>
      </w:pPr>
      <w:r>
        <w:rPr>
          <w:rFonts w:hint="eastAsia" w:hAnsi="宋体"/>
          <w:bCs/>
          <w:color w:val="auto"/>
          <w:sz w:val="24"/>
          <w:szCs w:val="24"/>
        </w:rPr>
        <w:t>授权代表：</w:t>
      </w:r>
    </w:p>
    <w:p>
      <w:pPr>
        <w:pStyle w:val="24"/>
        <w:snapToGrid w:val="0"/>
        <w:spacing w:line="360" w:lineRule="auto"/>
        <w:ind w:firstLine="480" w:firstLineChars="200"/>
        <w:rPr>
          <w:rFonts w:hAnsi="宋体"/>
          <w:bCs/>
          <w:color w:val="auto"/>
          <w:sz w:val="24"/>
          <w:szCs w:val="24"/>
          <w:u w:val="single"/>
        </w:rPr>
      </w:pPr>
      <w:r>
        <w:rPr>
          <w:rFonts w:hAnsi="宋体"/>
          <w:bCs/>
          <w:color w:val="auto"/>
          <w:sz w:val="24"/>
          <w:szCs w:val="24"/>
        </w:rPr>
        <w:t>联系</w:t>
      </w:r>
      <w:r>
        <w:rPr>
          <w:rFonts w:hint="eastAsia" w:hAnsi="宋体"/>
          <w:bCs/>
          <w:color w:val="auto"/>
          <w:sz w:val="24"/>
          <w:szCs w:val="24"/>
        </w:rPr>
        <w:t>电话：</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地址</w:t>
      </w:r>
      <w:r>
        <w:rPr>
          <w:rFonts w:hint="eastAsia" w:hAnsi="宋体"/>
          <w:bCs/>
          <w:color w:val="auto"/>
          <w:sz w:val="24"/>
          <w:szCs w:val="24"/>
        </w:rPr>
        <w:t>：</w:t>
      </w:r>
      <w:r>
        <w:rPr>
          <w:rFonts w:hAnsi="宋体"/>
          <w:bCs/>
          <w:color w:val="auto"/>
          <w:sz w:val="24"/>
          <w:szCs w:val="24"/>
        </w:rPr>
        <w:t>邮编</w:t>
      </w:r>
      <w:r>
        <w:rPr>
          <w:rFonts w:hint="eastAsia" w:hAnsi="宋体"/>
          <w:bCs/>
          <w:color w:val="auto"/>
          <w:sz w:val="24"/>
          <w:szCs w:val="24"/>
        </w:rPr>
        <w:t>：</w:t>
      </w:r>
    </w:p>
    <w:p>
      <w:pPr>
        <w:pStyle w:val="24"/>
        <w:snapToGrid w:val="0"/>
        <w:spacing w:line="360" w:lineRule="auto"/>
        <w:ind w:firstLine="482" w:firstLineChars="200"/>
        <w:rPr>
          <w:rFonts w:hAnsi="宋体"/>
          <w:b/>
          <w:bCs/>
          <w:color w:val="auto"/>
          <w:sz w:val="24"/>
          <w:szCs w:val="24"/>
        </w:rPr>
      </w:pPr>
      <w:r>
        <w:rPr>
          <w:rFonts w:hint="eastAsia" w:hAnsi="宋体"/>
          <w:b/>
          <w:bCs/>
          <w:color w:val="auto"/>
          <w:sz w:val="24"/>
          <w:szCs w:val="24"/>
        </w:rPr>
        <w:t>二、质疑项目基本情况：</w:t>
      </w:r>
    </w:p>
    <w:p>
      <w:pPr>
        <w:pStyle w:val="24"/>
        <w:spacing w:line="360" w:lineRule="auto"/>
        <w:ind w:left="25" w:leftChars="12" w:firstLine="472" w:firstLineChars="197"/>
        <w:rPr>
          <w:rFonts w:hAnsi="宋体"/>
          <w:color w:val="auto"/>
          <w:sz w:val="24"/>
          <w:szCs w:val="24"/>
        </w:rPr>
      </w:pPr>
      <w:r>
        <w:rPr>
          <w:rFonts w:hint="eastAsia" w:hAnsi="宋体"/>
          <w:bCs/>
          <w:color w:val="auto"/>
          <w:sz w:val="24"/>
          <w:szCs w:val="24"/>
        </w:rPr>
        <w:t>质疑</w:t>
      </w:r>
      <w:r>
        <w:rPr>
          <w:rFonts w:hint="eastAsia" w:hAnsi="宋体"/>
          <w:color w:val="auto"/>
          <w:sz w:val="24"/>
          <w:szCs w:val="24"/>
        </w:rPr>
        <w:t>项目的名称：</w:t>
      </w:r>
    </w:p>
    <w:p>
      <w:pPr>
        <w:pStyle w:val="24"/>
        <w:spacing w:line="360" w:lineRule="auto"/>
        <w:ind w:left="25" w:leftChars="12" w:firstLine="472" w:firstLineChars="197"/>
        <w:rPr>
          <w:rFonts w:hAnsi="宋体"/>
          <w:color w:val="auto"/>
          <w:sz w:val="24"/>
          <w:szCs w:val="24"/>
        </w:rPr>
      </w:pPr>
      <w:r>
        <w:rPr>
          <w:rFonts w:hint="eastAsia" w:hAnsi="宋体"/>
          <w:bCs/>
          <w:color w:val="auto"/>
          <w:sz w:val="24"/>
          <w:szCs w:val="24"/>
        </w:rPr>
        <w:t>质疑</w:t>
      </w:r>
      <w:r>
        <w:rPr>
          <w:rFonts w:hint="eastAsia" w:hAnsi="宋体"/>
          <w:color w:val="auto"/>
          <w:sz w:val="24"/>
          <w:szCs w:val="24"/>
        </w:rPr>
        <w:t>项目的编号：</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采购人名称：</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质疑事项：</w:t>
      </w:r>
    </w:p>
    <w:p>
      <w:pPr>
        <w:pStyle w:val="24"/>
        <w:spacing w:line="360" w:lineRule="auto"/>
        <w:ind w:left="25" w:leftChars="12" w:firstLine="352" w:firstLineChars="147"/>
        <w:rPr>
          <w:rFonts w:hAnsi="宋体"/>
          <w:color w:val="auto"/>
          <w:sz w:val="24"/>
          <w:szCs w:val="24"/>
        </w:rPr>
      </w:pPr>
      <w:r>
        <w:rPr>
          <w:rFonts w:hint="eastAsia" w:hAnsi="宋体"/>
          <w:color w:val="auto"/>
          <w:sz w:val="24"/>
          <w:szCs w:val="24"/>
        </w:rPr>
        <w:t xml:space="preserve">□采购文件   </w:t>
      </w:r>
      <w:r>
        <w:rPr>
          <w:rFonts w:hint="eastAsia" w:hAnsi="宋体"/>
          <w:color w:val="auto"/>
          <w:sz w:val="24"/>
          <w:szCs w:val="24"/>
          <w:lang w:val="en-US" w:eastAsia="zh-CN"/>
        </w:rPr>
        <w:t xml:space="preserve">       </w:t>
      </w:r>
      <w:r>
        <w:rPr>
          <w:rFonts w:hint="eastAsia" w:hAnsi="宋体"/>
          <w:color w:val="auto"/>
          <w:sz w:val="24"/>
          <w:szCs w:val="24"/>
        </w:rPr>
        <w:t>采购文件获取日期：</w:t>
      </w:r>
    </w:p>
    <w:p>
      <w:pPr>
        <w:pStyle w:val="24"/>
        <w:spacing w:line="360" w:lineRule="auto"/>
        <w:ind w:left="25" w:leftChars="12" w:firstLine="352" w:firstLineChars="147"/>
        <w:rPr>
          <w:rFonts w:hAnsi="宋体"/>
          <w:color w:val="auto"/>
          <w:sz w:val="24"/>
          <w:szCs w:val="24"/>
        </w:rPr>
      </w:pPr>
      <w:r>
        <w:rPr>
          <w:rFonts w:hint="eastAsia" w:hAnsi="宋体"/>
          <w:color w:val="auto"/>
          <w:sz w:val="24"/>
          <w:szCs w:val="24"/>
        </w:rPr>
        <w:t xml:space="preserve">□采购过程   </w:t>
      </w:r>
    </w:p>
    <w:p>
      <w:pPr>
        <w:pStyle w:val="24"/>
        <w:spacing w:line="360" w:lineRule="auto"/>
        <w:ind w:left="25" w:leftChars="12" w:firstLine="352" w:firstLineChars="147"/>
        <w:rPr>
          <w:rFonts w:hAnsi="宋体"/>
          <w:bCs/>
          <w:color w:val="auto"/>
          <w:sz w:val="24"/>
          <w:szCs w:val="24"/>
          <w:u w:val="single"/>
        </w:rPr>
      </w:pPr>
      <w:r>
        <w:rPr>
          <w:rFonts w:hint="eastAsia" w:hAnsi="宋体"/>
          <w:color w:val="auto"/>
          <w:sz w:val="24"/>
          <w:szCs w:val="24"/>
        </w:rPr>
        <w:t xml:space="preserve">□成交结果   </w:t>
      </w:r>
    </w:p>
    <w:p>
      <w:pPr>
        <w:pStyle w:val="24"/>
        <w:spacing w:line="360" w:lineRule="auto"/>
        <w:ind w:left="25" w:leftChars="12" w:firstLine="472" w:firstLineChars="196"/>
        <w:rPr>
          <w:rFonts w:hAnsi="宋体"/>
          <w:b/>
          <w:color w:val="auto"/>
          <w:sz w:val="24"/>
          <w:szCs w:val="24"/>
        </w:rPr>
      </w:pPr>
      <w:r>
        <w:rPr>
          <w:rFonts w:hint="eastAsia" w:hAnsi="宋体"/>
          <w:b/>
          <w:color w:val="auto"/>
          <w:sz w:val="24"/>
          <w:szCs w:val="24"/>
        </w:rPr>
        <w:t>三、质疑事项具体内容</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质疑事项1：</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事实依据：</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法律依据：</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质疑事项2</w:t>
      </w:r>
    </w:p>
    <w:p>
      <w:pPr>
        <w:pStyle w:val="24"/>
        <w:spacing w:line="360" w:lineRule="auto"/>
        <w:ind w:left="25" w:leftChars="12" w:firstLine="472" w:firstLineChars="197"/>
        <w:rPr>
          <w:rFonts w:hAnsi="宋体"/>
          <w:color w:val="auto"/>
          <w:sz w:val="24"/>
          <w:szCs w:val="24"/>
        </w:rPr>
      </w:pPr>
      <w:r>
        <w:rPr>
          <w:rFonts w:hAnsi="宋体"/>
          <w:color w:val="auto"/>
          <w:sz w:val="24"/>
          <w:szCs w:val="24"/>
        </w:rPr>
        <w:t>……</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四、与质疑事项相关的质疑请求：</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请求：</w:t>
      </w:r>
    </w:p>
    <w:p>
      <w:pPr>
        <w:pStyle w:val="24"/>
        <w:spacing w:line="360" w:lineRule="auto"/>
        <w:ind w:left="25" w:leftChars="12" w:firstLine="352" w:firstLineChars="147"/>
        <w:rPr>
          <w:rFonts w:hAnsi="宋体"/>
          <w:color w:val="auto"/>
          <w:sz w:val="24"/>
          <w:szCs w:val="24"/>
        </w:rPr>
      </w:pP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签字（签章）：                                       公章：</w:t>
      </w:r>
    </w:p>
    <w:p>
      <w:pPr>
        <w:pStyle w:val="24"/>
        <w:spacing w:line="360" w:lineRule="auto"/>
        <w:ind w:left="25" w:leftChars="12" w:firstLine="352" w:firstLineChars="147"/>
        <w:rPr>
          <w:rFonts w:hAnsi="宋体"/>
          <w:color w:val="auto"/>
          <w:sz w:val="24"/>
          <w:szCs w:val="24"/>
        </w:rPr>
      </w:pP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日期：</w:t>
      </w:r>
    </w:p>
    <w:p>
      <w:pPr>
        <w:pStyle w:val="24"/>
        <w:snapToGrid w:val="0"/>
        <w:spacing w:line="360" w:lineRule="auto"/>
        <w:rPr>
          <w:rFonts w:hAnsi="宋体"/>
          <w:b/>
          <w:color w:val="auto"/>
          <w:sz w:val="24"/>
          <w:szCs w:val="24"/>
        </w:rPr>
      </w:pPr>
    </w:p>
    <w:p>
      <w:pPr>
        <w:pStyle w:val="24"/>
        <w:snapToGrid w:val="0"/>
        <w:spacing w:line="360" w:lineRule="auto"/>
        <w:rPr>
          <w:rFonts w:hAnsi="宋体"/>
          <w:b/>
          <w:color w:val="auto"/>
          <w:sz w:val="24"/>
          <w:szCs w:val="24"/>
        </w:rPr>
      </w:pPr>
    </w:p>
    <w:p>
      <w:pPr>
        <w:pStyle w:val="24"/>
        <w:snapToGrid w:val="0"/>
        <w:spacing w:line="360" w:lineRule="auto"/>
        <w:rPr>
          <w:rFonts w:hAnsi="宋体"/>
          <w:b/>
          <w:color w:val="auto"/>
          <w:sz w:val="24"/>
          <w:szCs w:val="24"/>
        </w:rPr>
      </w:pPr>
      <w:r>
        <w:rPr>
          <w:rFonts w:hint="eastAsia" w:hAnsi="宋体"/>
          <w:b/>
          <w:color w:val="auto"/>
          <w:sz w:val="24"/>
          <w:szCs w:val="24"/>
        </w:rPr>
        <w:t>说明：</w:t>
      </w:r>
    </w:p>
    <w:p>
      <w:pPr>
        <w:pStyle w:val="24"/>
        <w:spacing w:line="360" w:lineRule="auto"/>
        <w:ind w:left="25" w:leftChars="12" w:firstLine="354" w:firstLineChars="147"/>
        <w:rPr>
          <w:rFonts w:hAnsi="宋体"/>
          <w:b/>
          <w:bCs/>
          <w:color w:val="auto"/>
          <w:sz w:val="24"/>
          <w:szCs w:val="24"/>
        </w:rPr>
      </w:pPr>
      <w:r>
        <w:rPr>
          <w:rFonts w:hint="eastAsia" w:hAnsi="宋体"/>
          <w:b/>
          <w:color w:val="auto"/>
          <w:sz w:val="24"/>
          <w:szCs w:val="24"/>
        </w:rPr>
        <w:t>1.供应商提出质疑时，应提交质疑函和必要的证明材料</w:t>
      </w:r>
      <w:r>
        <w:rPr>
          <w:rFonts w:hint="eastAsia" w:hAnsi="宋体"/>
          <w:b/>
          <w:bCs/>
          <w:color w:val="auto"/>
          <w:sz w:val="24"/>
          <w:szCs w:val="24"/>
        </w:rPr>
        <w:t>。</w:t>
      </w:r>
    </w:p>
    <w:p>
      <w:pPr>
        <w:pStyle w:val="24"/>
        <w:spacing w:line="360" w:lineRule="auto"/>
        <w:ind w:left="25" w:leftChars="12" w:firstLine="354" w:firstLineChars="147"/>
        <w:rPr>
          <w:rFonts w:hAnsi="宋体"/>
          <w:b/>
          <w:color w:val="auto"/>
          <w:sz w:val="24"/>
          <w:szCs w:val="24"/>
        </w:rPr>
      </w:pPr>
      <w:r>
        <w:rPr>
          <w:rFonts w:hint="eastAsia" w:hAnsi="宋体"/>
          <w:b/>
          <w:color w:val="auto"/>
          <w:sz w:val="24"/>
          <w:szCs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24"/>
        <w:spacing w:line="360" w:lineRule="auto"/>
        <w:ind w:left="25" w:leftChars="12" w:firstLine="354" w:firstLineChars="147"/>
        <w:rPr>
          <w:rFonts w:hAnsi="宋体"/>
          <w:b/>
          <w:color w:val="auto"/>
          <w:sz w:val="24"/>
          <w:szCs w:val="24"/>
        </w:rPr>
      </w:pPr>
      <w:r>
        <w:rPr>
          <w:rFonts w:hint="eastAsia" w:hAnsi="宋体"/>
          <w:b/>
          <w:color w:val="auto"/>
          <w:sz w:val="24"/>
          <w:szCs w:val="24"/>
        </w:rPr>
        <w:t>3.质疑函的质疑事项应具体、明确，并有必要的事实依据和法律依据。</w:t>
      </w:r>
    </w:p>
    <w:p>
      <w:pPr>
        <w:pStyle w:val="24"/>
        <w:spacing w:line="360" w:lineRule="auto"/>
        <w:ind w:left="25" w:leftChars="12" w:firstLine="354" w:firstLineChars="147"/>
        <w:rPr>
          <w:rFonts w:hAnsi="宋体"/>
          <w:b/>
          <w:color w:val="auto"/>
          <w:sz w:val="24"/>
          <w:szCs w:val="24"/>
        </w:rPr>
      </w:pPr>
      <w:r>
        <w:rPr>
          <w:rFonts w:hint="eastAsia" w:hAnsi="宋体"/>
          <w:b/>
          <w:color w:val="auto"/>
          <w:sz w:val="24"/>
          <w:szCs w:val="24"/>
        </w:rPr>
        <w:t>4.质疑函的质疑请求应与质疑事项相关。</w:t>
      </w:r>
    </w:p>
    <w:p>
      <w:pPr>
        <w:pStyle w:val="24"/>
        <w:spacing w:line="360" w:lineRule="auto"/>
        <w:ind w:left="25" w:leftChars="12" w:firstLine="354" w:firstLineChars="147"/>
        <w:rPr>
          <w:rFonts w:hAnsi="宋体"/>
          <w:b/>
          <w:color w:val="auto"/>
        </w:rPr>
      </w:pPr>
      <w:r>
        <w:rPr>
          <w:rFonts w:hint="eastAsia" w:hAnsi="宋体"/>
          <w:b/>
          <w:color w:val="auto"/>
          <w:sz w:val="24"/>
          <w:szCs w:val="24"/>
        </w:rPr>
        <w:t>5.质疑供应商为法人或者其他组织的，质疑函应由法定代表人、主要负责人，或者其授权代表签字或者盖章，并加盖公章。</w:t>
      </w:r>
    </w:p>
    <w:p>
      <w:pPr>
        <w:pStyle w:val="24"/>
        <w:snapToGrid w:val="0"/>
        <w:rPr>
          <w:b/>
          <w:color w:val="auto"/>
          <w:sz w:val="24"/>
          <w:szCs w:val="24"/>
        </w:rPr>
      </w:pPr>
    </w:p>
    <w:p>
      <w:pPr>
        <w:spacing w:line="460" w:lineRule="exact"/>
        <w:jc w:val="center"/>
        <w:rPr>
          <w:rFonts w:eastAsia="隶书"/>
          <w:color w:val="auto"/>
          <w:sz w:val="44"/>
        </w:rPr>
      </w:pPr>
      <w:r>
        <w:rPr>
          <w:rFonts w:eastAsia="隶书"/>
          <w:color w:val="auto"/>
          <w:sz w:val="44"/>
        </w:rPr>
        <w:br w:type="page"/>
      </w:r>
    </w:p>
    <w:p>
      <w:pPr>
        <w:spacing w:line="360" w:lineRule="auto"/>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投诉书（格式）</w:t>
      </w:r>
    </w:p>
    <w:p>
      <w:pPr>
        <w:pStyle w:val="24"/>
        <w:snapToGrid w:val="0"/>
        <w:spacing w:line="360" w:lineRule="auto"/>
        <w:ind w:firstLine="482" w:firstLineChars="200"/>
        <w:rPr>
          <w:rFonts w:hAnsi="宋体"/>
          <w:b/>
          <w:bCs/>
          <w:color w:val="auto"/>
          <w:sz w:val="24"/>
          <w:szCs w:val="24"/>
        </w:rPr>
      </w:pPr>
      <w:r>
        <w:rPr>
          <w:rFonts w:hint="eastAsia" w:hAnsi="宋体"/>
          <w:b/>
          <w:bCs/>
          <w:color w:val="auto"/>
          <w:sz w:val="24"/>
          <w:szCs w:val="24"/>
        </w:rPr>
        <w:t>一、投诉相关主体基本情况：</w:t>
      </w:r>
    </w:p>
    <w:p>
      <w:pPr>
        <w:pStyle w:val="24"/>
        <w:snapToGrid w:val="0"/>
        <w:spacing w:line="360" w:lineRule="auto"/>
        <w:ind w:firstLine="480" w:firstLineChars="200"/>
        <w:rPr>
          <w:rFonts w:hAnsi="宋体"/>
          <w:bCs/>
          <w:color w:val="auto"/>
          <w:sz w:val="24"/>
          <w:szCs w:val="24"/>
          <w:u w:val="single"/>
        </w:rPr>
      </w:pPr>
      <w:r>
        <w:rPr>
          <w:rFonts w:hint="eastAsia" w:hAnsi="宋体"/>
          <w:bCs/>
          <w:color w:val="auto"/>
          <w:sz w:val="24"/>
          <w:szCs w:val="24"/>
        </w:rPr>
        <w:t>供应商：</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地址</w:t>
      </w:r>
      <w:r>
        <w:rPr>
          <w:rFonts w:hint="eastAsia" w:hAnsi="宋体"/>
          <w:bCs/>
          <w:color w:val="auto"/>
          <w:sz w:val="24"/>
          <w:szCs w:val="24"/>
        </w:rPr>
        <w:t>：</w:t>
      </w:r>
      <w:r>
        <w:rPr>
          <w:rFonts w:hAnsi="宋体"/>
          <w:bCs/>
          <w:color w:val="auto"/>
          <w:sz w:val="24"/>
          <w:szCs w:val="24"/>
        </w:rPr>
        <w:t>邮编</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u w:val="single"/>
        </w:rPr>
      </w:pPr>
      <w:r>
        <w:rPr>
          <w:rFonts w:hint="eastAsia" w:hAnsi="宋体"/>
          <w:bCs/>
          <w:color w:val="auto"/>
          <w:sz w:val="24"/>
          <w:szCs w:val="24"/>
        </w:rPr>
        <w:t>法定代表人/主要负责人：</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联系电话</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u w:val="single"/>
        </w:rPr>
      </w:pPr>
      <w:r>
        <w:rPr>
          <w:rFonts w:hint="eastAsia" w:hAnsi="宋体"/>
          <w:bCs/>
          <w:color w:val="auto"/>
          <w:sz w:val="24"/>
          <w:szCs w:val="24"/>
        </w:rPr>
        <w:t>授权代表：</w:t>
      </w:r>
      <w:r>
        <w:rPr>
          <w:rFonts w:hAnsi="宋体"/>
          <w:bCs/>
          <w:color w:val="auto"/>
          <w:sz w:val="24"/>
          <w:szCs w:val="24"/>
        </w:rPr>
        <w:t>联系</w:t>
      </w:r>
      <w:r>
        <w:rPr>
          <w:rFonts w:hint="eastAsia" w:hAnsi="宋体"/>
          <w:bCs/>
          <w:color w:val="auto"/>
          <w:sz w:val="24"/>
          <w:szCs w:val="24"/>
        </w:rPr>
        <w:t>电话：</w:t>
      </w:r>
    </w:p>
    <w:p>
      <w:pPr>
        <w:pStyle w:val="24"/>
        <w:snapToGrid w:val="0"/>
        <w:spacing w:line="360" w:lineRule="auto"/>
        <w:ind w:firstLine="480" w:firstLineChars="200"/>
        <w:rPr>
          <w:rFonts w:hAnsi="宋体"/>
          <w:bCs/>
          <w:color w:val="auto"/>
          <w:sz w:val="24"/>
          <w:szCs w:val="24"/>
          <w:u w:val="single"/>
        </w:rPr>
      </w:pPr>
      <w:r>
        <w:rPr>
          <w:rFonts w:hAnsi="宋体"/>
          <w:bCs/>
          <w:color w:val="auto"/>
          <w:sz w:val="24"/>
          <w:szCs w:val="24"/>
        </w:rPr>
        <w:t>地址</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邮编</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rPr>
      </w:pPr>
      <w:r>
        <w:rPr>
          <w:rFonts w:hint="eastAsia" w:hAnsi="宋体"/>
          <w:bCs/>
          <w:color w:val="auto"/>
          <w:sz w:val="24"/>
          <w:szCs w:val="24"/>
        </w:rPr>
        <w:t>被投诉人1：</w:t>
      </w:r>
    </w:p>
    <w:p>
      <w:pPr>
        <w:pStyle w:val="24"/>
        <w:snapToGrid w:val="0"/>
        <w:spacing w:line="360" w:lineRule="auto"/>
        <w:ind w:firstLine="480" w:firstLineChars="200"/>
        <w:rPr>
          <w:rFonts w:hAnsi="宋体"/>
          <w:bCs/>
          <w:color w:val="auto"/>
          <w:sz w:val="24"/>
          <w:szCs w:val="24"/>
          <w:u w:val="single"/>
        </w:rPr>
      </w:pPr>
      <w:r>
        <w:rPr>
          <w:rFonts w:hint="eastAsia" w:hAnsi="宋体"/>
          <w:bCs/>
          <w:color w:val="auto"/>
          <w:sz w:val="24"/>
          <w:szCs w:val="24"/>
        </w:rPr>
        <w:t>地址：</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邮编</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u w:val="single"/>
        </w:rPr>
      </w:pPr>
      <w:r>
        <w:rPr>
          <w:rFonts w:hint="eastAsia" w:hAnsi="宋体"/>
          <w:bCs/>
          <w:color w:val="auto"/>
          <w:sz w:val="24"/>
          <w:szCs w:val="24"/>
        </w:rPr>
        <w:t>联系人：</w:t>
      </w:r>
      <w:r>
        <w:rPr>
          <w:rFonts w:hAnsi="宋体"/>
          <w:bCs/>
          <w:color w:val="auto"/>
          <w:sz w:val="24"/>
          <w:szCs w:val="24"/>
        </w:rPr>
        <w:t>联系</w:t>
      </w:r>
      <w:r>
        <w:rPr>
          <w:rFonts w:hint="eastAsia" w:hAnsi="宋体"/>
          <w:bCs/>
          <w:color w:val="auto"/>
          <w:sz w:val="24"/>
          <w:szCs w:val="24"/>
        </w:rPr>
        <w:t>电话：</w:t>
      </w:r>
    </w:p>
    <w:p>
      <w:pPr>
        <w:pStyle w:val="24"/>
        <w:snapToGrid w:val="0"/>
        <w:spacing w:line="360" w:lineRule="auto"/>
        <w:ind w:firstLine="480" w:firstLineChars="200"/>
        <w:rPr>
          <w:rFonts w:hAnsi="宋体"/>
          <w:bCs/>
          <w:color w:val="auto"/>
          <w:sz w:val="24"/>
          <w:szCs w:val="24"/>
        </w:rPr>
      </w:pPr>
      <w:r>
        <w:rPr>
          <w:rFonts w:hint="eastAsia" w:hAnsi="宋体"/>
          <w:bCs/>
          <w:color w:val="auto"/>
          <w:sz w:val="24"/>
          <w:szCs w:val="24"/>
        </w:rPr>
        <w:t>被投诉人2：</w:t>
      </w:r>
    </w:p>
    <w:p>
      <w:pPr>
        <w:pStyle w:val="24"/>
        <w:snapToGrid w:val="0"/>
        <w:spacing w:line="360" w:lineRule="auto"/>
        <w:ind w:firstLine="480" w:firstLineChars="200"/>
        <w:rPr>
          <w:rFonts w:hAnsi="宋体"/>
          <w:bCs/>
          <w:color w:val="auto"/>
          <w:sz w:val="24"/>
          <w:szCs w:val="24"/>
        </w:rPr>
      </w:pPr>
      <w:r>
        <w:rPr>
          <w:rFonts w:hAnsi="宋体"/>
          <w:bCs/>
          <w:color w:val="auto"/>
          <w:sz w:val="24"/>
          <w:szCs w:val="24"/>
        </w:rPr>
        <w:t>……</w:t>
      </w:r>
    </w:p>
    <w:p>
      <w:pPr>
        <w:pStyle w:val="24"/>
        <w:snapToGrid w:val="0"/>
        <w:spacing w:line="360" w:lineRule="auto"/>
        <w:ind w:firstLine="480" w:firstLineChars="200"/>
        <w:rPr>
          <w:rFonts w:hAnsi="宋体"/>
          <w:bCs/>
          <w:color w:val="auto"/>
          <w:sz w:val="24"/>
          <w:szCs w:val="24"/>
          <w:u w:val="single"/>
        </w:rPr>
      </w:pPr>
      <w:r>
        <w:rPr>
          <w:rFonts w:hint="eastAsia" w:hAnsi="宋体"/>
          <w:bCs/>
          <w:color w:val="auto"/>
          <w:sz w:val="24"/>
          <w:szCs w:val="24"/>
        </w:rPr>
        <w:t>相关供应商：</w:t>
      </w:r>
    </w:p>
    <w:p>
      <w:pPr>
        <w:pStyle w:val="24"/>
        <w:snapToGrid w:val="0"/>
        <w:spacing w:line="360" w:lineRule="auto"/>
        <w:ind w:firstLine="480" w:firstLineChars="200"/>
        <w:rPr>
          <w:rFonts w:hAnsi="宋体"/>
          <w:bCs/>
          <w:color w:val="auto"/>
          <w:sz w:val="24"/>
          <w:szCs w:val="24"/>
          <w:u w:val="single"/>
        </w:rPr>
      </w:pPr>
      <w:r>
        <w:rPr>
          <w:rFonts w:hAnsi="宋体"/>
          <w:bCs/>
          <w:color w:val="auto"/>
          <w:sz w:val="24"/>
          <w:szCs w:val="24"/>
        </w:rPr>
        <w:t>地址</w:t>
      </w:r>
      <w:r>
        <w:rPr>
          <w:rFonts w:hint="eastAsia" w:hAnsi="宋体"/>
          <w:bCs/>
          <w:color w:val="auto"/>
          <w:sz w:val="24"/>
          <w:szCs w:val="24"/>
        </w:rPr>
        <w:t>：</w:t>
      </w:r>
      <w:r>
        <w:rPr>
          <w:rFonts w:hAnsi="宋体"/>
          <w:bCs/>
          <w:color w:val="auto"/>
          <w:sz w:val="24"/>
          <w:szCs w:val="24"/>
        </w:rPr>
        <w:t>邮编</w:t>
      </w:r>
      <w:r>
        <w:rPr>
          <w:rFonts w:hint="eastAsia" w:hAnsi="宋体"/>
          <w:bCs/>
          <w:color w:val="auto"/>
          <w:sz w:val="24"/>
          <w:szCs w:val="24"/>
        </w:rPr>
        <w:t>：</w:t>
      </w:r>
    </w:p>
    <w:p>
      <w:pPr>
        <w:pStyle w:val="24"/>
        <w:snapToGrid w:val="0"/>
        <w:spacing w:line="360" w:lineRule="auto"/>
        <w:ind w:firstLine="480" w:firstLineChars="200"/>
        <w:rPr>
          <w:rFonts w:hAnsi="宋体"/>
          <w:bCs/>
          <w:color w:val="auto"/>
          <w:sz w:val="24"/>
          <w:szCs w:val="24"/>
        </w:rPr>
      </w:pPr>
      <w:r>
        <w:rPr>
          <w:rFonts w:hint="eastAsia" w:hAnsi="宋体"/>
          <w:bCs/>
          <w:color w:val="auto"/>
          <w:sz w:val="24"/>
          <w:szCs w:val="24"/>
        </w:rPr>
        <w:t>联系人：</w:t>
      </w:r>
      <w:r>
        <w:rPr>
          <w:rFonts w:hAnsi="宋体"/>
          <w:bCs/>
          <w:color w:val="auto"/>
          <w:sz w:val="24"/>
          <w:szCs w:val="24"/>
        </w:rPr>
        <w:t>联系</w:t>
      </w:r>
      <w:r>
        <w:rPr>
          <w:rFonts w:hint="eastAsia" w:hAnsi="宋体"/>
          <w:bCs/>
          <w:color w:val="auto"/>
          <w:sz w:val="24"/>
          <w:szCs w:val="24"/>
        </w:rPr>
        <w:t>电话：</w:t>
      </w:r>
    </w:p>
    <w:p>
      <w:pPr>
        <w:pStyle w:val="24"/>
        <w:snapToGrid w:val="0"/>
        <w:spacing w:line="360" w:lineRule="auto"/>
        <w:ind w:firstLine="482" w:firstLineChars="200"/>
        <w:rPr>
          <w:rFonts w:hAnsi="宋体"/>
          <w:b/>
          <w:bCs/>
          <w:color w:val="auto"/>
          <w:sz w:val="24"/>
          <w:szCs w:val="24"/>
        </w:rPr>
      </w:pPr>
      <w:r>
        <w:rPr>
          <w:rFonts w:hint="eastAsia" w:hAnsi="宋体"/>
          <w:b/>
          <w:bCs/>
          <w:color w:val="auto"/>
          <w:sz w:val="24"/>
          <w:szCs w:val="24"/>
        </w:rPr>
        <w:t>二、投诉项目基本情况：</w:t>
      </w:r>
    </w:p>
    <w:p>
      <w:pPr>
        <w:pStyle w:val="24"/>
        <w:spacing w:line="360" w:lineRule="auto"/>
        <w:ind w:left="25" w:leftChars="12" w:firstLine="472" w:firstLineChars="197"/>
        <w:rPr>
          <w:rFonts w:hAnsi="宋体"/>
          <w:color w:val="auto"/>
          <w:sz w:val="24"/>
          <w:szCs w:val="24"/>
        </w:rPr>
      </w:pPr>
      <w:r>
        <w:rPr>
          <w:rFonts w:hint="eastAsia" w:hAnsi="宋体"/>
          <w:bCs/>
          <w:color w:val="auto"/>
          <w:sz w:val="24"/>
          <w:szCs w:val="24"/>
        </w:rPr>
        <w:t>采购</w:t>
      </w:r>
      <w:r>
        <w:rPr>
          <w:rFonts w:hint="eastAsia" w:hAnsi="宋体"/>
          <w:color w:val="auto"/>
          <w:sz w:val="24"/>
          <w:szCs w:val="24"/>
        </w:rPr>
        <w:t>项目的名称：</w:t>
      </w:r>
    </w:p>
    <w:p>
      <w:pPr>
        <w:pStyle w:val="24"/>
        <w:spacing w:line="360" w:lineRule="auto"/>
        <w:ind w:left="25" w:leftChars="12" w:firstLine="472" w:firstLineChars="197"/>
        <w:rPr>
          <w:rFonts w:hAnsi="宋体"/>
          <w:color w:val="auto"/>
          <w:sz w:val="24"/>
          <w:szCs w:val="24"/>
        </w:rPr>
      </w:pPr>
      <w:r>
        <w:rPr>
          <w:rFonts w:hint="eastAsia" w:hAnsi="宋体"/>
          <w:bCs/>
          <w:color w:val="auto"/>
          <w:sz w:val="24"/>
          <w:szCs w:val="24"/>
        </w:rPr>
        <w:t>采购</w:t>
      </w:r>
      <w:r>
        <w:rPr>
          <w:rFonts w:hint="eastAsia" w:hAnsi="宋体"/>
          <w:color w:val="auto"/>
          <w:sz w:val="24"/>
          <w:szCs w:val="24"/>
        </w:rPr>
        <w:t>项目的编号：</w:t>
      </w:r>
    </w:p>
    <w:p>
      <w:pPr>
        <w:pStyle w:val="24"/>
        <w:spacing w:line="360" w:lineRule="auto"/>
        <w:ind w:left="25" w:leftChars="12" w:firstLine="472" w:firstLineChars="197"/>
        <w:rPr>
          <w:rFonts w:hAnsi="宋体"/>
          <w:bCs/>
          <w:color w:val="auto"/>
          <w:sz w:val="24"/>
          <w:szCs w:val="24"/>
          <w:u w:val="single"/>
        </w:rPr>
      </w:pPr>
      <w:r>
        <w:rPr>
          <w:rFonts w:hint="eastAsia" w:hAnsi="宋体"/>
          <w:color w:val="auto"/>
          <w:sz w:val="24"/>
          <w:szCs w:val="24"/>
        </w:rPr>
        <w:t>采购人名称：</w:t>
      </w:r>
    </w:p>
    <w:p>
      <w:pPr>
        <w:pStyle w:val="24"/>
        <w:spacing w:line="360" w:lineRule="auto"/>
        <w:ind w:left="25" w:leftChars="12" w:firstLine="472" w:firstLineChars="197"/>
        <w:rPr>
          <w:rFonts w:hAnsi="宋体"/>
          <w:bCs/>
          <w:color w:val="auto"/>
          <w:sz w:val="24"/>
          <w:szCs w:val="24"/>
          <w:u w:val="single"/>
        </w:rPr>
      </w:pPr>
      <w:r>
        <w:rPr>
          <w:rFonts w:hint="eastAsia" w:hAnsi="宋体"/>
          <w:color w:val="auto"/>
          <w:sz w:val="24"/>
          <w:szCs w:val="24"/>
        </w:rPr>
        <w:t>代理机构名称：</w:t>
      </w:r>
    </w:p>
    <w:p>
      <w:pPr>
        <w:pStyle w:val="24"/>
        <w:spacing w:line="360" w:lineRule="auto"/>
        <w:ind w:left="25" w:leftChars="12" w:firstLine="472" w:firstLineChars="197"/>
        <w:rPr>
          <w:rFonts w:hAnsi="宋体"/>
          <w:bCs/>
          <w:color w:val="auto"/>
          <w:sz w:val="24"/>
          <w:szCs w:val="24"/>
          <w:u w:val="single"/>
        </w:rPr>
      </w:pPr>
      <w:r>
        <w:rPr>
          <w:rFonts w:hint="eastAsia" w:hAnsi="宋体"/>
          <w:bCs/>
          <w:color w:val="auto"/>
          <w:sz w:val="24"/>
          <w:szCs w:val="24"/>
        </w:rPr>
        <w:t>采购文件公告：</w:t>
      </w:r>
      <w:r>
        <w:rPr>
          <w:rFonts w:hint="eastAsia" w:hAnsi="宋体"/>
          <w:bCs/>
          <w:color w:val="auto"/>
          <w:sz w:val="24"/>
          <w:szCs w:val="24"/>
          <w:u w:val="single"/>
        </w:rPr>
        <w:t>是/否</w:t>
      </w:r>
      <w:r>
        <w:rPr>
          <w:rFonts w:hint="eastAsia" w:hAnsi="宋体"/>
          <w:bCs/>
          <w:color w:val="auto"/>
          <w:sz w:val="24"/>
          <w:szCs w:val="24"/>
        </w:rPr>
        <w:t>公告期限：</w:t>
      </w:r>
    </w:p>
    <w:p>
      <w:pPr>
        <w:pStyle w:val="24"/>
        <w:spacing w:line="360" w:lineRule="auto"/>
        <w:ind w:left="25" w:leftChars="12" w:firstLine="472" w:firstLineChars="197"/>
        <w:rPr>
          <w:rFonts w:hAnsi="宋体"/>
          <w:b/>
          <w:color w:val="auto"/>
          <w:sz w:val="24"/>
          <w:szCs w:val="24"/>
        </w:rPr>
      </w:pPr>
      <w:r>
        <w:rPr>
          <w:rFonts w:hint="eastAsia" w:hAnsi="宋体"/>
          <w:bCs/>
          <w:color w:val="auto"/>
          <w:sz w:val="24"/>
          <w:szCs w:val="24"/>
        </w:rPr>
        <w:t>采购结果公告：</w:t>
      </w:r>
      <w:r>
        <w:rPr>
          <w:rFonts w:hint="eastAsia" w:hAnsi="宋体"/>
          <w:bCs/>
          <w:color w:val="auto"/>
          <w:sz w:val="24"/>
          <w:szCs w:val="24"/>
          <w:u w:val="single"/>
        </w:rPr>
        <w:t>是/否</w:t>
      </w:r>
      <w:r>
        <w:rPr>
          <w:rFonts w:hint="eastAsia" w:hAnsi="宋体"/>
          <w:bCs/>
          <w:color w:val="auto"/>
          <w:sz w:val="24"/>
          <w:szCs w:val="24"/>
        </w:rPr>
        <w:t>公告期限：</w:t>
      </w:r>
    </w:p>
    <w:p>
      <w:pPr>
        <w:pStyle w:val="24"/>
        <w:spacing w:line="360" w:lineRule="auto"/>
        <w:ind w:left="25" w:leftChars="12" w:firstLine="472" w:firstLineChars="196"/>
        <w:rPr>
          <w:rFonts w:hAnsi="宋体"/>
          <w:b/>
          <w:color w:val="auto"/>
          <w:sz w:val="24"/>
          <w:szCs w:val="24"/>
        </w:rPr>
      </w:pPr>
      <w:r>
        <w:rPr>
          <w:rFonts w:hint="eastAsia" w:hAnsi="宋体"/>
          <w:b/>
          <w:color w:val="auto"/>
          <w:sz w:val="24"/>
          <w:szCs w:val="24"/>
        </w:rPr>
        <w:t>三、质疑基本情况</w:t>
      </w:r>
    </w:p>
    <w:p>
      <w:pPr>
        <w:pStyle w:val="24"/>
        <w:spacing w:line="360" w:lineRule="auto"/>
        <w:ind w:left="25" w:leftChars="12" w:firstLine="480" w:firstLineChars="200"/>
        <w:rPr>
          <w:rFonts w:hAnsi="宋体"/>
          <w:color w:val="auto"/>
          <w:sz w:val="24"/>
          <w:szCs w:val="24"/>
        </w:rPr>
      </w:pPr>
      <w:r>
        <w:rPr>
          <w:rFonts w:hint="eastAsia" w:hAnsi="宋体"/>
          <w:color w:val="auto"/>
          <w:sz w:val="24"/>
          <w:szCs w:val="24"/>
        </w:rPr>
        <w:t>投诉人于年月日，向提出质疑，质疑事项为：</w:t>
      </w:r>
    </w:p>
    <w:p>
      <w:pPr>
        <w:pStyle w:val="24"/>
        <w:spacing w:line="360" w:lineRule="auto"/>
        <w:ind w:firstLine="241"/>
        <w:rPr>
          <w:rFonts w:hAnsi="宋体"/>
          <w:bCs/>
          <w:color w:val="auto"/>
          <w:sz w:val="24"/>
          <w:szCs w:val="24"/>
          <w:u w:val="single"/>
        </w:rPr>
      </w:pPr>
    </w:p>
    <w:p>
      <w:pPr>
        <w:pStyle w:val="24"/>
        <w:spacing w:line="360" w:lineRule="auto"/>
        <w:ind w:firstLine="241"/>
        <w:rPr>
          <w:rFonts w:hAnsi="宋体"/>
          <w:bCs/>
          <w:color w:val="auto"/>
          <w:sz w:val="24"/>
          <w:szCs w:val="24"/>
          <w:u w:val="single"/>
        </w:rPr>
      </w:pPr>
    </w:p>
    <w:p>
      <w:pPr>
        <w:pStyle w:val="24"/>
        <w:spacing w:line="360" w:lineRule="auto"/>
        <w:ind w:firstLine="241"/>
        <w:rPr>
          <w:rFonts w:hAnsi="宋体"/>
          <w:color w:val="auto"/>
          <w:sz w:val="24"/>
          <w:szCs w:val="24"/>
        </w:rPr>
      </w:pPr>
      <w:r>
        <w:rPr>
          <w:rFonts w:hint="eastAsia" w:hAnsi="宋体"/>
          <w:bCs/>
          <w:color w:val="auto"/>
          <w:sz w:val="24"/>
          <w:szCs w:val="24"/>
          <w:u w:val="single"/>
        </w:rPr>
        <w:t>采购人/代理机构</w:t>
      </w:r>
      <w:r>
        <w:rPr>
          <w:rFonts w:hint="eastAsia" w:hAnsi="宋体"/>
          <w:bCs/>
          <w:color w:val="auto"/>
          <w:sz w:val="24"/>
          <w:szCs w:val="24"/>
        </w:rPr>
        <w:t>于</w:t>
      </w:r>
      <w:r>
        <w:rPr>
          <w:rFonts w:hint="eastAsia" w:hAnsi="宋体"/>
          <w:color w:val="auto"/>
          <w:sz w:val="24"/>
          <w:szCs w:val="24"/>
        </w:rPr>
        <w:t>年月日，</w:t>
      </w:r>
      <w:r>
        <w:rPr>
          <w:rFonts w:hint="eastAsia" w:hAnsi="宋体"/>
          <w:bCs/>
          <w:color w:val="auto"/>
          <w:sz w:val="24"/>
          <w:szCs w:val="24"/>
        </w:rPr>
        <w:t xml:space="preserve">就质疑事项作出了答复/没有在法定期限内作出答复。                                                                                             </w:t>
      </w:r>
    </w:p>
    <w:p>
      <w:pPr>
        <w:pStyle w:val="24"/>
        <w:spacing w:line="360" w:lineRule="auto"/>
        <w:ind w:left="25" w:leftChars="12" w:firstLine="472" w:firstLineChars="196"/>
        <w:rPr>
          <w:rFonts w:hAnsi="宋体"/>
          <w:b/>
          <w:color w:val="auto"/>
          <w:sz w:val="24"/>
          <w:szCs w:val="24"/>
        </w:rPr>
      </w:pPr>
      <w:r>
        <w:rPr>
          <w:rFonts w:hint="eastAsia" w:hAnsi="宋体"/>
          <w:b/>
          <w:color w:val="auto"/>
          <w:sz w:val="24"/>
          <w:szCs w:val="24"/>
        </w:rPr>
        <w:t>四、投诉事项具体内容</w:t>
      </w:r>
    </w:p>
    <w:p>
      <w:pPr>
        <w:pStyle w:val="24"/>
        <w:spacing w:line="360" w:lineRule="auto"/>
        <w:ind w:left="25" w:leftChars="12" w:firstLine="472" w:firstLineChars="197"/>
        <w:rPr>
          <w:rFonts w:hAnsi="宋体"/>
          <w:bCs/>
          <w:color w:val="auto"/>
          <w:sz w:val="24"/>
          <w:szCs w:val="24"/>
          <w:u w:val="single"/>
        </w:rPr>
      </w:pPr>
      <w:r>
        <w:rPr>
          <w:rFonts w:hint="eastAsia" w:hAnsi="宋体"/>
          <w:color w:val="auto"/>
          <w:sz w:val="24"/>
          <w:szCs w:val="24"/>
        </w:rPr>
        <w:t>投诉事项1：</w:t>
      </w:r>
    </w:p>
    <w:p>
      <w:pPr>
        <w:pStyle w:val="24"/>
        <w:spacing w:line="360" w:lineRule="auto"/>
        <w:ind w:firstLine="480" w:firstLineChars="200"/>
        <w:rPr>
          <w:rFonts w:hAnsi="宋体"/>
          <w:bCs/>
          <w:color w:val="auto"/>
          <w:sz w:val="24"/>
          <w:szCs w:val="24"/>
          <w:u w:val="single"/>
        </w:rPr>
      </w:pPr>
      <w:r>
        <w:rPr>
          <w:rFonts w:hint="eastAsia" w:hAnsi="宋体"/>
          <w:bCs/>
          <w:color w:val="auto"/>
          <w:sz w:val="24"/>
          <w:szCs w:val="24"/>
        </w:rPr>
        <w:t>事实依据：</w:t>
      </w:r>
    </w:p>
    <w:p>
      <w:pPr>
        <w:pStyle w:val="24"/>
        <w:spacing w:line="360" w:lineRule="auto"/>
        <w:ind w:left="25" w:leftChars="12" w:firstLine="472" w:firstLineChars="197"/>
        <w:rPr>
          <w:rFonts w:hAnsi="宋体"/>
          <w:color w:val="auto"/>
          <w:sz w:val="24"/>
          <w:szCs w:val="24"/>
        </w:rPr>
      </w:pPr>
    </w:p>
    <w:p>
      <w:pPr>
        <w:pStyle w:val="24"/>
        <w:spacing w:line="360" w:lineRule="auto"/>
        <w:ind w:firstLine="480" w:firstLineChars="200"/>
        <w:rPr>
          <w:rFonts w:hAnsi="宋体"/>
          <w:bCs/>
          <w:color w:val="auto"/>
          <w:sz w:val="24"/>
          <w:szCs w:val="24"/>
          <w:u w:val="single"/>
        </w:rPr>
      </w:pPr>
      <w:r>
        <w:rPr>
          <w:rFonts w:hint="eastAsia" w:hAnsi="宋体"/>
          <w:bCs/>
          <w:color w:val="auto"/>
          <w:sz w:val="24"/>
          <w:szCs w:val="24"/>
        </w:rPr>
        <w:t>法律依据：</w:t>
      </w:r>
    </w:p>
    <w:p>
      <w:pPr>
        <w:pStyle w:val="24"/>
        <w:spacing w:line="360" w:lineRule="auto"/>
        <w:ind w:left="25" w:leftChars="12" w:firstLine="352" w:firstLineChars="147"/>
        <w:rPr>
          <w:rFonts w:hAnsi="宋体"/>
          <w:bCs/>
          <w:color w:val="auto"/>
          <w:sz w:val="24"/>
          <w:szCs w:val="24"/>
          <w:u w:val="single"/>
        </w:rPr>
      </w:pPr>
    </w:p>
    <w:p>
      <w:pPr>
        <w:pStyle w:val="24"/>
        <w:spacing w:line="360" w:lineRule="auto"/>
        <w:ind w:left="25" w:leftChars="12" w:firstLine="472" w:firstLineChars="197"/>
        <w:rPr>
          <w:rFonts w:hAnsi="宋体"/>
          <w:bCs/>
          <w:color w:val="auto"/>
          <w:sz w:val="24"/>
          <w:szCs w:val="24"/>
        </w:rPr>
      </w:pPr>
      <w:r>
        <w:rPr>
          <w:rFonts w:hint="eastAsia" w:hAnsi="宋体"/>
          <w:color w:val="auto"/>
          <w:sz w:val="24"/>
          <w:szCs w:val="24"/>
        </w:rPr>
        <w:t xml:space="preserve">投诉事项2  </w:t>
      </w:r>
    </w:p>
    <w:p>
      <w:pPr>
        <w:pStyle w:val="24"/>
        <w:spacing w:line="360" w:lineRule="auto"/>
        <w:ind w:left="25" w:leftChars="12" w:firstLine="472" w:firstLineChars="197"/>
        <w:rPr>
          <w:rFonts w:hAnsi="宋体"/>
          <w:bCs/>
          <w:color w:val="auto"/>
          <w:sz w:val="24"/>
          <w:szCs w:val="24"/>
        </w:rPr>
      </w:pPr>
      <w:r>
        <w:rPr>
          <w:rFonts w:hAnsi="宋体"/>
          <w:bCs/>
          <w:color w:val="auto"/>
          <w:sz w:val="24"/>
          <w:szCs w:val="24"/>
        </w:rPr>
        <w:t>……</w:t>
      </w:r>
    </w:p>
    <w:p>
      <w:pPr>
        <w:pStyle w:val="24"/>
        <w:spacing w:line="360" w:lineRule="auto"/>
        <w:ind w:left="25" w:leftChars="12" w:firstLine="472" w:firstLineChars="196"/>
        <w:rPr>
          <w:rFonts w:hAnsi="宋体"/>
          <w:b/>
          <w:color w:val="auto"/>
          <w:sz w:val="24"/>
          <w:szCs w:val="24"/>
        </w:rPr>
      </w:pPr>
      <w:r>
        <w:rPr>
          <w:rFonts w:hint="eastAsia" w:hAnsi="宋体"/>
          <w:b/>
          <w:color w:val="auto"/>
          <w:sz w:val="24"/>
          <w:szCs w:val="24"/>
        </w:rPr>
        <w:t>五、与投诉事项相关的投诉请求：</w:t>
      </w: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请求：</w:t>
      </w:r>
    </w:p>
    <w:p>
      <w:pPr>
        <w:pStyle w:val="24"/>
        <w:spacing w:line="360" w:lineRule="auto"/>
        <w:ind w:left="25" w:leftChars="12" w:firstLine="352" w:firstLineChars="147"/>
        <w:rPr>
          <w:rFonts w:hAnsi="宋体"/>
          <w:color w:val="auto"/>
          <w:sz w:val="24"/>
          <w:szCs w:val="24"/>
        </w:rPr>
      </w:pP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签字（签章）：                                       公章：</w:t>
      </w:r>
    </w:p>
    <w:p>
      <w:pPr>
        <w:pStyle w:val="24"/>
        <w:spacing w:line="360" w:lineRule="auto"/>
        <w:ind w:left="25" w:leftChars="12" w:firstLine="352" w:firstLineChars="147"/>
        <w:rPr>
          <w:rFonts w:hAnsi="宋体"/>
          <w:color w:val="auto"/>
          <w:sz w:val="24"/>
          <w:szCs w:val="24"/>
        </w:rPr>
      </w:pPr>
    </w:p>
    <w:p>
      <w:pPr>
        <w:pStyle w:val="24"/>
        <w:spacing w:line="360" w:lineRule="auto"/>
        <w:ind w:left="25" w:leftChars="12" w:firstLine="472" w:firstLineChars="197"/>
        <w:rPr>
          <w:rFonts w:hAnsi="宋体"/>
          <w:color w:val="auto"/>
          <w:sz w:val="24"/>
          <w:szCs w:val="24"/>
        </w:rPr>
      </w:pPr>
      <w:r>
        <w:rPr>
          <w:rFonts w:hint="eastAsia" w:hAnsi="宋体"/>
          <w:color w:val="auto"/>
          <w:sz w:val="24"/>
          <w:szCs w:val="24"/>
        </w:rPr>
        <w:t>日期：</w:t>
      </w:r>
    </w:p>
    <w:p>
      <w:pPr>
        <w:pStyle w:val="24"/>
        <w:spacing w:line="360" w:lineRule="auto"/>
        <w:ind w:left="25" w:leftChars="12" w:firstLine="472" w:firstLineChars="197"/>
        <w:rPr>
          <w:rFonts w:hAnsi="宋体"/>
          <w:color w:val="auto"/>
          <w:sz w:val="24"/>
          <w:szCs w:val="24"/>
        </w:rPr>
      </w:pPr>
    </w:p>
    <w:p>
      <w:pPr>
        <w:pStyle w:val="24"/>
        <w:snapToGrid w:val="0"/>
        <w:spacing w:line="360" w:lineRule="auto"/>
        <w:rPr>
          <w:rFonts w:hAnsi="宋体"/>
          <w:b/>
          <w:color w:val="auto"/>
          <w:sz w:val="24"/>
          <w:szCs w:val="24"/>
        </w:rPr>
      </w:pPr>
      <w:r>
        <w:rPr>
          <w:rFonts w:hint="eastAsia" w:hAnsi="宋体"/>
          <w:b/>
          <w:color w:val="auto"/>
          <w:sz w:val="24"/>
          <w:szCs w:val="24"/>
        </w:rPr>
        <w:t>说明：</w:t>
      </w:r>
    </w:p>
    <w:p>
      <w:pPr>
        <w:pStyle w:val="24"/>
        <w:spacing w:line="360" w:lineRule="auto"/>
        <w:ind w:left="25" w:leftChars="12" w:firstLine="354" w:firstLineChars="147"/>
        <w:rPr>
          <w:rFonts w:hAnsi="宋体"/>
          <w:b/>
          <w:bCs/>
          <w:color w:val="auto"/>
          <w:sz w:val="24"/>
          <w:szCs w:val="24"/>
        </w:rPr>
      </w:pPr>
      <w:r>
        <w:rPr>
          <w:rFonts w:hint="eastAsia" w:hAnsi="宋体"/>
          <w:b/>
          <w:color w:val="auto"/>
          <w:sz w:val="24"/>
          <w:szCs w:val="24"/>
        </w:rPr>
        <w:t>1.投诉人提起投诉时，应当提交投诉书和必要的证明材料，并按照被投诉人和与投诉事项有关的供应商数量提供投诉书副本</w:t>
      </w:r>
      <w:r>
        <w:rPr>
          <w:rFonts w:hint="eastAsia" w:hAnsi="宋体"/>
          <w:b/>
          <w:bCs/>
          <w:color w:val="auto"/>
          <w:sz w:val="24"/>
          <w:szCs w:val="24"/>
        </w:rPr>
        <w:t>。</w:t>
      </w:r>
    </w:p>
    <w:p>
      <w:pPr>
        <w:pStyle w:val="24"/>
        <w:spacing w:line="360" w:lineRule="auto"/>
        <w:ind w:left="25" w:leftChars="12" w:firstLine="354" w:firstLineChars="147"/>
        <w:rPr>
          <w:rFonts w:hAnsi="宋体"/>
          <w:b/>
          <w:color w:val="auto"/>
          <w:sz w:val="24"/>
          <w:szCs w:val="24"/>
        </w:rPr>
      </w:pPr>
      <w:r>
        <w:rPr>
          <w:rFonts w:hint="eastAsia" w:hAnsi="宋体"/>
          <w:b/>
          <w:color w:val="auto"/>
          <w:sz w:val="24"/>
          <w:szCs w:val="24"/>
        </w:rPr>
        <w:t>2.投诉人若委托代理人进行投诉的，投诉书应按要求列明“授权代表”的有关内容，并在附件中提交由投诉人签署的授权委托书。授权委托书应当载明代理人的姓名或者名称、代理事项、具体权限、期限和相关事项。</w:t>
      </w:r>
    </w:p>
    <w:p>
      <w:pPr>
        <w:pStyle w:val="24"/>
        <w:spacing w:line="360" w:lineRule="auto"/>
        <w:ind w:left="25" w:leftChars="12" w:firstLine="354" w:firstLineChars="147"/>
        <w:rPr>
          <w:rFonts w:hAnsi="宋体"/>
          <w:b/>
          <w:color w:val="auto"/>
          <w:sz w:val="24"/>
          <w:szCs w:val="24"/>
        </w:rPr>
      </w:pPr>
      <w:r>
        <w:rPr>
          <w:rFonts w:hint="eastAsia" w:hAnsi="宋体"/>
          <w:b/>
          <w:color w:val="auto"/>
          <w:sz w:val="24"/>
          <w:szCs w:val="24"/>
        </w:rPr>
        <w:t>3.投诉书应简要列明质疑事项，质疑函、质疑答复等作为附件材料提供。</w:t>
      </w:r>
    </w:p>
    <w:p>
      <w:pPr>
        <w:pStyle w:val="24"/>
        <w:spacing w:line="360" w:lineRule="auto"/>
        <w:ind w:left="25" w:leftChars="12" w:firstLine="354" w:firstLineChars="147"/>
        <w:rPr>
          <w:rFonts w:hAnsi="宋体"/>
          <w:b/>
          <w:color w:val="auto"/>
          <w:sz w:val="24"/>
          <w:szCs w:val="24"/>
        </w:rPr>
      </w:pPr>
      <w:r>
        <w:rPr>
          <w:rFonts w:hint="eastAsia" w:hAnsi="宋体"/>
          <w:b/>
          <w:color w:val="auto"/>
          <w:sz w:val="24"/>
          <w:szCs w:val="24"/>
        </w:rPr>
        <w:t>4.投诉书的投诉事项应具体、明确，并有必要的事实依据和法律依据。</w:t>
      </w:r>
    </w:p>
    <w:p>
      <w:pPr>
        <w:pStyle w:val="24"/>
        <w:spacing w:line="360" w:lineRule="auto"/>
        <w:ind w:left="25" w:leftChars="12" w:firstLine="354" w:firstLineChars="147"/>
        <w:rPr>
          <w:rFonts w:hAnsi="宋体"/>
          <w:b/>
          <w:color w:val="auto"/>
          <w:sz w:val="24"/>
          <w:szCs w:val="24"/>
        </w:rPr>
      </w:pPr>
      <w:r>
        <w:rPr>
          <w:rFonts w:hint="eastAsia" w:hAnsi="宋体"/>
          <w:b/>
          <w:color w:val="auto"/>
          <w:sz w:val="24"/>
          <w:szCs w:val="24"/>
        </w:rPr>
        <w:t>5.投诉书的投诉请求应与投诉事项相关。</w:t>
      </w:r>
    </w:p>
    <w:p>
      <w:pPr>
        <w:pStyle w:val="24"/>
        <w:spacing w:line="360" w:lineRule="auto"/>
        <w:ind w:left="25" w:leftChars="12" w:firstLine="354" w:firstLineChars="147"/>
        <w:rPr>
          <w:rFonts w:hAnsi="宋体"/>
          <w:b/>
          <w:color w:val="auto"/>
        </w:rPr>
      </w:pPr>
      <w:r>
        <w:rPr>
          <w:rFonts w:hint="eastAsia" w:hAnsi="宋体"/>
          <w:b/>
          <w:color w:val="auto"/>
          <w:sz w:val="24"/>
          <w:szCs w:val="24"/>
        </w:rPr>
        <w:t>6.投诉人为法人或者其他组织的，投诉书应由法定代表人、主要负责人，或者其授权代表签字或者盖章，并加盖公章。</w:t>
      </w:r>
    </w:p>
    <w:p>
      <w:pPr>
        <w:rPr>
          <w:rFonts w:hint="eastAsia"/>
        </w:rPr>
      </w:pPr>
    </w:p>
    <w:sectPr>
      <w:pgSz w:w="11906" w:h="16838"/>
      <w:pgMar w:top="1247" w:right="1247" w:bottom="1247" w:left="124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Arial (W1)">
    <w:altName w:val="Arial"/>
    <w:panose1 w:val="00000000000000000000"/>
    <w:charset w:val="00"/>
    <w:family w:val="swiss"/>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仿宋"/>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华文新魏">
    <w:altName w:val="宋体"/>
    <w:panose1 w:val="0201080004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Wingdings 2">
    <w:panose1 w:val="05020102010507070707"/>
    <w:charset w:val="02"/>
    <w:family w:val="roman"/>
    <w:pitch w:val="default"/>
    <w:sig w:usb0="00000000" w:usb1="00000000" w:usb2="00000000" w:usb3="00000000" w:csb0="80000000"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pPr>
                  <w:pStyle w:val="29"/>
                </w:pPr>
                <w:r>
                  <w:fldChar w:fldCharType="begin"/>
                </w:r>
                <w:r>
                  <w:instrText xml:space="preserve"> PAGE  \* MERGEFORMAT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right="360"/>
      <w:jc w:val="both"/>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path/>
          <v:fill on="f" focussize="0,0"/>
          <v:stroke on="f" weight="0.5pt" joinstyle="miter"/>
          <v:imagedata o:title=""/>
          <o:lock v:ext="edit"/>
          <v:textbox inset="0mm,0mm,0mm,0mm" style="mso-fit-shape-to-text:t;">
            <w:txbxContent>
              <w:p>
                <w:pPr>
                  <w:pStyle w:val="29"/>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right"/>
    </w:pPr>
    <w:r>
      <w:rPr>
        <w:rFonts w:hint="eastAsia"/>
      </w:rPr>
      <w:t>广西壮族自治区中医药研究院中药饮片采购（HXCTGX-CHZB-2023-023）</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right"/>
    </w:pPr>
    <w:r>
      <w:rPr>
        <w:rFonts w:hint="eastAsia"/>
      </w:rPr>
      <w:t>广西壮族自治区中医药研究院中药饮片采购（HXCTGX-CHZB-2023-023）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E85234"/>
    <w:multiLevelType w:val="singleLevel"/>
    <w:tmpl w:val="A6E85234"/>
    <w:lvl w:ilvl="0" w:tentative="0">
      <w:start w:val="1"/>
      <w:numFmt w:val="decimal"/>
      <w:pStyle w:val="16"/>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5NTg2MDFmOTY1NmU3MmIxYTZiZGUxNWNhNzYyZWUifQ=="/>
    <w:docVar w:name="KSO_WPS_MARK_KEY" w:val="76c9956c-a71e-4976-b5ff-cb6667768c33"/>
  </w:docVars>
  <w:rsids>
    <w:rsidRoot w:val="00BC4F35"/>
    <w:rsid w:val="00000497"/>
    <w:rsid w:val="00002E71"/>
    <w:rsid w:val="00005AA5"/>
    <w:rsid w:val="00007BFC"/>
    <w:rsid w:val="00017FAD"/>
    <w:rsid w:val="00021965"/>
    <w:rsid w:val="00040014"/>
    <w:rsid w:val="0004257D"/>
    <w:rsid w:val="000443CD"/>
    <w:rsid w:val="000504BF"/>
    <w:rsid w:val="0005199A"/>
    <w:rsid w:val="00052913"/>
    <w:rsid w:val="000600EB"/>
    <w:rsid w:val="0007196D"/>
    <w:rsid w:val="00073399"/>
    <w:rsid w:val="000737A1"/>
    <w:rsid w:val="00076279"/>
    <w:rsid w:val="00076888"/>
    <w:rsid w:val="00085445"/>
    <w:rsid w:val="00091754"/>
    <w:rsid w:val="00095139"/>
    <w:rsid w:val="000973DB"/>
    <w:rsid w:val="000A05F5"/>
    <w:rsid w:val="000B45BB"/>
    <w:rsid w:val="000D297B"/>
    <w:rsid w:val="000D6F6A"/>
    <w:rsid w:val="000D70B6"/>
    <w:rsid w:val="000E25E3"/>
    <w:rsid w:val="000E458B"/>
    <w:rsid w:val="000E4EB9"/>
    <w:rsid w:val="000F6A68"/>
    <w:rsid w:val="000F6CC3"/>
    <w:rsid w:val="00104185"/>
    <w:rsid w:val="00105CDE"/>
    <w:rsid w:val="001065E3"/>
    <w:rsid w:val="00112BB1"/>
    <w:rsid w:val="0011370E"/>
    <w:rsid w:val="00120D77"/>
    <w:rsid w:val="001255FC"/>
    <w:rsid w:val="00126896"/>
    <w:rsid w:val="00127186"/>
    <w:rsid w:val="00136C7C"/>
    <w:rsid w:val="00143156"/>
    <w:rsid w:val="001441F2"/>
    <w:rsid w:val="00145FA2"/>
    <w:rsid w:val="0014681C"/>
    <w:rsid w:val="00150DAA"/>
    <w:rsid w:val="0015263B"/>
    <w:rsid w:val="00161BE7"/>
    <w:rsid w:val="00163A78"/>
    <w:rsid w:val="00166C7F"/>
    <w:rsid w:val="00172A4B"/>
    <w:rsid w:val="0017496E"/>
    <w:rsid w:val="00176BCA"/>
    <w:rsid w:val="001772AA"/>
    <w:rsid w:val="001931FF"/>
    <w:rsid w:val="0019445C"/>
    <w:rsid w:val="001A05B5"/>
    <w:rsid w:val="001C3F8D"/>
    <w:rsid w:val="001C5E21"/>
    <w:rsid w:val="001C7DC3"/>
    <w:rsid w:val="001D0385"/>
    <w:rsid w:val="001D23DF"/>
    <w:rsid w:val="001E2371"/>
    <w:rsid w:val="001E3149"/>
    <w:rsid w:val="001E3B85"/>
    <w:rsid w:val="001E7D78"/>
    <w:rsid w:val="001F740A"/>
    <w:rsid w:val="001F7D43"/>
    <w:rsid w:val="0020177D"/>
    <w:rsid w:val="002031B0"/>
    <w:rsid w:val="00211875"/>
    <w:rsid w:val="0023431F"/>
    <w:rsid w:val="00234F42"/>
    <w:rsid w:val="002363C1"/>
    <w:rsid w:val="00237502"/>
    <w:rsid w:val="002429F4"/>
    <w:rsid w:val="00242EC4"/>
    <w:rsid w:val="00252A4D"/>
    <w:rsid w:val="00254D99"/>
    <w:rsid w:val="00255249"/>
    <w:rsid w:val="002634EC"/>
    <w:rsid w:val="00266AB5"/>
    <w:rsid w:val="00267F69"/>
    <w:rsid w:val="00272F18"/>
    <w:rsid w:val="00282E51"/>
    <w:rsid w:val="0028631B"/>
    <w:rsid w:val="00286AF4"/>
    <w:rsid w:val="00291A45"/>
    <w:rsid w:val="00295500"/>
    <w:rsid w:val="002A7794"/>
    <w:rsid w:val="002B18D9"/>
    <w:rsid w:val="002B5779"/>
    <w:rsid w:val="002B7247"/>
    <w:rsid w:val="002C2580"/>
    <w:rsid w:val="002C6A8A"/>
    <w:rsid w:val="002D0025"/>
    <w:rsid w:val="002D6A5C"/>
    <w:rsid w:val="002E0D71"/>
    <w:rsid w:val="002E3662"/>
    <w:rsid w:val="002E3FA9"/>
    <w:rsid w:val="002E546F"/>
    <w:rsid w:val="002F49B5"/>
    <w:rsid w:val="002F53DB"/>
    <w:rsid w:val="002F740A"/>
    <w:rsid w:val="00303E18"/>
    <w:rsid w:val="00307252"/>
    <w:rsid w:val="00307788"/>
    <w:rsid w:val="00312720"/>
    <w:rsid w:val="00325E58"/>
    <w:rsid w:val="00327AE5"/>
    <w:rsid w:val="003409A4"/>
    <w:rsid w:val="00347CDE"/>
    <w:rsid w:val="003543D2"/>
    <w:rsid w:val="00360F70"/>
    <w:rsid w:val="00364BC9"/>
    <w:rsid w:val="0036578D"/>
    <w:rsid w:val="0036774D"/>
    <w:rsid w:val="00371F8B"/>
    <w:rsid w:val="00375DED"/>
    <w:rsid w:val="00383B4C"/>
    <w:rsid w:val="00386789"/>
    <w:rsid w:val="00392BBC"/>
    <w:rsid w:val="00394761"/>
    <w:rsid w:val="003A619F"/>
    <w:rsid w:val="003B7BD9"/>
    <w:rsid w:val="003C2DD7"/>
    <w:rsid w:val="003C304C"/>
    <w:rsid w:val="003C3D6F"/>
    <w:rsid w:val="003D1C72"/>
    <w:rsid w:val="003D1E3A"/>
    <w:rsid w:val="003D683C"/>
    <w:rsid w:val="004131E5"/>
    <w:rsid w:val="00413311"/>
    <w:rsid w:val="004214F5"/>
    <w:rsid w:val="004303D6"/>
    <w:rsid w:val="00430C90"/>
    <w:rsid w:val="00455345"/>
    <w:rsid w:val="004602C0"/>
    <w:rsid w:val="00464BAB"/>
    <w:rsid w:val="004736A7"/>
    <w:rsid w:val="00477C37"/>
    <w:rsid w:val="00482BC6"/>
    <w:rsid w:val="0048402E"/>
    <w:rsid w:val="0048753E"/>
    <w:rsid w:val="004B00F7"/>
    <w:rsid w:val="004B5DC2"/>
    <w:rsid w:val="004C16F6"/>
    <w:rsid w:val="004C5025"/>
    <w:rsid w:val="004C7826"/>
    <w:rsid w:val="004D3C50"/>
    <w:rsid w:val="004E138E"/>
    <w:rsid w:val="004E28B4"/>
    <w:rsid w:val="004E3F8F"/>
    <w:rsid w:val="004F2910"/>
    <w:rsid w:val="004F34D1"/>
    <w:rsid w:val="004F78C9"/>
    <w:rsid w:val="005060EE"/>
    <w:rsid w:val="005167F9"/>
    <w:rsid w:val="0052344F"/>
    <w:rsid w:val="00526165"/>
    <w:rsid w:val="0052646A"/>
    <w:rsid w:val="0054049D"/>
    <w:rsid w:val="00542A72"/>
    <w:rsid w:val="00545ADF"/>
    <w:rsid w:val="00550718"/>
    <w:rsid w:val="005536A3"/>
    <w:rsid w:val="00553E34"/>
    <w:rsid w:val="00565001"/>
    <w:rsid w:val="00565E1C"/>
    <w:rsid w:val="00566B1D"/>
    <w:rsid w:val="00567979"/>
    <w:rsid w:val="00574106"/>
    <w:rsid w:val="00584E1F"/>
    <w:rsid w:val="005A0524"/>
    <w:rsid w:val="005A38C9"/>
    <w:rsid w:val="005B2B1E"/>
    <w:rsid w:val="005C00C7"/>
    <w:rsid w:val="005C2DD3"/>
    <w:rsid w:val="005C4904"/>
    <w:rsid w:val="005D1E46"/>
    <w:rsid w:val="005D66B8"/>
    <w:rsid w:val="005F6019"/>
    <w:rsid w:val="00613395"/>
    <w:rsid w:val="00621F9B"/>
    <w:rsid w:val="00623E61"/>
    <w:rsid w:val="0063003F"/>
    <w:rsid w:val="00644E84"/>
    <w:rsid w:val="006510A5"/>
    <w:rsid w:val="00652076"/>
    <w:rsid w:val="006574B4"/>
    <w:rsid w:val="00660B76"/>
    <w:rsid w:val="00662755"/>
    <w:rsid w:val="00676EE0"/>
    <w:rsid w:val="006963B8"/>
    <w:rsid w:val="006B6507"/>
    <w:rsid w:val="006C01D7"/>
    <w:rsid w:val="006C3D78"/>
    <w:rsid w:val="006C7C29"/>
    <w:rsid w:val="006D0E89"/>
    <w:rsid w:val="006D20DF"/>
    <w:rsid w:val="006D4489"/>
    <w:rsid w:val="006E0FBC"/>
    <w:rsid w:val="006E7329"/>
    <w:rsid w:val="006F1B04"/>
    <w:rsid w:val="006F3D6E"/>
    <w:rsid w:val="0070620C"/>
    <w:rsid w:val="00710BD0"/>
    <w:rsid w:val="007114DE"/>
    <w:rsid w:val="00715690"/>
    <w:rsid w:val="00726FB1"/>
    <w:rsid w:val="00732AB7"/>
    <w:rsid w:val="00742F52"/>
    <w:rsid w:val="00751881"/>
    <w:rsid w:val="00756C0E"/>
    <w:rsid w:val="00774B1C"/>
    <w:rsid w:val="00782861"/>
    <w:rsid w:val="00786B01"/>
    <w:rsid w:val="00790563"/>
    <w:rsid w:val="00797707"/>
    <w:rsid w:val="00797B1C"/>
    <w:rsid w:val="007A2F65"/>
    <w:rsid w:val="007A6480"/>
    <w:rsid w:val="007A6EE1"/>
    <w:rsid w:val="007B0A6A"/>
    <w:rsid w:val="007C1898"/>
    <w:rsid w:val="007D3245"/>
    <w:rsid w:val="007D4FDA"/>
    <w:rsid w:val="007D5CF1"/>
    <w:rsid w:val="007E5114"/>
    <w:rsid w:val="007F4549"/>
    <w:rsid w:val="00803F21"/>
    <w:rsid w:val="008058F1"/>
    <w:rsid w:val="008103C5"/>
    <w:rsid w:val="00813512"/>
    <w:rsid w:val="008145A8"/>
    <w:rsid w:val="00814601"/>
    <w:rsid w:val="008165B9"/>
    <w:rsid w:val="008206DF"/>
    <w:rsid w:val="0084596D"/>
    <w:rsid w:val="00846123"/>
    <w:rsid w:val="0085452A"/>
    <w:rsid w:val="008563A7"/>
    <w:rsid w:val="0086002E"/>
    <w:rsid w:val="00861DDB"/>
    <w:rsid w:val="00862225"/>
    <w:rsid w:val="008658BF"/>
    <w:rsid w:val="00867849"/>
    <w:rsid w:val="00886548"/>
    <w:rsid w:val="00891D4A"/>
    <w:rsid w:val="00894EF2"/>
    <w:rsid w:val="00895B41"/>
    <w:rsid w:val="008A2EC1"/>
    <w:rsid w:val="008A62C0"/>
    <w:rsid w:val="008C1F29"/>
    <w:rsid w:val="008C6CE5"/>
    <w:rsid w:val="008E3F4F"/>
    <w:rsid w:val="008E6228"/>
    <w:rsid w:val="008E65B6"/>
    <w:rsid w:val="008E72C7"/>
    <w:rsid w:val="008F1F0E"/>
    <w:rsid w:val="008F7C8D"/>
    <w:rsid w:val="009046CB"/>
    <w:rsid w:val="009106F8"/>
    <w:rsid w:val="009222B9"/>
    <w:rsid w:val="0092368B"/>
    <w:rsid w:val="00927389"/>
    <w:rsid w:val="00927AF5"/>
    <w:rsid w:val="0093374A"/>
    <w:rsid w:val="00950B31"/>
    <w:rsid w:val="00955F49"/>
    <w:rsid w:val="00957F76"/>
    <w:rsid w:val="0096164F"/>
    <w:rsid w:val="00962323"/>
    <w:rsid w:val="00962C0C"/>
    <w:rsid w:val="009660C6"/>
    <w:rsid w:val="00967CEB"/>
    <w:rsid w:val="0098100A"/>
    <w:rsid w:val="009843BF"/>
    <w:rsid w:val="00990FDB"/>
    <w:rsid w:val="009A356B"/>
    <w:rsid w:val="009A7F02"/>
    <w:rsid w:val="009B3FC2"/>
    <w:rsid w:val="009B4AE5"/>
    <w:rsid w:val="009E279D"/>
    <w:rsid w:val="009E7E5E"/>
    <w:rsid w:val="00A028F7"/>
    <w:rsid w:val="00A0506A"/>
    <w:rsid w:val="00A06A3C"/>
    <w:rsid w:val="00A06FD8"/>
    <w:rsid w:val="00A17B87"/>
    <w:rsid w:val="00A24A75"/>
    <w:rsid w:val="00A26B98"/>
    <w:rsid w:val="00A40DE6"/>
    <w:rsid w:val="00A418E4"/>
    <w:rsid w:val="00A43E27"/>
    <w:rsid w:val="00A54655"/>
    <w:rsid w:val="00A57A83"/>
    <w:rsid w:val="00A600CD"/>
    <w:rsid w:val="00A6177E"/>
    <w:rsid w:val="00A6333F"/>
    <w:rsid w:val="00A64D61"/>
    <w:rsid w:val="00A65DF9"/>
    <w:rsid w:val="00A718D0"/>
    <w:rsid w:val="00A72787"/>
    <w:rsid w:val="00A72A01"/>
    <w:rsid w:val="00A73499"/>
    <w:rsid w:val="00A73D80"/>
    <w:rsid w:val="00A74781"/>
    <w:rsid w:val="00A8475F"/>
    <w:rsid w:val="00A867D7"/>
    <w:rsid w:val="00AA3D3E"/>
    <w:rsid w:val="00AB0419"/>
    <w:rsid w:val="00AC2BF6"/>
    <w:rsid w:val="00AC5256"/>
    <w:rsid w:val="00AD0ABD"/>
    <w:rsid w:val="00AE2421"/>
    <w:rsid w:val="00AF06DF"/>
    <w:rsid w:val="00AF1819"/>
    <w:rsid w:val="00AF397E"/>
    <w:rsid w:val="00AF6884"/>
    <w:rsid w:val="00AF6F4F"/>
    <w:rsid w:val="00AF7603"/>
    <w:rsid w:val="00B010C5"/>
    <w:rsid w:val="00B0196B"/>
    <w:rsid w:val="00B160B5"/>
    <w:rsid w:val="00B17DAC"/>
    <w:rsid w:val="00B273B0"/>
    <w:rsid w:val="00B27D44"/>
    <w:rsid w:val="00B4118A"/>
    <w:rsid w:val="00B435AD"/>
    <w:rsid w:val="00B43CF8"/>
    <w:rsid w:val="00B47B28"/>
    <w:rsid w:val="00B515D8"/>
    <w:rsid w:val="00B536AF"/>
    <w:rsid w:val="00B56A5E"/>
    <w:rsid w:val="00B56C71"/>
    <w:rsid w:val="00B60016"/>
    <w:rsid w:val="00B825C2"/>
    <w:rsid w:val="00B85A2A"/>
    <w:rsid w:val="00B90B10"/>
    <w:rsid w:val="00B93D94"/>
    <w:rsid w:val="00BA1C7B"/>
    <w:rsid w:val="00BA25E6"/>
    <w:rsid w:val="00BA53A3"/>
    <w:rsid w:val="00BA57F8"/>
    <w:rsid w:val="00BA697C"/>
    <w:rsid w:val="00BB23DF"/>
    <w:rsid w:val="00BB2B74"/>
    <w:rsid w:val="00BB2CA4"/>
    <w:rsid w:val="00BB4387"/>
    <w:rsid w:val="00BC4F35"/>
    <w:rsid w:val="00BC56E9"/>
    <w:rsid w:val="00BC6746"/>
    <w:rsid w:val="00BD1524"/>
    <w:rsid w:val="00BD49DB"/>
    <w:rsid w:val="00BD52FA"/>
    <w:rsid w:val="00BD68BF"/>
    <w:rsid w:val="00BD728A"/>
    <w:rsid w:val="00BD7755"/>
    <w:rsid w:val="00BE08BF"/>
    <w:rsid w:val="00BF1ED5"/>
    <w:rsid w:val="00BF33D6"/>
    <w:rsid w:val="00BF3B08"/>
    <w:rsid w:val="00BF60BE"/>
    <w:rsid w:val="00C017F8"/>
    <w:rsid w:val="00C15667"/>
    <w:rsid w:val="00C20F76"/>
    <w:rsid w:val="00C21161"/>
    <w:rsid w:val="00C24D3D"/>
    <w:rsid w:val="00C30140"/>
    <w:rsid w:val="00C358C2"/>
    <w:rsid w:val="00C404D5"/>
    <w:rsid w:val="00C41DAC"/>
    <w:rsid w:val="00C44380"/>
    <w:rsid w:val="00C47E29"/>
    <w:rsid w:val="00C55DA6"/>
    <w:rsid w:val="00C577B7"/>
    <w:rsid w:val="00C61E51"/>
    <w:rsid w:val="00C630F7"/>
    <w:rsid w:val="00C8660A"/>
    <w:rsid w:val="00CB115A"/>
    <w:rsid w:val="00CB1AB4"/>
    <w:rsid w:val="00CC7368"/>
    <w:rsid w:val="00CD2318"/>
    <w:rsid w:val="00CE2064"/>
    <w:rsid w:val="00CE20BE"/>
    <w:rsid w:val="00D00832"/>
    <w:rsid w:val="00D00AA1"/>
    <w:rsid w:val="00D0586A"/>
    <w:rsid w:val="00D1161F"/>
    <w:rsid w:val="00D134C3"/>
    <w:rsid w:val="00D200D1"/>
    <w:rsid w:val="00D25FD8"/>
    <w:rsid w:val="00D41BA6"/>
    <w:rsid w:val="00D42225"/>
    <w:rsid w:val="00D42862"/>
    <w:rsid w:val="00D433A7"/>
    <w:rsid w:val="00D53014"/>
    <w:rsid w:val="00D66C9E"/>
    <w:rsid w:val="00D7701C"/>
    <w:rsid w:val="00D82220"/>
    <w:rsid w:val="00D90E0C"/>
    <w:rsid w:val="00DA43E8"/>
    <w:rsid w:val="00DA5384"/>
    <w:rsid w:val="00DA6A75"/>
    <w:rsid w:val="00DA7AD9"/>
    <w:rsid w:val="00DB237D"/>
    <w:rsid w:val="00DB6595"/>
    <w:rsid w:val="00DB73C7"/>
    <w:rsid w:val="00DB783A"/>
    <w:rsid w:val="00DC6DD5"/>
    <w:rsid w:val="00DD2500"/>
    <w:rsid w:val="00DD29FF"/>
    <w:rsid w:val="00DE10A9"/>
    <w:rsid w:val="00DE1352"/>
    <w:rsid w:val="00DE2972"/>
    <w:rsid w:val="00DE5272"/>
    <w:rsid w:val="00DE736C"/>
    <w:rsid w:val="00DF7A1D"/>
    <w:rsid w:val="00E03958"/>
    <w:rsid w:val="00E05F23"/>
    <w:rsid w:val="00E102BE"/>
    <w:rsid w:val="00E10527"/>
    <w:rsid w:val="00E11A15"/>
    <w:rsid w:val="00E12772"/>
    <w:rsid w:val="00E157A4"/>
    <w:rsid w:val="00E158D6"/>
    <w:rsid w:val="00E15A90"/>
    <w:rsid w:val="00E15C6D"/>
    <w:rsid w:val="00E171DD"/>
    <w:rsid w:val="00E23ED0"/>
    <w:rsid w:val="00E34EF7"/>
    <w:rsid w:val="00E370F7"/>
    <w:rsid w:val="00E44EBB"/>
    <w:rsid w:val="00E47F2A"/>
    <w:rsid w:val="00E62265"/>
    <w:rsid w:val="00E709D2"/>
    <w:rsid w:val="00E73BC8"/>
    <w:rsid w:val="00E7589F"/>
    <w:rsid w:val="00E87F3A"/>
    <w:rsid w:val="00E95E18"/>
    <w:rsid w:val="00E961DA"/>
    <w:rsid w:val="00EA0BA8"/>
    <w:rsid w:val="00EB0CD1"/>
    <w:rsid w:val="00EB63E8"/>
    <w:rsid w:val="00EC08D0"/>
    <w:rsid w:val="00EC20DF"/>
    <w:rsid w:val="00EC57BB"/>
    <w:rsid w:val="00ED15F8"/>
    <w:rsid w:val="00ED2C80"/>
    <w:rsid w:val="00EE0419"/>
    <w:rsid w:val="00EE7B99"/>
    <w:rsid w:val="00EF6FB3"/>
    <w:rsid w:val="00F01C9F"/>
    <w:rsid w:val="00F035AB"/>
    <w:rsid w:val="00F13FE7"/>
    <w:rsid w:val="00F25796"/>
    <w:rsid w:val="00F26DE4"/>
    <w:rsid w:val="00F319B3"/>
    <w:rsid w:val="00F33422"/>
    <w:rsid w:val="00F427E7"/>
    <w:rsid w:val="00F47E6C"/>
    <w:rsid w:val="00F5100B"/>
    <w:rsid w:val="00F5616E"/>
    <w:rsid w:val="00F611BC"/>
    <w:rsid w:val="00F636B0"/>
    <w:rsid w:val="00F721E3"/>
    <w:rsid w:val="00F82DB6"/>
    <w:rsid w:val="00F94AB8"/>
    <w:rsid w:val="00F965A0"/>
    <w:rsid w:val="00FA021D"/>
    <w:rsid w:val="00FA046A"/>
    <w:rsid w:val="00FC63C3"/>
    <w:rsid w:val="00FD4BF0"/>
    <w:rsid w:val="00FF489C"/>
    <w:rsid w:val="018F5BEE"/>
    <w:rsid w:val="02AF1E06"/>
    <w:rsid w:val="05BB261F"/>
    <w:rsid w:val="063D2E99"/>
    <w:rsid w:val="06C37FD6"/>
    <w:rsid w:val="0AB94884"/>
    <w:rsid w:val="0AFD4E6D"/>
    <w:rsid w:val="0FD35D82"/>
    <w:rsid w:val="161A5556"/>
    <w:rsid w:val="163360DA"/>
    <w:rsid w:val="163B3AAB"/>
    <w:rsid w:val="1761052D"/>
    <w:rsid w:val="18D7D725"/>
    <w:rsid w:val="196A0669"/>
    <w:rsid w:val="1BBB0703"/>
    <w:rsid w:val="1BBB22FF"/>
    <w:rsid w:val="1C047514"/>
    <w:rsid w:val="1DF10A30"/>
    <w:rsid w:val="1E295313"/>
    <w:rsid w:val="1E3E1185"/>
    <w:rsid w:val="1ED95978"/>
    <w:rsid w:val="1EDA7710"/>
    <w:rsid w:val="1EDE0E29"/>
    <w:rsid w:val="1F7B35A3"/>
    <w:rsid w:val="208C5E51"/>
    <w:rsid w:val="21FE4E69"/>
    <w:rsid w:val="23331C6F"/>
    <w:rsid w:val="247D56EB"/>
    <w:rsid w:val="24FB619E"/>
    <w:rsid w:val="259B3A6E"/>
    <w:rsid w:val="25F21645"/>
    <w:rsid w:val="266A16A4"/>
    <w:rsid w:val="276C3095"/>
    <w:rsid w:val="27FE2AE4"/>
    <w:rsid w:val="29393754"/>
    <w:rsid w:val="297864FB"/>
    <w:rsid w:val="2B226314"/>
    <w:rsid w:val="2BA92F86"/>
    <w:rsid w:val="2BEE68D3"/>
    <w:rsid w:val="2D392114"/>
    <w:rsid w:val="30B15508"/>
    <w:rsid w:val="33154745"/>
    <w:rsid w:val="371E9BF9"/>
    <w:rsid w:val="383B7A6D"/>
    <w:rsid w:val="3A747FE8"/>
    <w:rsid w:val="3BD63A56"/>
    <w:rsid w:val="3BF66BED"/>
    <w:rsid w:val="3C7D7288"/>
    <w:rsid w:val="3D164303"/>
    <w:rsid w:val="3FABE771"/>
    <w:rsid w:val="3FEFB616"/>
    <w:rsid w:val="3FFF1F01"/>
    <w:rsid w:val="402406BD"/>
    <w:rsid w:val="404B08B1"/>
    <w:rsid w:val="40810AC6"/>
    <w:rsid w:val="413436D8"/>
    <w:rsid w:val="41376FE7"/>
    <w:rsid w:val="41492FC3"/>
    <w:rsid w:val="419A6DB9"/>
    <w:rsid w:val="42864FA4"/>
    <w:rsid w:val="44CF4611"/>
    <w:rsid w:val="458A1D57"/>
    <w:rsid w:val="46345F40"/>
    <w:rsid w:val="47D54C75"/>
    <w:rsid w:val="481A666F"/>
    <w:rsid w:val="49804BB7"/>
    <w:rsid w:val="4AA42725"/>
    <w:rsid w:val="4B802916"/>
    <w:rsid w:val="4BBF19D8"/>
    <w:rsid w:val="4BD30B4B"/>
    <w:rsid w:val="4C21142A"/>
    <w:rsid w:val="4CB66D20"/>
    <w:rsid w:val="4D950505"/>
    <w:rsid w:val="4F084DDB"/>
    <w:rsid w:val="4FB9491D"/>
    <w:rsid w:val="50270CAE"/>
    <w:rsid w:val="52A254C8"/>
    <w:rsid w:val="55D50038"/>
    <w:rsid w:val="57BB434F"/>
    <w:rsid w:val="57F55691"/>
    <w:rsid w:val="59162E41"/>
    <w:rsid w:val="595256B9"/>
    <w:rsid w:val="599F0BF8"/>
    <w:rsid w:val="5B6F645D"/>
    <w:rsid w:val="5B803D64"/>
    <w:rsid w:val="5BD42C23"/>
    <w:rsid w:val="5E7953CE"/>
    <w:rsid w:val="5EBFB52B"/>
    <w:rsid w:val="5F3FFAAC"/>
    <w:rsid w:val="5F495A3D"/>
    <w:rsid w:val="5F6A7BEB"/>
    <w:rsid w:val="5FBEE1BA"/>
    <w:rsid w:val="5FDEE564"/>
    <w:rsid w:val="5FFF483D"/>
    <w:rsid w:val="60A13AA6"/>
    <w:rsid w:val="6186668A"/>
    <w:rsid w:val="61974753"/>
    <w:rsid w:val="63042EB0"/>
    <w:rsid w:val="646738E7"/>
    <w:rsid w:val="66352B94"/>
    <w:rsid w:val="66F1A06F"/>
    <w:rsid w:val="68686ADC"/>
    <w:rsid w:val="687A681D"/>
    <w:rsid w:val="6917406C"/>
    <w:rsid w:val="69D20077"/>
    <w:rsid w:val="69DF3F84"/>
    <w:rsid w:val="69FA9100"/>
    <w:rsid w:val="6A3875DB"/>
    <w:rsid w:val="6BCF85EC"/>
    <w:rsid w:val="6BF8DFB8"/>
    <w:rsid w:val="6C3F32D5"/>
    <w:rsid w:val="6C5B3BAC"/>
    <w:rsid w:val="6CFDBF04"/>
    <w:rsid w:val="6D154D66"/>
    <w:rsid w:val="6D483EAF"/>
    <w:rsid w:val="6E450D54"/>
    <w:rsid w:val="6FC62606"/>
    <w:rsid w:val="6FD78919"/>
    <w:rsid w:val="6FD7ABE6"/>
    <w:rsid w:val="6FFB3C40"/>
    <w:rsid w:val="718D4EF7"/>
    <w:rsid w:val="7355FB60"/>
    <w:rsid w:val="752672E3"/>
    <w:rsid w:val="75AC58A8"/>
    <w:rsid w:val="75E427F0"/>
    <w:rsid w:val="761E6826"/>
    <w:rsid w:val="7758169E"/>
    <w:rsid w:val="77A78E76"/>
    <w:rsid w:val="77F7AA21"/>
    <w:rsid w:val="785B7161"/>
    <w:rsid w:val="789B4955"/>
    <w:rsid w:val="79763BCD"/>
    <w:rsid w:val="7A586C6E"/>
    <w:rsid w:val="7AFF6EC0"/>
    <w:rsid w:val="7BDFED8B"/>
    <w:rsid w:val="7BEF9F3C"/>
    <w:rsid w:val="7BF72E97"/>
    <w:rsid w:val="7D4D5E56"/>
    <w:rsid w:val="7D99B22C"/>
    <w:rsid w:val="7E2E2619"/>
    <w:rsid w:val="7E3ECE8C"/>
    <w:rsid w:val="7EFFD7F2"/>
    <w:rsid w:val="7F9B1052"/>
    <w:rsid w:val="7FF30DF7"/>
    <w:rsid w:val="8E7D9682"/>
    <w:rsid w:val="AEED63DA"/>
    <w:rsid w:val="AEEF3075"/>
    <w:rsid w:val="AFAE83F8"/>
    <w:rsid w:val="B35F1923"/>
    <w:rsid w:val="B37B5F6A"/>
    <w:rsid w:val="B9BB1502"/>
    <w:rsid w:val="B9DD1386"/>
    <w:rsid w:val="BABFE499"/>
    <w:rsid w:val="BAF35058"/>
    <w:rsid w:val="BBFD206B"/>
    <w:rsid w:val="BD7EF508"/>
    <w:rsid w:val="BDEF8E12"/>
    <w:rsid w:val="BDF26E03"/>
    <w:rsid w:val="BF9BEA5F"/>
    <w:rsid w:val="BFB6719A"/>
    <w:rsid w:val="BFCF9E53"/>
    <w:rsid w:val="BFF785A6"/>
    <w:rsid w:val="CBA584D4"/>
    <w:rsid w:val="CE6B6739"/>
    <w:rsid w:val="D27E57C2"/>
    <w:rsid w:val="DB0B8580"/>
    <w:rsid w:val="DD5D0811"/>
    <w:rsid w:val="DDDFAC4A"/>
    <w:rsid w:val="DDEF5613"/>
    <w:rsid w:val="DDFF2825"/>
    <w:rsid w:val="DE3AA0B1"/>
    <w:rsid w:val="DFFB90D4"/>
    <w:rsid w:val="E3F21134"/>
    <w:rsid w:val="E5BDD083"/>
    <w:rsid w:val="E8CFF9B0"/>
    <w:rsid w:val="EFF76F24"/>
    <w:rsid w:val="F13C13ED"/>
    <w:rsid w:val="F4EFBB10"/>
    <w:rsid w:val="F6DB1E19"/>
    <w:rsid w:val="F7CF76C9"/>
    <w:rsid w:val="F7FD54EA"/>
    <w:rsid w:val="F7FF19D6"/>
    <w:rsid w:val="F9BB4CF1"/>
    <w:rsid w:val="F9BF9B7A"/>
    <w:rsid w:val="FB2FEF47"/>
    <w:rsid w:val="FB7B4844"/>
    <w:rsid w:val="FBFA5CD9"/>
    <w:rsid w:val="FDCB8DFC"/>
    <w:rsid w:val="FDEFC6B2"/>
    <w:rsid w:val="FDFC0204"/>
    <w:rsid w:val="FDFDA777"/>
    <w:rsid w:val="FDFFE5E0"/>
    <w:rsid w:val="FECFB309"/>
    <w:rsid w:val="FEF9C9D4"/>
    <w:rsid w:val="FF55595A"/>
    <w:rsid w:val="FF7E1FF5"/>
    <w:rsid w:val="FFDD346D"/>
    <w:rsid w:val="FFFB9FAE"/>
    <w:rsid w:val="FFFDE260"/>
    <w:rsid w:val="FFFF0E06"/>
    <w:rsid w:val="FFFF90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6">
    <w:name w:val="heading 2"/>
    <w:basedOn w:val="1"/>
    <w:next w:val="1"/>
    <w:link w:val="50"/>
    <w:qFormat/>
    <w:uiPriority w:val="0"/>
    <w:pPr>
      <w:keepNext/>
      <w:keepLines/>
      <w:spacing w:before="260" w:after="260" w:line="416" w:lineRule="auto"/>
      <w:outlineLvl w:val="1"/>
    </w:pPr>
    <w:rPr>
      <w:rFonts w:ascii="Calibri Light" w:hAnsi="Calibri Light"/>
      <w:b/>
      <w:bCs/>
      <w:sz w:val="32"/>
      <w:szCs w:val="32"/>
    </w:rPr>
  </w:style>
  <w:style w:type="paragraph" w:styleId="7">
    <w:name w:val="heading 3"/>
    <w:basedOn w:val="1"/>
    <w:next w:val="1"/>
    <w:link w:val="54"/>
    <w:qFormat/>
    <w:uiPriority w:val="0"/>
    <w:pPr>
      <w:keepNext/>
      <w:keepLines/>
      <w:spacing w:before="260" w:after="260" w:line="416" w:lineRule="auto"/>
      <w:outlineLvl w:val="2"/>
    </w:pPr>
    <w:rPr>
      <w:b/>
      <w:bCs/>
      <w:sz w:val="32"/>
      <w:szCs w:val="32"/>
    </w:rPr>
  </w:style>
  <w:style w:type="paragraph" w:styleId="8">
    <w:name w:val="heading 4"/>
    <w:basedOn w:val="1"/>
    <w:next w:val="1"/>
    <w:link w:val="51"/>
    <w:qFormat/>
    <w:uiPriority w:val="0"/>
    <w:pPr>
      <w:keepNext/>
      <w:keepLines/>
      <w:widowControl/>
      <w:spacing w:before="120" w:after="120" w:line="360" w:lineRule="auto"/>
      <w:jc w:val="center"/>
      <w:outlineLvl w:val="3"/>
    </w:pPr>
    <w:rPr>
      <w:rFonts w:ascii="Arial" w:hAnsi="Arial" w:eastAsia="黑体"/>
      <w:sz w:val="28"/>
      <w:szCs w:val="24"/>
    </w:rPr>
  </w:style>
  <w:style w:type="paragraph" w:styleId="9">
    <w:name w:val="heading 5"/>
    <w:basedOn w:val="1"/>
    <w:next w:val="10"/>
    <w:link w:val="52"/>
    <w:qFormat/>
    <w:uiPriority w:val="0"/>
    <w:pPr>
      <w:keepNext/>
      <w:keepLines/>
      <w:spacing w:before="280" w:after="290" w:line="376" w:lineRule="auto"/>
      <w:outlineLvl w:val="4"/>
    </w:pPr>
    <w:rPr>
      <w:b/>
      <w:sz w:val="28"/>
      <w:szCs w:val="24"/>
    </w:rPr>
  </w:style>
  <w:style w:type="paragraph" w:styleId="11">
    <w:name w:val="heading 6"/>
    <w:basedOn w:val="1"/>
    <w:next w:val="10"/>
    <w:link w:val="53"/>
    <w:qFormat/>
    <w:uiPriority w:val="0"/>
    <w:pPr>
      <w:keepNext/>
      <w:keepLines/>
      <w:spacing w:before="240" w:after="64" w:line="320" w:lineRule="auto"/>
      <w:outlineLvl w:val="5"/>
    </w:pPr>
    <w:rPr>
      <w:rFonts w:ascii="Arial" w:hAnsi="Arial" w:eastAsia="黑体"/>
      <w:b/>
      <w:sz w:val="24"/>
      <w:szCs w:val="24"/>
    </w:rPr>
  </w:style>
  <w:style w:type="paragraph" w:styleId="12">
    <w:name w:val="heading 7"/>
    <w:basedOn w:val="1"/>
    <w:next w:val="10"/>
    <w:link w:val="57"/>
    <w:qFormat/>
    <w:uiPriority w:val="0"/>
    <w:pPr>
      <w:keepNext/>
      <w:keepLines/>
      <w:spacing w:before="240" w:after="64" w:line="320" w:lineRule="auto"/>
      <w:outlineLvl w:val="6"/>
    </w:pPr>
    <w:rPr>
      <w:b/>
      <w:sz w:val="24"/>
      <w:szCs w:val="24"/>
    </w:rPr>
  </w:style>
  <w:style w:type="paragraph" w:styleId="13">
    <w:name w:val="heading 8"/>
    <w:basedOn w:val="1"/>
    <w:next w:val="10"/>
    <w:link w:val="58"/>
    <w:qFormat/>
    <w:uiPriority w:val="0"/>
    <w:pPr>
      <w:keepNext/>
      <w:keepLines/>
      <w:spacing w:before="240" w:after="64" w:line="320" w:lineRule="auto"/>
      <w:outlineLvl w:val="7"/>
    </w:pPr>
    <w:rPr>
      <w:rFonts w:ascii="Arial" w:hAnsi="Arial" w:eastAsia="黑体"/>
      <w:sz w:val="24"/>
      <w:szCs w:val="24"/>
    </w:rPr>
  </w:style>
  <w:style w:type="paragraph" w:styleId="14">
    <w:name w:val="heading 9"/>
    <w:basedOn w:val="1"/>
    <w:next w:val="10"/>
    <w:link w:val="59"/>
    <w:qFormat/>
    <w:uiPriority w:val="0"/>
    <w:pPr>
      <w:keepNext/>
      <w:keepLines/>
      <w:spacing w:before="240" w:after="64" w:line="320" w:lineRule="auto"/>
      <w:outlineLvl w:val="8"/>
    </w:pPr>
    <w:rPr>
      <w:rFonts w:ascii="Arial" w:hAnsi="Arial" w:eastAsia="黑体"/>
      <w:szCs w:val="24"/>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55"/>
    <w:qFormat/>
    <w:uiPriority w:val="0"/>
    <w:pPr>
      <w:spacing w:line="380" w:lineRule="exact"/>
    </w:pPr>
    <w:rPr>
      <w:sz w:val="24"/>
      <w:szCs w:val="24"/>
    </w:rPr>
  </w:style>
  <w:style w:type="paragraph" w:styleId="3">
    <w:name w:val="Body Text First Indent 2"/>
    <w:basedOn w:val="2"/>
    <w:next w:val="4"/>
    <w:qFormat/>
    <w:uiPriority w:val="0"/>
    <w:pPr>
      <w:spacing w:after="120"/>
      <w:ind w:left="420" w:leftChars="200" w:firstLine="420" w:firstLineChars="200"/>
    </w:pPr>
    <w:rPr>
      <w:sz w:val="21"/>
      <w:szCs w:val="21"/>
    </w:rPr>
  </w:style>
  <w:style w:type="paragraph" w:styleId="4">
    <w:name w:val="Body Text First Indent"/>
    <w:basedOn w:val="2"/>
    <w:next w:val="1"/>
    <w:qFormat/>
    <w:uiPriority w:val="0"/>
    <w:pPr>
      <w:adjustRightInd w:val="0"/>
      <w:spacing w:after="60" w:line="360" w:lineRule="atLeast"/>
      <w:ind w:left="72" w:leftChars="30" w:right="30" w:rightChars="30" w:firstLine="420"/>
      <w:jc w:val="center"/>
      <w:textAlignment w:val="baseline"/>
    </w:pPr>
    <w:rPr>
      <w:rFonts w:eastAsia="楷体_GB2312"/>
      <w:kern w:val="0"/>
      <w:sz w:val="32"/>
    </w:rPr>
  </w:style>
  <w:style w:type="paragraph" w:styleId="10">
    <w:name w:val="Normal Indent"/>
    <w:basedOn w:val="1"/>
    <w:link w:val="56"/>
    <w:qFormat/>
    <w:uiPriority w:val="0"/>
    <w:pPr>
      <w:ind w:firstLine="420"/>
    </w:pPr>
    <w:rPr>
      <w:rFonts w:ascii="Calibri" w:hAnsi="Calibri"/>
      <w:szCs w:val="20"/>
    </w:rPr>
  </w:style>
  <w:style w:type="paragraph" w:styleId="15">
    <w:name w:val="index 8"/>
    <w:basedOn w:val="1"/>
    <w:next w:val="1"/>
    <w:qFormat/>
    <w:uiPriority w:val="0"/>
    <w:pPr>
      <w:ind w:left="2940"/>
    </w:pPr>
  </w:style>
  <w:style w:type="paragraph" w:styleId="16">
    <w:name w:val="List Number"/>
    <w:basedOn w:val="1"/>
    <w:qFormat/>
    <w:uiPriority w:val="0"/>
    <w:pPr>
      <w:numPr>
        <w:ilvl w:val="0"/>
        <w:numId w:val="1"/>
      </w:numPr>
    </w:pPr>
  </w:style>
  <w:style w:type="paragraph" w:styleId="17">
    <w:name w:val="Document Map"/>
    <w:basedOn w:val="1"/>
    <w:link w:val="60"/>
    <w:semiHidden/>
    <w:qFormat/>
    <w:uiPriority w:val="0"/>
    <w:rPr>
      <w:rFonts w:ascii="宋体" w:hAnsi="Calibri"/>
      <w:sz w:val="18"/>
      <w:szCs w:val="20"/>
    </w:rPr>
  </w:style>
  <w:style w:type="paragraph" w:styleId="18">
    <w:name w:val="annotation text"/>
    <w:basedOn w:val="1"/>
    <w:link w:val="61"/>
    <w:semiHidden/>
    <w:qFormat/>
    <w:uiPriority w:val="0"/>
    <w:pPr>
      <w:jc w:val="left"/>
    </w:pPr>
  </w:style>
  <w:style w:type="paragraph" w:styleId="19">
    <w:name w:val="Salutation"/>
    <w:basedOn w:val="1"/>
    <w:next w:val="1"/>
    <w:link w:val="62"/>
    <w:qFormat/>
    <w:uiPriority w:val="0"/>
    <w:rPr>
      <w:sz w:val="28"/>
      <w:szCs w:val="24"/>
    </w:rPr>
  </w:style>
  <w:style w:type="paragraph" w:styleId="20">
    <w:name w:val="Body Text 3"/>
    <w:basedOn w:val="1"/>
    <w:link w:val="63"/>
    <w:qFormat/>
    <w:uiPriority w:val="0"/>
    <w:pPr>
      <w:spacing w:line="500" w:lineRule="exact"/>
    </w:pPr>
    <w:rPr>
      <w:b/>
      <w:bCs/>
      <w:sz w:val="24"/>
      <w:szCs w:val="24"/>
    </w:rPr>
  </w:style>
  <w:style w:type="paragraph" w:styleId="21">
    <w:name w:val="Body Text Indent"/>
    <w:basedOn w:val="1"/>
    <w:link w:val="64"/>
    <w:qFormat/>
    <w:uiPriority w:val="0"/>
    <w:pPr>
      <w:ind w:firstLine="830" w:firstLineChars="352"/>
    </w:pPr>
    <w:rPr>
      <w:rFonts w:ascii="仿宋_GB2312" w:eastAsia="仿宋_GB2312" w:cs="仿宋_GB2312"/>
      <w:sz w:val="32"/>
      <w:szCs w:val="32"/>
    </w:rPr>
  </w:style>
  <w:style w:type="paragraph" w:styleId="22">
    <w:name w:val="List 2"/>
    <w:basedOn w:val="1"/>
    <w:unhideWhenUsed/>
    <w:qFormat/>
    <w:uiPriority w:val="99"/>
    <w:pPr>
      <w:ind w:left="100" w:leftChars="200" w:hanging="200" w:hangingChars="200"/>
      <w:contextualSpacing/>
    </w:pPr>
  </w:style>
  <w:style w:type="paragraph" w:styleId="23">
    <w:name w:val="Block Text"/>
    <w:basedOn w:val="1"/>
    <w:qFormat/>
    <w:uiPriority w:val="0"/>
    <w:pPr>
      <w:adjustRightInd w:val="0"/>
      <w:spacing w:line="300" w:lineRule="auto"/>
      <w:ind w:left="958" w:right="-120" w:rightChars="-120"/>
      <w:jc w:val="left"/>
    </w:pPr>
    <w:rPr>
      <w:rFonts w:ascii="宋体" w:hAnsi="宋体" w:cs="宋体"/>
      <w:sz w:val="28"/>
      <w:szCs w:val="28"/>
    </w:rPr>
  </w:style>
  <w:style w:type="paragraph" w:styleId="24">
    <w:name w:val="Plain Text"/>
    <w:basedOn w:val="1"/>
    <w:link w:val="65"/>
    <w:qFormat/>
    <w:uiPriority w:val="0"/>
    <w:rPr>
      <w:rFonts w:ascii="宋体" w:hAnsi="Courier New"/>
      <w:szCs w:val="20"/>
    </w:rPr>
  </w:style>
  <w:style w:type="paragraph" w:styleId="25">
    <w:name w:val="Date"/>
    <w:basedOn w:val="1"/>
    <w:next w:val="1"/>
    <w:link w:val="66"/>
    <w:qFormat/>
    <w:uiPriority w:val="0"/>
    <w:pPr>
      <w:ind w:left="100" w:leftChars="2500"/>
    </w:pPr>
  </w:style>
  <w:style w:type="paragraph" w:styleId="26">
    <w:name w:val="Body Text Indent 2"/>
    <w:basedOn w:val="1"/>
    <w:link w:val="67"/>
    <w:qFormat/>
    <w:uiPriority w:val="0"/>
    <w:pPr>
      <w:ind w:firstLine="630"/>
    </w:pPr>
    <w:rPr>
      <w:sz w:val="32"/>
      <w:szCs w:val="20"/>
    </w:rPr>
  </w:style>
  <w:style w:type="paragraph" w:styleId="27">
    <w:name w:val="endnote text"/>
    <w:basedOn w:val="1"/>
    <w:link w:val="68"/>
    <w:qFormat/>
    <w:uiPriority w:val="0"/>
    <w:pPr>
      <w:snapToGrid w:val="0"/>
      <w:jc w:val="left"/>
    </w:pPr>
    <w:rPr>
      <w:rFonts w:ascii="Calibri" w:hAnsi="Calibri"/>
      <w:szCs w:val="22"/>
    </w:rPr>
  </w:style>
  <w:style w:type="paragraph" w:styleId="28">
    <w:name w:val="Balloon Text"/>
    <w:basedOn w:val="1"/>
    <w:link w:val="69"/>
    <w:semiHidden/>
    <w:qFormat/>
    <w:uiPriority w:val="0"/>
    <w:rPr>
      <w:sz w:val="18"/>
      <w:szCs w:val="18"/>
    </w:rPr>
  </w:style>
  <w:style w:type="paragraph" w:styleId="29">
    <w:name w:val="footer"/>
    <w:basedOn w:val="1"/>
    <w:link w:val="70"/>
    <w:qFormat/>
    <w:uiPriority w:val="0"/>
    <w:pPr>
      <w:tabs>
        <w:tab w:val="center" w:pos="4153"/>
        <w:tab w:val="right" w:pos="8306"/>
      </w:tabs>
      <w:snapToGrid w:val="0"/>
      <w:jc w:val="left"/>
    </w:pPr>
    <w:rPr>
      <w:sz w:val="18"/>
      <w:szCs w:val="18"/>
    </w:rPr>
  </w:style>
  <w:style w:type="paragraph" w:styleId="30">
    <w:name w:val="header"/>
    <w:basedOn w:val="1"/>
    <w:link w:val="7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semiHidden/>
    <w:qFormat/>
    <w:uiPriority w:val="0"/>
  </w:style>
  <w:style w:type="paragraph" w:styleId="32">
    <w:name w:val="Body Text Indent 3"/>
    <w:basedOn w:val="1"/>
    <w:link w:val="72"/>
    <w:qFormat/>
    <w:uiPriority w:val="0"/>
    <w:pPr>
      <w:spacing w:after="120"/>
      <w:ind w:left="420" w:leftChars="200"/>
    </w:pPr>
    <w:rPr>
      <w:sz w:val="16"/>
      <w:szCs w:val="16"/>
    </w:rPr>
  </w:style>
  <w:style w:type="paragraph" w:styleId="33">
    <w:name w:val="toc 2"/>
    <w:basedOn w:val="1"/>
    <w:next w:val="1"/>
    <w:unhideWhenUsed/>
    <w:qFormat/>
    <w:uiPriority w:val="39"/>
    <w:pPr>
      <w:tabs>
        <w:tab w:val="right" w:leader="dot" w:pos="8296"/>
      </w:tabs>
      <w:ind w:left="420" w:leftChars="200"/>
    </w:pPr>
  </w:style>
  <w:style w:type="paragraph" w:styleId="34">
    <w:name w:val="toc 9"/>
    <w:basedOn w:val="1"/>
    <w:next w:val="1"/>
    <w:semiHidden/>
    <w:qFormat/>
    <w:uiPriority w:val="0"/>
    <w:pPr>
      <w:tabs>
        <w:tab w:val="right" w:leader="dot" w:pos="9185"/>
      </w:tabs>
      <w:adjustRightInd w:val="0"/>
      <w:spacing w:line="460" w:lineRule="exact"/>
      <w:ind w:left="420" w:leftChars="200" w:firstLine="525" w:firstLineChars="250"/>
      <w:textAlignment w:val="baseline"/>
    </w:pPr>
    <w:rPr>
      <w:rFonts w:cs="宋体"/>
      <w:color w:val="008000"/>
      <w:kern w:val="0"/>
    </w:rPr>
  </w:style>
  <w:style w:type="paragraph" w:styleId="35">
    <w:name w:val="Body Text 2"/>
    <w:basedOn w:val="1"/>
    <w:link w:val="73"/>
    <w:qFormat/>
    <w:uiPriority w:val="0"/>
    <w:pPr>
      <w:spacing w:after="120" w:line="480" w:lineRule="auto"/>
    </w:pPr>
    <w:rPr>
      <w:szCs w:val="24"/>
    </w:rPr>
  </w:style>
  <w:style w:type="paragraph" w:styleId="36">
    <w:name w:val="HTML Preformatted"/>
    <w:basedOn w:val="1"/>
    <w:link w:val="7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8">
    <w:name w:val="index 1"/>
    <w:basedOn w:val="1"/>
    <w:next w:val="1"/>
    <w:semiHidden/>
    <w:qFormat/>
    <w:uiPriority w:val="0"/>
    <w:pPr>
      <w:spacing w:line="400" w:lineRule="exact"/>
      <w:ind w:firstLine="420" w:firstLineChars="200"/>
    </w:pPr>
    <w:rPr>
      <w:rFonts w:ascii="宋体" w:hAnsi="Courier New"/>
      <w:b/>
      <w:szCs w:val="20"/>
    </w:rPr>
  </w:style>
  <w:style w:type="paragraph" w:styleId="39">
    <w:name w:val="Title"/>
    <w:basedOn w:val="1"/>
    <w:link w:val="75"/>
    <w:qFormat/>
    <w:uiPriority w:val="0"/>
    <w:pPr>
      <w:spacing w:before="240" w:after="60"/>
      <w:jc w:val="center"/>
      <w:outlineLvl w:val="0"/>
    </w:pPr>
    <w:rPr>
      <w:rFonts w:ascii="Arial" w:hAnsi="Arial"/>
      <w:b/>
      <w:bCs/>
      <w:sz w:val="32"/>
      <w:szCs w:val="32"/>
    </w:rPr>
  </w:style>
  <w:style w:type="paragraph" w:styleId="40">
    <w:name w:val="annotation subject"/>
    <w:basedOn w:val="18"/>
    <w:next w:val="18"/>
    <w:link w:val="76"/>
    <w:semiHidden/>
    <w:qFormat/>
    <w:uiPriority w:val="0"/>
    <w:rPr>
      <w:b/>
      <w:bCs/>
    </w:rPr>
  </w:style>
  <w:style w:type="table" w:styleId="42">
    <w:name w:val="Table Grid"/>
    <w:basedOn w:val="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4">
    <w:name w:val="Strong"/>
    <w:qFormat/>
    <w:uiPriority w:val="0"/>
    <w:rPr>
      <w:b/>
      <w:bCs/>
    </w:rPr>
  </w:style>
  <w:style w:type="character" w:styleId="45">
    <w:name w:val="page number"/>
    <w:qFormat/>
    <w:uiPriority w:val="0"/>
    <w:rPr>
      <w:rFonts w:cs="Times New Roman"/>
    </w:rPr>
  </w:style>
  <w:style w:type="character" w:styleId="46">
    <w:name w:val="Hyperlink"/>
    <w:qFormat/>
    <w:uiPriority w:val="0"/>
    <w:rPr>
      <w:rFonts w:cs="Times New Roman"/>
      <w:color w:val="0000FF"/>
      <w:u w:val="single"/>
    </w:rPr>
  </w:style>
  <w:style w:type="character" w:styleId="47">
    <w:name w:val="annotation reference"/>
    <w:semiHidden/>
    <w:qFormat/>
    <w:uiPriority w:val="0"/>
    <w:rPr>
      <w:rFonts w:cs="Times New Roman"/>
      <w:sz w:val="21"/>
      <w:szCs w:val="21"/>
    </w:rPr>
  </w:style>
  <w:style w:type="character" w:styleId="48">
    <w:name w:val="HTML Sample"/>
    <w:unhideWhenUsed/>
    <w:qFormat/>
    <w:uiPriority w:val="0"/>
    <w:rPr>
      <w:rFonts w:ascii="宋体" w:hAnsi="宋体" w:eastAsia="宋体" w:cs="宋体"/>
    </w:rPr>
  </w:style>
  <w:style w:type="character" w:customStyle="1" w:styleId="49">
    <w:name w:val="标题 1 Char"/>
    <w:link w:val="5"/>
    <w:qFormat/>
    <w:locked/>
    <w:uiPriority w:val="0"/>
    <w:rPr>
      <w:rFonts w:eastAsia="宋体"/>
      <w:b/>
      <w:bCs/>
      <w:kern w:val="44"/>
      <w:sz w:val="44"/>
      <w:szCs w:val="44"/>
      <w:lang w:val="en-US" w:eastAsia="zh-CN" w:bidi="ar-SA"/>
    </w:rPr>
  </w:style>
  <w:style w:type="character" w:customStyle="1" w:styleId="50">
    <w:name w:val="标题 2 Char"/>
    <w:link w:val="6"/>
    <w:semiHidden/>
    <w:qFormat/>
    <w:uiPriority w:val="0"/>
    <w:rPr>
      <w:rFonts w:ascii="Calibri Light" w:hAnsi="Calibri Light" w:eastAsia="宋体"/>
      <w:b/>
      <w:bCs/>
      <w:kern w:val="2"/>
      <w:sz w:val="32"/>
      <w:szCs w:val="32"/>
      <w:lang w:val="en-US" w:eastAsia="zh-CN" w:bidi="ar-SA"/>
    </w:rPr>
  </w:style>
  <w:style w:type="character" w:customStyle="1" w:styleId="51">
    <w:name w:val="标题 4 Char"/>
    <w:link w:val="8"/>
    <w:qFormat/>
    <w:uiPriority w:val="0"/>
    <w:rPr>
      <w:rFonts w:ascii="Arial" w:hAnsi="Arial" w:eastAsia="黑体"/>
      <w:kern w:val="2"/>
      <w:sz w:val="28"/>
      <w:szCs w:val="24"/>
      <w:lang w:val="en-US" w:eastAsia="zh-CN" w:bidi="ar-SA"/>
    </w:rPr>
  </w:style>
  <w:style w:type="character" w:customStyle="1" w:styleId="52">
    <w:name w:val="标题 5 Char"/>
    <w:link w:val="9"/>
    <w:qFormat/>
    <w:uiPriority w:val="0"/>
    <w:rPr>
      <w:rFonts w:eastAsia="宋体"/>
      <w:b/>
      <w:kern w:val="2"/>
      <w:sz w:val="28"/>
      <w:szCs w:val="24"/>
      <w:lang w:val="en-US" w:eastAsia="zh-CN" w:bidi="ar-SA"/>
    </w:rPr>
  </w:style>
  <w:style w:type="character" w:customStyle="1" w:styleId="53">
    <w:name w:val="标题 6 Char"/>
    <w:link w:val="11"/>
    <w:qFormat/>
    <w:uiPriority w:val="0"/>
    <w:rPr>
      <w:rFonts w:ascii="Arial" w:hAnsi="Arial" w:eastAsia="黑体"/>
      <w:b/>
      <w:kern w:val="2"/>
      <w:sz w:val="24"/>
      <w:szCs w:val="24"/>
      <w:lang w:val="en-US" w:eastAsia="zh-CN" w:bidi="ar-SA"/>
    </w:rPr>
  </w:style>
  <w:style w:type="character" w:customStyle="1" w:styleId="54">
    <w:name w:val="标题 3 Char"/>
    <w:link w:val="7"/>
    <w:qFormat/>
    <w:uiPriority w:val="0"/>
    <w:rPr>
      <w:rFonts w:eastAsia="宋体"/>
      <w:b/>
      <w:bCs/>
      <w:kern w:val="2"/>
      <w:sz w:val="32"/>
      <w:szCs w:val="32"/>
      <w:lang w:val="en-US" w:eastAsia="zh-CN" w:bidi="ar-SA"/>
    </w:rPr>
  </w:style>
  <w:style w:type="character" w:customStyle="1" w:styleId="55">
    <w:name w:val="正文文本 Char"/>
    <w:link w:val="2"/>
    <w:qFormat/>
    <w:uiPriority w:val="0"/>
    <w:rPr>
      <w:rFonts w:eastAsia="宋体"/>
      <w:kern w:val="2"/>
      <w:sz w:val="24"/>
      <w:szCs w:val="24"/>
      <w:lang w:val="en-US" w:eastAsia="zh-CN" w:bidi="ar-SA"/>
    </w:rPr>
  </w:style>
  <w:style w:type="character" w:customStyle="1" w:styleId="56">
    <w:name w:val="正文缩进 Char"/>
    <w:link w:val="10"/>
    <w:qFormat/>
    <w:locked/>
    <w:uiPriority w:val="0"/>
    <w:rPr>
      <w:rFonts w:ascii="Calibri" w:hAnsi="Calibri" w:eastAsia="宋体"/>
      <w:kern w:val="2"/>
      <w:sz w:val="21"/>
      <w:lang w:val="en-US" w:eastAsia="zh-CN" w:bidi="ar-SA"/>
    </w:rPr>
  </w:style>
  <w:style w:type="character" w:customStyle="1" w:styleId="57">
    <w:name w:val="标题 7 Char"/>
    <w:link w:val="12"/>
    <w:qFormat/>
    <w:uiPriority w:val="0"/>
    <w:rPr>
      <w:rFonts w:eastAsia="宋体"/>
      <w:b/>
      <w:kern w:val="2"/>
      <w:sz w:val="24"/>
      <w:szCs w:val="24"/>
      <w:lang w:val="en-US" w:eastAsia="zh-CN" w:bidi="ar-SA"/>
    </w:rPr>
  </w:style>
  <w:style w:type="character" w:customStyle="1" w:styleId="58">
    <w:name w:val="标题 8 Char"/>
    <w:link w:val="13"/>
    <w:qFormat/>
    <w:uiPriority w:val="0"/>
    <w:rPr>
      <w:rFonts w:ascii="Arial" w:hAnsi="Arial" w:eastAsia="黑体"/>
      <w:kern w:val="2"/>
      <w:sz w:val="24"/>
      <w:szCs w:val="24"/>
      <w:lang w:val="en-US" w:eastAsia="zh-CN" w:bidi="ar-SA"/>
    </w:rPr>
  </w:style>
  <w:style w:type="character" w:customStyle="1" w:styleId="59">
    <w:name w:val="标题 9 Char"/>
    <w:link w:val="14"/>
    <w:qFormat/>
    <w:uiPriority w:val="0"/>
    <w:rPr>
      <w:rFonts w:ascii="Arial" w:hAnsi="Arial" w:eastAsia="黑体"/>
      <w:kern w:val="2"/>
      <w:sz w:val="21"/>
      <w:szCs w:val="24"/>
      <w:lang w:val="en-US" w:eastAsia="zh-CN" w:bidi="ar-SA"/>
    </w:rPr>
  </w:style>
  <w:style w:type="character" w:customStyle="1" w:styleId="60">
    <w:name w:val="文档结构图 Char1"/>
    <w:link w:val="17"/>
    <w:semiHidden/>
    <w:qFormat/>
    <w:locked/>
    <w:uiPriority w:val="0"/>
    <w:rPr>
      <w:rFonts w:ascii="宋体" w:hAnsi="Calibri" w:eastAsia="宋体"/>
      <w:kern w:val="2"/>
      <w:sz w:val="18"/>
      <w:lang w:val="en-US" w:eastAsia="zh-CN" w:bidi="ar-SA"/>
    </w:rPr>
  </w:style>
  <w:style w:type="character" w:customStyle="1" w:styleId="61">
    <w:name w:val="批注文字 Char"/>
    <w:link w:val="18"/>
    <w:semiHidden/>
    <w:qFormat/>
    <w:locked/>
    <w:uiPriority w:val="0"/>
    <w:rPr>
      <w:rFonts w:eastAsia="宋体"/>
      <w:kern w:val="2"/>
      <w:sz w:val="21"/>
      <w:szCs w:val="21"/>
      <w:lang w:val="en-US" w:eastAsia="zh-CN" w:bidi="ar-SA"/>
    </w:rPr>
  </w:style>
  <w:style w:type="character" w:customStyle="1" w:styleId="62">
    <w:name w:val="称呼 Char"/>
    <w:link w:val="19"/>
    <w:qFormat/>
    <w:uiPriority w:val="0"/>
    <w:rPr>
      <w:kern w:val="2"/>
      <w:sz w:val="28"/>
      <w:szCs w:val="24"/>
      <w:lang w:bidi="ar-SA"/>
    </w:rPr>
  </w:style>
  <w:style w:type="character" w:customStyle="1" w:styleId="63">
    <w:name w:val="正文文本 3 Char"/>
    <w:link w:val="20"/>
    <w:qFormat/>
    <w:uiPriority w:val="0"/>
    <w:rPr>
      <w:rFonts w:eastAsia="宋体"/>
      <w:b/>
      <w:bCs/>
      <w:kern w:val="2"/>
      <w:sz w:val="24"/>
      <w:szCs w:val="24"/>
      <w:lang w:val="en-US" w:eastAsia="zh-CN" w:bidi="ar-SA"/>
    </w:rPr>
  </w:style>
  <w:style w:type="character" w:customStyle="1" w:styleId="64">
    <w:name w:val="正文文本缩进 Char"/>
    <w:link w:val="21"/>
    <w:semiHidden/>
    <w:qFormat/>
    <w:locked/>
    <w:uiPriority w:val="0"/>
    <w:rPr>
      <w:rFonts w:ascii="仿宋_GB2312" w:eastAsia="仿宋_GB2312" w:cs="仿宋_GB2312"/>
      <w:kern w:val="2"/>
      <w:sz w:val="32"/>
      <w:szCs w:val="32"/>
      <w:lang w:val="en-US" w:eastAsia="zh-CN" w:bidi="ar-SA"/>
    </w:rPr>
  </w:style>
  <w:style w:type="character" w:customStyle="1" w:styleId="65">
    <w:name w:val="纯文本 Char2"/>
    <w:link w:val="24"/>
    <w:semiHidden/>
    <w:qFormat/>
    <w:locked/>
    <w:uiPriority w:val="0"/>
    <w:rPr>
      <w:rFonts w:ascii="宋体" w:hAnsi="Courier New" w:eastAsia="宋体"/>
      <w:kern w:val="2"/>
      <w:sz w:val="21"/>
      <w:lang w:val="en-US" w:eastAsia="zh-CN" w:bidi="ar-SA"/>
    </w:rPr>
  </w:style>
  <w:style w:type="character" w:customStyle="1" w:styleId="66">
    <w:name w:val="日期 Char"/>
    <w:link w:val="25"/>
    <w:qFormat/>
    <w:uiPriority w:val="0"/>
    <w:rPr>
      <w:rFonts w:eastAsia="宋体"/>
      <w:kern w:val="2"/>
      <w:sz w:val="21"/>
      <w:szCs w:val="21"/>
      <w:lang w:val="en-US" w:eastAsia="zh-CN" w:bidi="ar-SA"/>
    </w:rPr>
  </w:style>
  <w:style w:type="character" w:customStyle="1" w:styleId="67">
    <w:name w:val="正文文本缩进 2 Char"/>
    <w:link w:val="26"/>
    <w:qFormat/>
    <w:uiPriority w:val="0"/>
    <w:rPr>
      <w:rFonts w:eastAsia="宋体"/>
      <w:kern w:val="2"/>
      <w:sz w:val="32"/>
      <w:lang w:val="en-US" w:eastAsia="zh-CN" w:bidi="ar-SA"/>
    </w:rPr>
  </w:style>
  <w:style w:type="character" w:customStyle="1" w:styleId="68">
    <w:name w:val="尾注文本 Char"/>
    <w:link w:val="27"/>
    <w:qFormat/>
    <w:uiPriority w:val="0"/>
    <w:rPr>
      <w:rFonts w:ascii="Calibri" w:hAnsi="Calibri"/>
      <w:kern w:val="2"/>
      <w:sz w:val="21"/>
      <w:szCs w:val="22"/>
      <w:lang w:bidi="ar-SA"/>
    </w:rPr>
  </w:style>
  <w:style w:type="character" w:customStyle="1" w:styleId="69">
    <w:name w:val="批注框文本 Char"/>
    <w:link w:val="28"/>
    <w:semiHidden/>
    <w:qFormat/>
    <w:locked/>
    <w:uiPriority w:val="0"/>
    <w:rPr>
      <w:rFonts w:eastAsia="宋体"/>
      <w:kern w:val="2"/>
      <w:sz w:val="18"/>
      <w:szCs w:val="18"/>
      <w:lang w:val="en-US" w:eastAsia="zh-CN" w:bidi="ar-SA"/>
    </w:rPr>
  </w:style>
  <w:style w:type="character" w:customStyle="1" w:styleId="70">
    <w:name w:val="页脚 Char"/>
    <w:link w:val="29"/>
    <w:qFormat/>
    <w:locked/>
    <w:uiPriority w:val="0"/>
    <w:rPr>
      <w:rFonts w:eastAsia="宋体"/>
      <w:kern w:val="2"/>
      <w:sz w:val="18"/>
      <w:szCs w:val="18"/>
      <w:lang w:val="en-US" w:eastAsia="zh-CN" w:bidi="ar-SA"/>
    </w:rPr>
  </w:style>
  <w:style w:type="character" w:customStyle="1" w:styleId="71">
    <w:name w:val="页眉 Char"/>
    <w:link w:val="30"/>
    <w:qFormat/>
    <w:locked/>
    <w:uiPriority w:val="0"/>
    <w:rPr>
      <w:rFonts w:eastAsia="宋体"/>
      <w:kern w:val="2"/>
      <w:sz w:val="18"/>
      <w:szCs w:val="18"/>
      <w:lang w:val="en-US" w:eastAsia="zh-CN" w:bidi="ar-SA"/>
    </w:rPr>
  </w:style>
  <w:style w:type="character" w:customStyle="1" w:styleId="72">
    <w:name w:val="正文文本缩进 3 Char"/>
    <w:link w:val="32"/>
    <w:qFormat/>
    <w:uiPriority w:val="0"/>
    <w:rPr>
      <w:rFonts w:eastAsia="宋体"/>
      <w:kern w:val="2"/>
      <w:sz w:val="16"/>
      <w:szCs w:val="16"/>
      <w:lang w:val="en-US" w:eastAsia="zh-CN" w:bidi="ar-SA"/>
    </w:rPr>
  </w:style>
  <w:style w:type="character" w:customStyle="1" w:styleId="73">
    <w:name w:val="正文文本 2 Char"/>
    <w:link w:val="35"/>
    <w:qFormat/>
    <w:uiPriority w:val="0"/>
    <w:rPr>
      <w:rFonts w:eastAsia="宋体"/>
      <w:kern w:val="2"/>
      <w:sz w:val="21"/>
      <w:szCs w:val="24"/>
      <w:lang w:val="en-US" w:eastAsia="zh-CN" w:bidi="ar-SA"/>
    </w:rPr>
  </w:style>
  <w:style w:type="character" w:customStyle="1" w:styleId="74">
    <w:name w:val="HTML 预设格式 Char"/>
    <w:link w:val="36"/>
    <w:qFormat/>
    <w:uiPriority w:val="0"/>
    <w:rPr>
      <w:rFonts w:ascii="黑体" w:hAnsi="Courier New" w:eastAsia="黑体" w:cs="Courier New"/>
      <w:lang w:val="en-US" w:eastAsia="zh-CN" w:bidi="ar-SA"/>
    </w:rPr>
  </w:style>
  <w:style w:type="character" w:customStyle="1" w:styleId="75">
    <w:name w:val="标题 Char"/>
    <w:link w:val="39"/>
    <w:qFormat/>
    <w:uiPriority w:val="0"/>
    <w:rPr>
      <w:rFonts w:ascii="Arial" w:hAnsi="Arial" w:eastAsia="宋体"/>
      <w:b/>
      <w:bCs/>
      <w:kern w:val="2"/>
      <w:sz w:val="32"/>
      <w:szCs w:val="32"/>
      <w:lang w:bidi="ar-SA"/>
    </w:rPr>
  </w:style>
  <w:style w:type="character" w:customStyle="1" w:styleId="76">
    <w:name w:val="批注主题 Char"/>
    <w:link w:val="40"/>
    <w:semiHidden/>
    <w:qFormat/>
    <w:locked/>
    <w:uiPriority w:val="0"/>
    <w:rPr>
      <w:rFonts w:eastAsia="宋体"/>
      <w:b/>
      <w:bCs/>
      <w:kern w:val="2"/>
      <w:sz w:val="21"/>
      <w:szCs w:val="21"/>
      <w:lang w:val="en-US" w:eastAsia="zh-CN" w:bidi="ar-SA"/>
    </w:rPr>
  </w:style>
  <w:style w:type="paragraph" w:customStyle="1" w:styleId="77">
    <w:name w:val="Default"/>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78">
    <w:name w:val="纯文本 Char1"/>
    <w:qFormat/>
    <w:locked/>
    <w:uiPriority w:val="0"/>
    <w:rPr>
      <w:rFonts w:ascii="宋体" w:hAnsi="Courier New" w:eastAsia="宋体"/>
      <w:kern w:val="2"/>
      <w:sz w:val="21"/>
      <w:lang w:val="en-US" w:eastAsia="zh-CN"/>
    </w:rPr>
  </w:style>
  <w:style w:type="character" w:customStyle="1" w:styleId="79">
    <w:name w:val="param-name"/>
    <w:qFormat/>
    <w:uiPriority w:val="0"/>
    <w:rPr>
      <w:rFonts w:cs="Times New Roman"/>
    </w:rPr>
  </w:style>
  <w:style w:type="character" w:customStyle="1" w:styleId="80">
    <w:name w:val="1ji Char"/>
    <w:link w:val="81"/>
    <w:qFormat/>
    <w:locked/>
    <w:uiPriority w:val="0"/>
    <w:rPr>
      <w:rFonts w:ascii="宋体" w:hAnsi="宋体" w:eastAsia="宋体"/>
      <w:b/>
      <w:kern w:val="44"/>
      <w:sz w:val="44"/>
      <w:lang w:val="en-US" w:eastAsia="zh-CN" w:bidi="ar-SA"/>
    </w:rPr>
  </w:style>
  <w:style w:type="paragraph" w:customStyle="1" w:styleId="81">
    <w:name w:val="1ji"/>
    <w:basedOn w:val="5"/>
    <w:link w:val="80"/>
    <w:qFormat/>
    <w:uiPriority w:val="0"/>
    <w:pPr>
      <w:keepLines w:val="0"/>
      <w:widowControl/>
      <w:spacing w:before="0" w:after="0" w:line="240" w:lineRule="auto"/>
      <w:jc w:val="center"/>
    </w:pPr>
    <w:rPr>
      <w:rFonts w:ascii="宋体" w:hAnsi="宋体"/>
      <w:bCs w:val="0"/>
      <w:szCs w:val="20"/>
    </w:rPr>
  </w:style>
  <w:style w:type="character" w:customStyle="1" w:styleId="82">
    <w:name w:val="文档结构图 Char"/>
    <w:qFormat/>
    <w:locked/>
    <w:uiPriority w:val="0"/>
    <w:rPr>
      <w:rFonts w:ascii="宋体"/>
      <w:kern w:val="2"/>
      <w:sz w:val="18"/>
    </w:rPr>
  </w:style>
  <w:style w:type="character" w:customStyle="1" w:styleId="83">
    <w:name w:val="标题 1 Char1"/>
    <w:qFormat/>
    <w:uiPriority w:val="0"/>
    <w:rPr>
      <w:rFonts w:ascii="Calibri" w:hAnsi="Calibri" w:eastAsia="宋体"/>
      <w:b/>
      <w:kern w:val="44"/>
      <w:sz w:val="24"/>
    </w:rPr>
  </w:style>
  <w:style w:type="character" w:customStyle="1" w:styleId="84">
    <w:name w:val="纯文本 Char"/>
    <w:qFormat/>
    <w:uiPriority w:val="0"/>
    <w:rPr>
      <w:rFonts w:ascii="宋体" w:hAnsi="Courier New" w:eastAsia="宋体"/>
      <w:kern w:val="2"/>
      <w:sz w:val="21"/>
      <w:lang w:val="en-US" w:eastAsia="zh-CN"/>
    </w:rPr>
  </w:style>
  <w:style w:type="paragraph" w:customStyle="1" w:styleId="85">
    <w:name w:val="列出段落1"/>
    <w:basedOn w:val="1"/>
    <w:qFormat/>
    <w:uiPriority w:val="0"/>
    <w:pPr>
      <w:widowControl/>
      <w:spacing w:after="160" w:line="259" w:lineRule="auto"/>
      <w:ind w:left="720"/>
      <w:jc w:val="left"/>
    </w:pPr>
    <w:rPr>
      <w:rFonts w:ascii="Calibri" w:hAnsi="Calibri" w:cs="Calibri"/>
      <w:kern w:val="0"/>
      <w:sz w:val="22"/>
      <w:szCs w:val="22"/>
    </w:rPr>
  </w:style>
  <w:style w:type="paragraph" w:customStyle="1" w:styleId="86">
    <w:name w:val="p0"/>
    <w:basedOn w:val="1"/>
    <w:qFormat/>
    <w:uiPriority w:val="0"/>
    <w:pPr>
      <w:widowControl/>
    </w:pPr>
    <w:rPr>
      <w:kern w:val="0"/>
    </w:rPr>
  </w:style>
  <w:style w:type="paragraph" w:customStyle="1" w:styleId="87">
    <w:name w:val="1"/>
    <w:basedOn w:val="1"/>
    <w:next w:val="24"/>
    <w:qFormat/>
    <w:uiPriority w:val="0"/>
    <w:rPr>
      <w:rFonts w:ascii="宋体" w:hAnsi="Courier New" w:cs="宋体"/>
    </w:rPr>
  </w:style>
  <w:style w:type="paragraph" w:customStyle="1" w:styleId="88">
    <w:name w:val="列出段落11"/>
    <w:basedOn w:val="1"/>
    <w:qFormat/>
    <w:uiPriority w:val="0"/>
    <w:pPr>
      <w:ind w:firstLine="420" w:firstLineChars="200"/>
    </w:pPr>
    <w:rPr>
      <w:rFonts w:ascii="Calibri" w:hAnsi="Calibri" w:cs="Calibri"/>
    </w:rPr>
  </w:style>
  <w:style w:type="paragraph" w:customStyle="1" w:styleId="89">
    <w:name w:val="修订1"/>
    <w:semiHidden/>
    <w:qFormat/>
    <w:uiPriority w:val="0"/>
    <w:rPr>
      <w:rFonts w:ascii="Times New Roman" w:hAnsi="Times New Roman" w:eastAsia="宋体" w:cs="Times New Roman"/>
      <w:kern w:val="2"/>
      <w:sz w:val="21"/>
      <w:szCs w:val="21"/>
      <w:lang w:val="en-US" w:eastAsia="zh-CN" w:bidi="ar-SA"/>
    </w:rPr>
  </w:style>
  <w:style w:type="paragraph" w:customStyle="1" w:styleId="90">
    <w:name w:val="正文 A"/>
    <w:qFormat/>
    <w:uiPriority w:val="0"/>
    <w:pPr>
      <w:widowControl w:val="0"/>
      <w:jc w:val="both"/>
    </w:pPr>
    <w:rPr>
      <w:rFonts w:ascii="Times New Roman" w:hAnsi="Times New Roman" w:eastAsia="Times New Roman" w:cs="Times New Roman"/>
      <w:color w:val="000000"/>
      <w:kern w:val="2"/>
      <w:sz w:val="21"/>
      <w:szCs w:val="21"/>
      <w:lang w:val="en-US" w:eastAsia="zh-CN" w:bidi="ar-SA"/>
    </w:rPr>
  </w:style>
  <w:style w:type="character" w:customStyle="1" w:styleId="91">
    <w:name w:val="Heading 1 Char"/>
    <w:qFormat/>
    <w:locked/>
    <w:uiPriority w:val="0"/>
    <w:rPr>
      <w:rFonts w:eastAsia="宋体"/>
      <w:b/>
      <w:bCs/>
      <w:kern w:val="44"/>
      <w:sz w:val="44"/>
      <w:szCs w:val="44"/>
      <w:lang w:val="en-US" w:eastAsia="zh-CN" w:bidi="ar-SA"/>
    </w:rPr>
  </w:style>
  <w:style w:type="character" w:customStyle="1" w:styleId="92">
    <w:name w:val="Plain Text Char"/>
    <w:qFormat/>
    <w:locked/>
    <w:uiPriority w:val="0"/>
    <w:rPr>
      <w:rFonts w:ascii="宋体" w:hAnsi="Courier New" w:eastAsia="宋体" w:cs="Courier New"/>
      <w:kern w:val="2"/>
      <w:sz w:val="21"/>
      <w:szCs w:val="21"/>
      <w:lang w:val="en-US" w:eastAsia="zh-CN" w:bidi="ar-SA"/>
    </w:rPr>
  </w:style>
  <w:style w:type="paragraph" w:customStyle="1" w:styleId="93">
    <w:name w:val="List Paragraph1"/>
    <w:basedOn w:val="1"/>
    <w:qFormat/>
    <w:uiPriority w:val="0"/>
    <w:pPr>
      <w:ind w:firstLine="420" w:firstLineChars="200"/>
    </w:pPr>
  </w:style>
  <w:style w:type="character" w:customStyle="1" w:styleId="94">
    <w:name w:val="15"/>
    <w:qFormat/>
    <w:uiPriority w:val="0"/>
    <w:rPr>
      <w:rFonts w:hint="default" w:ascii="Times New Roman" w:hAnsi="Times New Roman" w:cs="Times New Roman"/>
      <w:color w:val="0000FF"/>
      <w:u w:val="single"/>
    </w:rPr>
  </w:style>
  <w:style w:type="paragraph" w:customStyle="1" w:styleId="95">
    <w:name w:val="p15"/>
    <w:basedOn w:val="1"/>
    <w:qFormat/>
    <w:uiPriority w:val="0"/>
    <w:pPr>
      <w:widowControl/>
    </w:pPr>
    <w:rPr>
      <w:rFonts w:ascii="宋体" w:hAnsi="宋体" w:cs="宋体"/>
      <w:kern w:val="0"/>
    </w:rPr>
  </w:style>
  <w:style w:type="character" w:customStyle="1" w:styleId="96">
    <w:name w:val="Char Char22"/>
    <w:qFormat/>
    <w:uiPriority w:val="0"/>
    <w:rPr>
      <w:rFonts w:eastAsia="宋体"/>
      <w:sz w:val="24"/>
      <w:lang w:bidi="ar-SA"/>
    </w:rPr>
  </w:style>
  <w:style w:type="character" w:customStyle="1" w:styleId="97">
    <w:name w:val="Plain Text Char1"/>
    <w:semiHidden/>
    <w:qFormat/>
    <w:locked/>
    <w:uiPriority w:val="0"/>
    <w:rPr>
      <w:rFonts w:ascii="宋体" w:hAnsi="Courier New" w:eastAsia="宋体"/>
      <w:kern w:val="2"/>
      <w:sz w:val="21"/>
      <w:lang w:val="en-US" w:eastAsia="zh-CN"/>
    </w:rPr>
  </w:style>
  <w:style w:type="character" w:customStyle="1" w:styleId="98">
    <w:name w:val="无间隔 Char"/>
    <w:link w:val="99"/>
    <w:qFormat/>
    <w:uiPriority w:val="0"/>
    <w:rPr>
      <w:rFonts w:ascii="Calibri" w:hAnsi="Calibri" w:eastAsia="Times New Roman"/>
      <w:sz w:val="22"/>
      <w:szCs w:val="22"/>
      <w:lang w:val="en-US" w:eastAsia="zh-CN" w:bidi="ar-SA"/>
    </w:rPr>
  </w:style>
  <w:style w:type="paragraph" w:styleId="99">
    <w:name w:val="No Spacing"/>
    <w:link w:val="98"/>
    <w:qFormat/>
    <w:uiPriority w:val="0"/>
    <w:rPr>
      <w:rFonts w:ascii="Calibri" w:hAnsi="Calibri" w:eastAsia="Times New Roman" w:cs="Times New Roman"/>
      <w:sz w:val="22"/>
      <w:szCs w:val="22"/>
      <w:lang w:val="en-US" w:eastAsia="zh-CN" w:bidi="ar-SA"/>
    </w:rPr>
  </w:style>
  <w:style w:type="character" w:customStyle="1" w:styleId="100">
    <w:name w:val="自定义标题一 Char Char Char"/>
    <w:link w:val="101"/>
    <w:qFormat/>
    <w:uiPriority w:val="0"/>
    <w:rPr>
      <w:rFonts w:ascii="黑体" w:hAnsi="黑体" w:eastAsia="黑体"/>
      <w:b/>
      <w:bCs/>
      <w:kern w:val="44"/>
      <w:sz w:val="44"/>
      <w:szCs w:val="44"/>
      <w:lang w:bidi="ar-SA"/>
    </w:rPr>
  </w:style>
  <w:style w:type="paragraph" w:customStyle="1" w:styleId="101">
    <w:name w:val="自定义标题一"/>
    <w:basedOn w:val="5"/>
    <w:link w:val="100"/>
    <w:qFormat/>
    <w:uiPriority w:val="0"/>
    <w:pPr>
      <w:pageBreakBefore/>
      <w:tabs>
        <w:tab w:val="left" w:pos="144"/>
      </w:tabs>
      <w:spacing w:before="0" w:after="0" w:line="360" w:lineRule="auto"/>
      <w:ind w:left="144" w:hanging="144"/>
      <w:jc w:val="center"/>
    </w:pPr>
    <w:rPr>
      <w:rFonts w:ascii="黑体" w:hAnsi="黑体" w:eastAsia="黑体"/>
    </w:rPr>
  </w:style>
  <w:style w:type="character" w:customStyle="1" w:styleId="102">
    <w:name w:val="Plain Text Char Char"/>
    <w:link w:val="103"/>
    <w:qFormat/>
    <w:uiPriority w:val="0"/>
    <w:rPr>
      <w:rFonts w:ascii="宋体" w:hAnsi="Courier New" w:eastAsia="宋体"/>
      <w:kern w:val="2"/>
      <w:sz w:val="21"/>
      <w:lang w:bidi="ar-SA"/>
    </w:rPr>
  </w:style>
  <w:style w:type="paragraph" w:customStyle="1" w:styleId="103">
    <w:name w:val="纯文本1"/>
    <w:basedOn w:val="1"/>
    <w:link w:val="102"/>
    <w:qFormat/>
    <w:uiPriority w:val="0"/>
    <w:rPr>
      <w:rFonts w:ascii="宋体" w:hAnsi="Courier New"/>
      <w:szCs w:val="20"/>
    </w:rPr>
  </w:style>
  <w:style w:type="character" w:customStyle="1" w:styleId="104">
    <w:name w:val="列出段落 Char"/>
    <w:link w:val="105"/>
    <w:qFormat/>
    <w:uiPriority w:val="0"/>
    <w:rPr>
      <w:rFonts w:ascii="Calibri" w:hAnsi="Calibri" w:eastAsia="宋体"/>
      <w:kern w:val="2"/>
      <w:sz w:val="21"/>
      <w:szCs w:val="22"/>
      <w:lang w:val="en-US" w:eastAsia="zh-CN" w:bidi="ar-SA"/>
    </w:rPr>
  </w:style>
  <w:style w:type="paragraph" w:styleId="105">
    <w:name w:val="List Paragraph"/>
    <w:basedOn w:val="1"/>
    <w:link w:val="104"/>
    <w:qFormat/>
    <w:uiPriority w:val="0"/>
    <w:pPr>
      <w:ind w:firstLine="420" w:firstLineChars="200"/>
    </w:pPr>
    <w:rPr>
      <w:rFonts w:ascii="Calibri" w:hAnsi="Calibri"/>
      <w:szCs w:val="22"/>
    </w:rPr>
  </w:style>
  <w:style w:type="paragraph" w:customStyle="1" w:styleId="106">
    <w:name w:val="标题3"/>
    <w:basedOn w:val="7"/>
    <w:qFormat/>
    <w:uiPriority w:val="0"/>
    <w:pPr>
      <w:keepLines w:val="0"/>
      <w:widowControl/>
      <w:tabs>
        <w:tab w:val="left" w:pos="1247"/>
      </w:tabs>
      <w:spacing w:before="240" w:after="120" w:line="360" w:lineRule="auto"/>
      <w:ind w:left="1247" w:hanging="1247"/>
      <w:jc w:val="left"/>
    </w:pPr>
    <w:rPr>
      <w:rFonts w:ascii="Arial" w:hAnsi="Arial"/>
      <w:sz w:val="52"/>
      <w:szCs w:val="52"/>
    </w:rPr>
  </w:style>
  <w:style w:type="paragraph" w:customStyle="1" w:styleId="107">
    <w:name w:val="样式 标题 3 + (中文) 黑体 小四 非加粗 段前: 7.8 磅 段后: 0 磅 行距: 固定值 20 磅"/>
    <w:basedOn w:val="7"/>
    <w:qFormat/>
    <w:uiPriority w:val="0"/>
    <w:pPr>
      <w:spacing w:before="0" w:after="0" w:line="400" w:lineRule="exact"/>
    </w:pPr>
    <w:rPr>
      <w:rFonts w:eastAsia="黑体" w:cs="宋体"/>
      <w:b w:val="0"/>
      <w:bCs w:val="0"/>
      <w:sz w:val="24"/>
      <w:szCs w:val="20"/>
    </w:rPr>
  </w:style>
  <w:style w:type="paragraph" w:customStyle="1" w:styleId="108">
    <w:name w:val="样式 正文文字 + 小四 段后: 0 磅 行距: 1.5 倍行距"/>
    <w:basedOn w:val="2"/>
    <w:qFormat/>
    <w:uiPriority w:val="0"/>
    <w:pPr>
      <w:spacing w:line="360" w:lineRule="auto"/>
      <w:ind w:firstLine="480" w:firstLineChars="200"/>
    </w:pPr>
    <w:rPr>
      <w:rFonts w:cs="宋体"/>
      <w:szCs w:val="20"/>
    </w:rPr>
  </w:style>
  <w:style w:type="character" w:customStyle="1" w:styleId="109">
    <w:name w:val="Body text|1_"/>
    <w:link w:val="110"/>
    <w:qFormat/>
    <w:locked/>
    <w:uiPriority w:val="0"/>
    <w:rPr>
      <w:rFonts w:ascii="宋体" w:hAnsi="宋体"/>
      <w:sz w:val="30"/>
      <w:szCs w:val="30"/>
      <w:lang w:bidi="ar-SA"/>
    </w:rPr>
  </w:style>
  <w:style w:type="paragraph" w:customStyle="1" w:styleId="110">
    <w:name w:val="Body text|1"/>
    <w:basedOn w:val="1"/>
    <w:link w:val="109"/>
    <w:qFormat/>
    <w:uiPriority w:val="0"/>
    <w:pPr>
      <w:spacing w:line="352" w:lineRule="auto"/>
      <w:ind w:firstLine="400"/>
      <w:jc w:val="left"/>
    </w:pPr>
    <w:rPr>
      <w:rFonts w:ascii="宋体" w:hAnsi="宋体" w:eastAsia="Times New Roman"/>
      <w:kern w:val="0"/>
      <w:sz w:val="30"/>
      <w:szCs w:val="30"/>
    </w:rPr>
  </w:style>
  <w:style w:type="character" w:customStyle="1" w:styleId="111">
    <w:name w:val="Body text|3_"/>
    <w:link w:val="112"/>
    <w:qFormat/>
    <w:locked/>
    <w:uiPriority w:val="0"/>
    <w:rPr>
      <w:rFonts w:ascii="宋体" w:hAnsi="宋体"/>
      <w:sz w:val="34"/>
      <w:szCs w:val="34"/>
      <w:lang w:bidi="ar-SA"/>
    </w:rPr>
  </w:style>
  <w:style w:type="paragraph" w:customStyle="1" w:styleId="112">
    <w:name w:val="Body text|3"/>
    <w:basedOn w:val="1"/>
    <w:link w:val="111"/>
    <w:qFormat/>
    <w:uiPriority w:val="0"/>
    <w:pPr>
      <w:spacing w:after="460"/>
      <w:jc w:val="center"/>
    </w:pPr>
    <w:rPr>
      <w:rFonts w:ascii="宋体" w:hAnsi="宋体" w:eastAsia="Times New Roman"/>
      <w:kern w:val="0"/>
      <w:sz w:val="34"/>
      <w:szCs w:val="34"/>
    </w:rPr>
  </w:style>
  <w:style w:type="character" w:customStyle="1" w:styleId="113">
    <w:name w:val="纯文本 Char3"/>
    <w:qFormat/>
    <w:uiPriority w:val="0"/>
    <w:rPr>
      <w:rFonts w:ascii="宋体" w:hAnsi="Courier New" w:eastAsia="宋体" w:cs="Courier New"/>
      <w:kern w:val="2"/>
      <w:sz w:val="21"/>
      <w:szCs w:val="21"/>
      <w:lang w:val="en-US" w:eastAsia="zh-CN" w:bidi="ar-SA"/>
    </w:rPr>
  </w:style>
  <w:style w:type="character" w:customStyle="1" w:styleId="114">
    <w:name w:val="bookmark-item"/>
    <w:qFormat/>
    <w:uiPriority w:val="0"/>
  </w:style>
  <w:style w:type="character" w:customStyle="1" w:styleId="115">
    <w:name w:val="bookmark-item uuid-1595987359344 code-00004 addword single-line-text-input-box-cls"/>
    <w:qFormat/>
    <w:uiPriority w:val="0"/>
  </w:style>
  <w:style w:type="character" w:customStyle="1" w:styleId="116">
    <w:name w:val="bookmark-item uuid-1595987369689 code-00003 addword single-line-text-input-box-cls"/>
    <w:qFormat/>
    <w:uiPriority w:val="0"/>
  </w:style>
  <w:style w:type="character" w:customStyle="1" w:styleId="117">
    <w:name w:val="bookmark-item uuid-1595987387629 code-am01400034 addword numeric-input-box-cls"/>
    <w:qFormat/>
    <w:uiPriority w:val="0"/>
  </w:style>
  <w:style w:type="character" w:customStyle="1" w:styleId="118">
    <w:name w:val="bookmark-item uuid-1593432150293 code-am014biditemname editdisable single-line-text-input-box-cls"/>
    <w:qFormat/>
    <w:uiPriority w:val="0"/>
  </w:style>
  <w:style w:type="character" w:customStyle="1" w:styleId="119">
    <w:name w:val="bookmark-item uuid-1595941076685 code-am014biditemcount editdisable single-line-text-input-box-cls"/>
    <w:qFormat/>
    <w:uiPriority w:val="0"/>
  </w:style>
  <w:style w:type="character" w:customStyle="1" w:styleId="120">
    <w:name w:val="bookmark-item uuid-1593421137256 code-am014budgetprice editdisable single-line-text-input-box-cls"/>
    <w:qFormat/>
    <w:uiPriority w:val="0"/>
  </w:style>
  <w:style w:type="character" w:customStyle="1" w:styleId="121">
    <w:name w:val="bookmark-item uuid-1593421202487 code-am014briefspecificationdesc editdisable single-line-text-input-box-cls"/>
    <w:qFormat/>
    <w:uiPriority w:val="0"/>
  </w:style>
  <w:style w:type="character" w:customStyle="1" w:styleId="122">
    <w:name w:val="bookmark-item uuid-1593432166973 code-am014remarks editdisable single-line-text-input-box-cls"/>
    <w:qFormat/>
    <w:uiPriority w:val="0"/>
  </w:style>
  <w:style w:type="character" w:customStyle="1" w:styleId="123">
    <w:name w:val="bookmark-item uuid-1595987425520 code-23021 editdisable multi-line-text-input-box-cls readonly"/>
    <w:qFormat/>
    <w:uiPriority w:val="0"/>
  </w:style>
  <w:style w:type="character" w:customStyle="1" w:styleId="124">
    <w:name w:val="bookmark-item uuid-1596276761070 code-22002 editdisable multi-line-text-input-box-cls readonly"/>
    <w:qFormat/>
    <w:uiPriority w:val="0"/>
  </w:style>
  <w:style w:type="character" w:customStyle="1" w:styleId="125">
    <w:name w:val="bookmark-item uuid-1595987985571 code-25003 addword date-selection-cls"/>
    <w:qFormat/>
    <w:uiPriority w:val="0"/>
  </w:style>
  <w:style w:type="character" w:customStyle="1" w:styleId="126">
    <w:name w:val="bookmark-item uuid-1595987959773 code-25004 editdisable date-selection-cls readonly"/>
    <w:qFormat/>
    <w:uiPriority w:val="0"/>
  </w:style>
  <w:style w:type="character" w:customStyle="1" w:styleId="127">
    <w:name w:val="bookmark-item uuid-1595988019709 code-25005 addword morning-time-section-selection-cls"/>
    <w:qFormat/>
    <w:uiPriority w:val="0"/>
  </w:style>
  <w:style w:type="character" w:customStyle="1" w:styleId="128">
    <w:name w:val="bookmark-item uuid-1595988030421 code-25006 addword afternoon-time-section-selection-cls"/>
    <w:qFormat/>
    <w:uiPriority w:val="0"/>
  </w:style>
  <w:style w:type="character" w:customStyle="1" w:styleId="129">
    <w:name w:val="bookmark-item uuid-1595988073673 code-25007 editdisable single-line-text-input-box-cls readonly"/>
    <w:qFormat/>
    <w:uiPriority w:val="0"/>
  </w:style>
  <w:style w:type="character" w:customStyle="1" w:styleId="130">
    <w:name w:val="bookmark-item uuid-1595988080611 code-25008 editdisable single-line-text-input-box-cls readonly"/>
    <w:qFormat/>
    <w:uiPriority w:val="0"/>
  </w:style>
  <w:style w:type="character" w:customStyle="1" w:styleId="131">
    <w:name w:val="bookmark-item uuid-1595988095908 code-25009 addword numeric-input-box-cls"/>
    <w:qFormat/>
    <w:uiPriority w:val="0"/>
  </w:style>
  <w:style w:type="character" w:customStyle="1" w:styleId="132">
    <w:name w:val="bookmark-item uuid-1595988122451 code-25011 addword date-time-selection-cls"/>
    <w:qFormat/>
    <w:uiPriority w:val="0"/>
  </w:style>
  <w:style w:type="character" w:customStyle="1" w:styleId="133">
    <w:name w:val="bookmark-item uuid-1595988200124 code-25012 editdisable single-line-text-input-box-cls readonly"/>
    <w:qFormat/>
    <w:uiPriority w:val="0"/>
  </w:style>
  <w:style w:type="character" w:customStyle="1" w:styleId="134">
    <w:name w:val="bookmark-item uuid-1595988227171 code-25011 addword date-time-selection-cls"/>
    <w:qFormat/>
    <w:uiPriority w:val="0"/>
  </w:style>
  <w:style w:type="character" w:customStyle="1" w:styleId="135">
    <w:name w:val="bookmark-item uuid-1595988252461 code-25015 editdisable single-line-text-input-box-cls readonly"/>
    <w:qFormat/>
    <w:uiPriority w:val="0"/>
  </w:style>
  <w:style w:type="character" w:customStyle="1" w:styleId="136">
    <w:name w:val="bookmark-item uuid-1589194982864 code-31006 addword multi-line-text-input-box-cls"/>
    <w:qFormat/>
    <w:uiPriority w:val="0"/>
  </w:style>
  <w:style w:type="character" w:customStyle="1" w:styleId="137">
    <w:name w:val="bookmark-item uuid-1596004663203 code-00014 editdisable interval-text-box-cls readonly"/>
    <w:qFormat/>
    <w:uiPriority w:val="0"/>
  </w:style>
  <w:style w:type="character" w:customStyle="1" w:styleId="138">
    <w:name w:val="bookmark-item uuid-1596004672274 code-00018 addword single-line-text-input-box-cls"/>
    <w:qFormat/>
    <w:uiPriority w:val="0"/>
  </w:style>
  <w:style w:type="character" w:customStyle="1" w:styleId="139">
    <w:name w:val="bookmark-item uuid-1596004688403 code-00015 editdisable single-line-text-input-box-cls readonly"/>
    <w:qFormat/>
    <w:uiPriority w:val="0"/>
  </w:style>
  <w:style w:type="character" w:customStyle="1" w:styleId="140">
    <w:name w:val="bookmark-item uuid-1596004695990 code-00016 editdisable single-line-text-input-box-cls readonly"/>
    <w:qFormat/>
    <w:uiPriority w:val="0"/>
  </w:style>
  <w:style w:type="character" w:customStyle="1" w:styleId="141">
    <w:name w:val="bookmark-item uuid-1596004721081 code-00009 addword interval-text-box-cls"/>
    <w:qFormat/>
    <w:uiPriority w:val="0"/>
  </w:style>
  <w:style w:type="character" w:customStyle="1" w:styleId="142">
    <w:name w:val="bookmark-item uuid-1596004728442 code-00013 editdisable single-line-text-input-box-cls readonly"/>
    <w:qFormat/>
    <w:uiPriority w:val="0"/>
  </w:style>
  <w:style w:type="character" w:customStyle="1" w:styleId="143">
    <w:name w:val="bookmark-item uuid-1596004745033 code-00010 editdisable single-line-text-input-box-cls readonly"/>
    <w:qFormat/>
    <w:uiPriority w:val="0"/>
  </w:style>
  <w:style w:type="character" w:customStyle="1" w:styleId="144">
    <w:name w:val="bookmark-item uuid-1596004753055 code-00011 addword single-line-text-input-box-cls"/>
    <w:qFormat/>
    <w:uiPriority w:val="0"/>
  </w:style>
  <w:style w:type="character" w:customStyle="1" w:styleId="145">
    <w:name w:val="ca-32"/>
    <w:qFormat/>
    <w:uiPriority w:val="0"/>
  </w:style>
  <w:style w:type="paragraph" w:customStyle="1" w:styleId="146">
    <w:name w:val="文档正文"/>
    <w:qFormat/>
    <w:uiPriority w:val="0"/>
    <w:pPr>
      <w:widowControl w:val="0"/>
      <w:adjustRightInd w:val="0"/>
      <w:spacing w:line="480" w:lineRule="atLeast"/>
      <w:jc w:val="both"/>
      <w:textAlignment w:val="baseline"/>
    </w:pPr>
    <w:rPr>
      <w:rFonts w:ascii="宋体" w:hAnsi="Arial" w:eastAsia="宋体" w:cs="Times New Roman"/>
      <w:sz w:val="21"/>
      <w:szCs w:val="24"/>
      <w:lang w:val="en-US" w:eastAsia="zh-CN" w:bidi="ar-SA"/>
    </w:rPr>
  </w:style>
  <w:style w:type="paragraph" w:customStyle="1" w:styleId="147">
    <w:name w:val="BodyText"/>
    <w:qFormat/>
    <w:uiPriority w:val="0"/>
    <w:pPr>
      <w:spacing w:line="360" w:lineRule="auto"/>
      <w:jc w:val="both"/>
      <w:textAlignment w:val="baseline"/>
    </w:pPr>
    <w:rPr>
      <w:rFonts w:ascii="Times New Roman" w:hAnsi="Times New Roman" w:eastAsia="宋体" w:cs="Times New Roman"/>
      <w:kern w:val="2"/>
      <w:sz w:val="24"/>
      <w:szCs w:val="24"/>
      <w:lang w:val="en-US" w:eastAsia="zh-CN" w:bidi="ar-SA"/>
    </w:rPr>
  </w:style>
  <w:style w:type="character" w:customStyle="1" w:styleId="148">
    <w:name w:val="headline-content2"/>
    <w:qFormat/>
    <w:uiPriority w:val="0"/>
    <w:rPr>
      <w:rFonts w:eastAsia="宋体"/>
      <w:sz w:val="24"/>
    </w:rPr>
  </w:style>
  <w:style w:type="paragraph" w:customStyle="1" w:styleId="149">
    <w:name w:val="标准文本"/>
    <w:basedOn w:val="1"/>
    <w:qFormat/>
    <w:uiPriority w:val="0"/>
    <w:pPr>
      <w:ind w:firstLine="480"/>
    </w:pPr>
    <w:rPr>
      <w:rFonts w:cs="宋体"/>
    </w:rPr>
  </w:style>
  <w:style w:type="paragraph" w:customStyle="1" w:styleId="150">
    <w:name w:val="gxibvc-正文"/>
    <w:basedOn w:val="1"/>
    <w:qFormat/>
    <w:uiPriority w:val="0"/>
    <w:pPr>
      <w:snapToGrid w:val="0"/>
      <w:spacing w:line="560" w:lineRule="atLeast"/>
      <w:ind w:firstLine="200" w:firstLineChars="200"/>
    </w:pPr>
    <w:rPr>
      <w:rFonts w:ascii="仿宋_GB2312" w:hAnsi="仿宋_GB2312" w:eastAsia="仿宋_GB2312"/>
      <w:sz w:val="32"/>
      <w:szCs w:val="32"/>
    </w:rPr>
  </w:style>
  <w:style w:type="paragraph" w:customStyle="1" w:styleId="151">
    <w:name w:val="gxibvc-1"/>
    <w:basedOn w:val="5"/>
    <w:qFormat/>
    <w:uiPriority w:val="0"/>
    <w:pPr>
      <w:spacing w:line="600" w:lineRule="exact"/>
      <w:jc w:val="center"/>
    </w:pPr>
    <w:rPr>
      <w:rFonts w:ascii="方正小标宋简体" w:eastAsia="方正小标宋简体"/>
    </w:rPr>
  </w:style>
  <w:style w:type="character" w:customStyle="1" w:styleId="152">
    <w:name w:val="font01"/>
    <w:qFormat/>
    <w:uiPriority w:val="0"/>
    <w:rPr>
      <w:rFonts w:hint="eastAsia" w:ascii="宋体" w:hAnsi="宋体" w:eastAsia="宋体" w:cs="宋体"/>
      <w:color w:val="000000"/>
      <w:sz w:val="21"/>
      <w:szCs w:val="21"/>
      <w:u w:val="none"/>
    </w:rPr>
  </w:style>
  <w:style w:type="character" w:customStyle="1" w:styleId="153">
    <w:name w:val="font21"/>
    <w:qFormat/>
    <w:uiPriority w:val="0"/>
    <w:rPr>
      <w:rFonts w:hint="eastAsia" w:ascii="宋体" w:hAnsi="宋体" w:eastAsia="宋体" w:cs="宋体"/>
      <w:color w:val="000000"/>
      <w:sz w:val="20"/>
      <w:szCs w:val="20"/>
      <w:u w:val="none"/>
    </w:rPr>
  </w:style>
  <w:style w:type="paragraph" w:customStyle="1" w:styleId="154">
    <w:name w:val="段"/>
    <w:next w:val="1"/>
    <w:qFormat/>
    <w:uiPriority w:val="0"/>
    <w:pPr>
      <w:autoSpaceDE w:val="0"/>
      <w:autoSpaceDN w:val="0"/>
      <w:ind w:firstLine="200"/>
      <w:jc w:val="both"/>
    </w:pPr>
    <w:rPr>
      <w:rFonts w:ascii="宋体" w:hAnsi="Times New Roman" w:eastAsia="宋体" w:cs="Times New Roman"/>
      <w:sz w:val="21"/>
      <w:lang w:val="en-US" w:eastAsia="zh-CN" w:bidi="ar-SA"/>
    </w:rPr>
  </w:style>
  <w:style w:type="paragraph" w:customStyle="1" w:styleId="155">
    <w:name w:val="正文（360）"/>
    <w:qFormat/>
    <w:uiPriority w:val="0"/>
    <w:pPr>
      <w:spacing w:before="78" w:after="78" w:line="276" w:lineRule="auto"/>
      <w:ind w:left="1" w:hanging="1"/>
      <w:jc w:val="center"/>
    </w:pPr>
    <w:rPr>
      <w:rFonts w:ascii="微软雅黑" w:hAnsi="微软雅黑" w:eastAsia="微软雅黑" w:cs="Times New Roman"/>
      <w:b/>
      <w:sz w:val="24"/>
      <w:szCs w:val="24"/>
      <w:lang w:val="en-US" w:eastAsia="zh-CN" w:bidi="ar-SA"/>
    </w:rPr>
  </w:style>
  <w:style w:type="paragraph" w:customStyle="1" w:styleId="156">
    <w:name w:val="正文2"/>
    <w:basedOn w:val="1"/>
    <w:qFormat/>
    <w:uiPriority w:val="0"/>
    <w:pPr>
      <w:adjustRightInd w:val="0"/>
      <w:spacing w:before="156" w:line="360" w:lineRule="auto"/>
      <w:ind w:firstLine="510" w:firstLineChars="200"/>
    </w:pPr>
    <w:rPr>
      <w:sz w:val="24"/>
      <w:szCs w:val="20"/>
    </w:rPr>
  </w:style>
  <w:style w:type="character" w:customStyle="1" w:styleId="157">
    <w:name w:val="font11"/>
    <w:basedOn w:val="43"/>
    <w:qFormat/>
    <w:uiPriority w:val="0"/>
    <w:rPr>
      <w:rFonts w:hint="eastAsia" w:ascii="宋体" w:hAnsi="宋体" w:eastAsia="宋体" w:cs="宋体"/>
      <w:color w:val="000000"/>
      <w:sz w:val="21"/>
      <w:szCs w:val="21"/>
      <w:u w:val="none"/>
    </w:rPr>
  </w:style>
  <w:style w:type="character" w:customStyle="1" w:styleId="158">
    <w:name w:val="font31"/>
    <w:basedOn w:val="43"/>
    <w:qFormat/>
    <w:uiPriority w:val="0"/>
    <w:rPr>
      <w:rFonts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98</Pages>
  <Words>48299</Words>
  <Characters>57500</Characters>
  <Lines>495</Lines>
  <Paragraphs>139</Paragraphs>
  <TotalTime>30</TotalTime>
  <ScaleCrop>false</ScaleCrop>
  <LinksUpToDate>false</LinksUpToDate>
  <CharactersWithSpaces>61100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2023-02-16T09:16:00Z</dcterms:created>
  <dc:creator>Administrator</dc:creator>
  <cp:lastModifiedBy>NTKO</cp:lastModifiedBy>
  <cp:lastPrinted>2023-10-27T09:32:58Z</cp:lastPrinted>
  <dcterms:modified xsi:type="dcterms:W3CDTF">2023-10-27T09:54:35Z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12F3097327AB438380FA432B88F6A7F6_13</vt:lpwstr>
  </property>
</Properties>
</file>