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00" w:lineRule="exact"/>
        <w:jc w:val="center"/>
        <w:rPr>
          <w:rFonts w:ascii="宋体" w:hAnsi="宋体"/>
          <w:color w:val="auto"/>
          <w:sz w:val="32"/>
          <w:szCs w:val="32"/>
          <w:highlight w:val="none"/>
        </w:rPr>
      </w:pPr>
    </w:p>
    <w:p>
      <w:pPr>
        <w:shd w:val="clear"/>
        <w:spacing w:line="400" w:lineRule="exact"/>
        <w:jc w:val="center"/>
        <w:rPr>
          <w:rFonts w:ascii="宋体" w:hAnsi="宋体"/>
          <w:color w:val="auto"/>
          <w:sz w:val="32"/>
          <w:szCs w:val="32"/>
          <w:highlight w:val="none"/>
        </w:rPr>
      </w:pPr>
      <w:r>
        <w:rPr>
          <w:rFonts w:hint="eastAsia" w:ascii="宋体" w:hAnsi="宋体"/>
          <w:color w:val="auto"/>
          <w:sz w:val="32"/>
          <w:szCs w:val="32"/>
          <w:highlight w:val="none"/>
        </w:rPr>
        <w:t xml:space="preserve"> </w:t>
      </w:r>
    </w:p>
    <w:p>
      <w:pPr>
        <w:shd w:val="clear"/>
        <w:spacing w:before="156" w:beforeLines="50"/>
        <w:jc w:val="center"/>
        <w:rPr>
          <w:rFonts w:ascii="宋体" w:hAnsi="宋体"/>
          <w:color w:val="auto"/>
          <w:sz w:val="72"/>
          <w:szCs w:val="72"/>
          <w:highlight w:val="none"/>
        </w:rPr>
      </w:pPr>
      <w:r>
        <w:rPr>
          <w:rFonts w:hint="eastAsia" w:ascii="宋体" w:hAnsi="宋体"/>
          <w:color w:val="auto"/>
          <w:sz w:val="72"/>
          <w:szCs w:val="72"/>
          <w:highlight w:val="none"/>
        </w:rPr>
        <w:t>竞争性磋商文件</w:t>
      </w:r>
    </w:p>
    <w:p>
      <w:pPr>
        <w:shd w:val="clear"/>
        <w:snapToGrid w:val="0"/>
        <w:spacing w:before="156" w:beforeLines="50" w:line="360" w:lineRule="auto"/>
        <w:rPr>
          <w:rFonts w:ascii="宋体" w:hAnsi="宋体"/>
          <w:color w:val="auto"/>
          <w:sz w:val="30"/>
          <w:szCs w:val="30"/>
          <w:highlight w:val="none"/>
        </w:rPr>
      </w:pPr>
    </w:p>
    <w:p>
      <w:pPr>
        <w:pStyle w:val="21"/>
        <w:shd w:val="clear"/>
        <w:snapToGrid w:val="0"/>
        <w:spacing w:before="120" w:after="120" w:line="360" w:lineRule="auto"/>
        <w:rPr>
          <w:rFonts w:hAnsi="宋体"/>
          <w:b/>
          <w:bCs/>
          <w:color w:val="auto"/>
          <w:sz w:val="30"/>
          <w:szCs w:val="30"/>
          <w:highlight w:val="none"/>
        </w:rPr>
      </w:pPr>
    </w:p>
    <w:p>
      <w:pPr>
        <w:pStyle w:val="21"/>
        <w:shd w:val="clear"/>
        <w:snapToGrid w:val="0"/>
        <w:spacing w:before="120" w:after="120" w:line="360" w:lineRule="auto"/>
        <w:rPr>
          <w:rFonts w:hAnsi="宋体"/>
          <w:b/>
          <w:bCs/>
          <w:color w:val="auto"/>
          <w:sz w:val="30"/>
          <w:szCs w:val="30"/>
          <w:highlight w:val="none"/>
        </w:rPr>
      </w:pPr>
      <w:r>
        <w:rPr>
          <w:rFonts w:hint="eastAsia" w:hAnsi="宋体"/>
          <w:b/>
          <w:bCs/>
          <w:color w:val="auto"/>
          <w:sz w:val="30"/>
          <w:szCs w:val="30"/>
          <w:highlight w:val="none"/>
        </w:rPr>
        <w:t xml:space="preserve"> </w:t>
      </w:r>
    </w:p>
    <w:p>
      <w:pPr>
        <w:pStyle w:val="21"/>
        <w:shd w:val="clear"/>
        <w:snapToGrid w:val="0"/>
        <w:spacing w:before="120" w:after="120" w:line="360" w:lineRule="auto"/>
        <w:ind w:firstLine="1274" w:firstLineChars="423"/>
        <w:rPr>
          <w:rFonts w:hint="eastAsia" w:hAnsi="宋体"/>
          <w:b/>
          <w:bCs/>
          <w:color w:val="auto"/>
          <w:sz w:val="30"/>
          <w:szCs w:val="30"/>
          <w:highlight w:val="none"/>
          <w:lang w:eastAsia="zh-CN"/>
        </w:rPr>
      </w:pPr>
      <w:r>
        <w:rPr>
          <w:rFonts w:hint="eastAsia" w:hAnsi="宋体"/>
          <w:b/>
          <w:bCs/>
          <w:color w:val="auto"/>
          <w:sz w:val="30"/>
          <w:szCs w:val="30"/>
          <w:highlight w:val="none"/>
        </w:rPr>
        <w:t>项目编号：</w:t>
      </w:r>
      <w:r>
        <w:rPr>
          <w:rFonts w:hint="eastAsia" w:hAnsi="宋体"/>
          <w:b/>
          <w:bCs/>
          <w:color w:val="auto"/>
          <w:sz w:val="30"/>
          <w:szCs w:val="30"/>
          <w:highlight w:val="none"/>
          <w:lang w:eastAsia="zh-CN"/>
        </w:rPr>
        <w:t>HXCTGX-CFZB-2023-025</w:t>
      </w:r>
    </w:p>
    <w:p>
      <w:pPr>
        <w:shd w:val="clear"/>
        <w:snapToGrid w:val="0"/>
        <w:spacing w:before="156" w:beforeLines="50" w:line="360" w:lineRule="auto"/>
        <w:ind w:left="2609" w:leftChars="603" w:hanging="1343" w:hangingChars="446"/>
        <w:rPr>
          <w:rFonts w:ascii="宋体" w:hAnsi="宋体"/>
          <w:b/>
          <w:bCs/>
          <w:color w:val="auto"/>
          <w:sz w:val="30"/>
          <w:szCs w:val="30"/>
          <w:highlight w:val="none"/>
          <w:lang w:val="en"/>
        </w:rPr>
      </w:pPr>
      <w:r>
        <w:rPr>
          <w:rFonts w:hint="eastAsia" w:ascii="宋体" w:hAnsi="宋体"/>
          <w:b/>
          <w:bCs/>
          <w:color w:val="auto"/>
          <w:sz w:val="30"/>
          <w:szCs w:val="30"/>
          <w:highlight w:val="none"/>
        </w:rPr>
        <w:t>项目名称：</w:t>
      </w:r>
      <w:r>
        <w:rPr>
          <w:rFonts w:hint="eastAsia" w:ascii="宋体" w:hAnsi="宋体" w:cs="Times New Roman"/>
          <w:b/>
          <w:bCs/>
          <w:color w:val="auto"/>
          <w:kern w:val="2"/>
          <w:sz w:val="30"/>
          <w:szCs w:val="30"/>
          <w:highlight w:val="none"/>
          <w:lang w:val="en-US" w:eastAsia="zh-CN" w:bidi="ar-SA"/>
        </w:rPr>
        <w:t>智慧党建平台、社团活动管理系统建设项目</w:t>
      </w:r>
    </w:p>
    <w:p>
      <w:pPr>
        <w:shd w:val="clear"/>
        <w:snapToGrid w:val="0"/>
        <w:spacing w:before="156" w:beforeLines="50" w:line="360" w:lineRule="auto"/>
        <w:ind w:firstLine="1274" w:firstLineChars="423"/>
        <w:rPr>
          <w:rFonts w:ascii="宋体" w:hAnsi="宋体"/>
          <w:b/>
          <w:bCs/>
          <w:color w:val="auto"/>
          <w:sz w:val="30"/>
          <w:szCs w:val="30"/>
          <w:highlight w:val="none"/>
        </w:rPr>
      </w:pPr>
      <w:r>
        <w:rPr>
          <w:rFonts w:hint="eastAsia" w:ascii="宋体" w:hAnsi="宋体"/>
          <w:b/>
          <w:bCs/>
          <w:color w:val="auto"/>
          <w:sz w:val="30"/>
          <w:szCs w:val="30"/>
          <w:highlight w:val="none"/>
        </w:rPr>
        <w:t>采 购 人：广西国际商务职业技术学院</w:t>
      </w:r>
    </w:p>
    <w:p>
      <w:pPr>
        <w:shd w:val="clear"/>
        <w:snapToGrid w:val="0"/>
        <w:spacing w:before="156" w:beforeLines="50" w:line="360" w:lineRule="auto"/>
        <w:ind w:firstLine="1506" w:firstLineChars="500"/>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pPr>
        <w:shd w:val="clear"/>
        <w:snapToGrid w:val="0"/>
        <w:spacing w:before="156" w:beforeLines="50" w:line="360" w:lineRule="auto"/>
        <w:ind w:firstLine="1506" w:firstLineChars="500"/>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pPr>
        <w:shd w:val="clear"/>
        <w:snapToGrid w:val="0"/>
        <w:spacing w:before="156" w:beforeLines="50" w:line="360" w:lineRule="auto"/>
        <w:ind w:firstLine="1506" w:firstLineChars="500"/>
        <w:rPr>
          <w:rFonts w:ascii="宋体" w:hAnsi="宋体"/>
          <w:b/>
          <w:bCs/>
          <w:color w:val="auto"/>
          <w:sz w:val="30"/>
          <w:szCs w:val="30"/>
          <w:highlight w:val="none"/>
        </w:rPr>
      </w:pPr>
    </w:p>
    <w:p>
      <w:pPr>
        <w:shd w:val="clear"/>
        <w:snapToGrid w:val="0"/>
        <w:spacing w:before="156" w:beforeLines="50" w:line="360" w:lineRule="auto"/>
        <w:ind w:firstLine="1506" w:firstLineChars="500"/>
        <w:rPr>
          <w:rFonts w:ascii="宋体" w:hAnsi="宋体"/>
          <w:b/>
          <w:bCs/>
          <w:color w:val="auto"/>
          <w:sz w:val="30"/>
          <w:szCs w:val="30"/>
          <w:highlight w:val="none"/>
        </w:rPr>
      </w:pPr>
    </w:p>
    <w:p>
      <w:pPr>
        <w:shd w:val="clear"/>
        <w:snapToGrid w:val="0"/>
        <w:spacing w:before="156" w:beforeLines="50" w:line="360" w:lineRule="auto"/>
        <w:ind w:firstLine="1506" w:firstLineChars="500"/>
        <w:rPr>
          <w:rFonts w:ascii="宋体" w:hAnsi="宋体"/>
          <w:b/>
          <w:bCs/>
          <w:color w:val="auto"/>
          <w:sz w:val="30"/>
          <w:szCs w:val="30"/>
          <w:highlight w:val="none"/>
        </w:rPr>
      </w:pPr>
    </w:p>
    <w:p>
      <w:pPr>
        <w:shd w:val="clear"/>
        <w:snapToGrid w:val="0"/>
        <w:spacing w:before="156" w:beforeLines="50" w:line="360" w:lineRule="auto"/>
        <w:ind w:firstLine="1506" w:firstLineChars="500"/>
        <w:rPr>
          <w:rFonts w:ascii="宋体" w:hAnsi="宋体"/>
          <w:b/>
          <w:bCs/>
          <w:color w:val="auto"/>
          <w:sz w:val="30"/>
          <w:szCs w:val="30"/>
          <w:highlight w:val="none"/>
        </w:rPr>
      </w:pPr>
    </w:p>
    <w:p>
      <w:pPr>
        <w:shd w:val="clear"/>
        <w:snapToGrid w:val="0"/>
        <w:spacing w:before="156" w:beforeLines="50" w:line="360" w:lineRule="auto"/>
        <w:ind w:firstLine="1506" w:firstLineChars="500"/>
        <w:rPr>
          <w:rFonts w:ascii="宋体" w:hAnsi="宋体"/>
          <w:b/>
          <w:bCs/>
          <w:color w:val="auto"/>
          <w:sz w:val="30"/>
          <w:szCs w:val="30"/>
          <w:highlight w:val="none"/>
        </w:rPr>
      </w:pPr>
      <w:r>
        <w:rPr>
          <w:rFonts w:hint="eastAsia" w:ascii="宋体" w:hAnsi="宋体"/>
          <w:b/>
          <w:bCs/>
          <w:color w:val="auto"/>
          <w:sz w:val="30"/>
          <w:szCs w:val="30"/>
          <w:highlight w:val="none"/>
        </w:rPr>
        <w:t>采购代理机构：华夏城投项目管理有限公司</w:t>
      </w:r>
    </w:p>
    <w:p>
      <w:pPr>
        <w:shd w:val="clear"/>
        <w:snapToGrid w:val="0"/>
        <w:spacing w:before="156" w:beforeLines="5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2023年</w:t>
      </w:r>
      <w:r>
        <w:rPr>
          <w:rFonts w:hint="eastAsia" w:ascii="宋体" w:hAnsi="宋体"/>
          <w:b/>
          <w:bCs/>
          <w:color w:val="auto"/>
          <w:sz w:val="30"/>
          <w:szCs w:val="30"/>
          <w:highlight w:val="none"/>
          <w:lang w:val="en-US" w:eastAsia="zh-CN"/>
        </w:rPr>
        <w:t>10</w:t>
      </w:r>
      <w:r>
        <w:rPr>
          <w:rFonts w:hint="eastAsia" w:ascii="宋体" w:hAnsi="宋体"/>
          <w:b/>
          <w:bCs/>
          <w:color w:val="auto"/>
          <w:sz w:val="30"/>
          <w:szCs w:val="30"/>
          <w:highlight w:val="none"/>
        </w:rPr>
        <w:t>月</w:t>
      </w:r>
    </w:p>
    <w:p>
      <w:pPr>
        <w:shd w:val="clear"/>
        <w:spacing w:line="400" w:lineRule="exact"/>
        <w:jc w:val="center"/>
        <w:rPr>
          <w:rFonts w:ascii="宋体" w:hAnsi="宋体"/>
          <w:b/>
          <w:bCs/>
          <w:color w:val="auto"/>
          <w:sz w:val="32"/>
          <w:szCs w:val="32"/>
          <w:highlight w:val="none"/>
        </w:rPr>
      </w:pPr>
    </w:p>
    <w:p>
      <w:pPr>
        <w:shd w:val="clear"/>
        <w:spacing w:line="400" w:lineRule="exact"/>
        <w:rPr>
          <w:rFonts w:ascii="宋体" w:hAnsi="宋体"/>
          <w:b/>
          <w:bCs/>
          <w:color w:val="auto"/>
          <w:sz w:val="32"/>
          <w:szCs w:val="32"/>
          <w:highlight w:val="none"/>
        </w:rPr>
      </w:pPr>
    </w:p>
    <w:p>
      <w:pPr>
        <w:shd w:val="clea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br w:type="page"/>
      </w:r>
    </w:p>
    <w:p>
      <w:pPr>
        <w:shd w:val="clea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目录</w:t>
      </w:r>
    </w:p>
    <w:p>
      <w:pPr>
        <w:shd w:val="clear"/>
        <w:spacing w:line="400" w:lineRule="exact"/>
        <w:jc w:val="center"/>
        <w:rPr>
          <w:rFonts w:ascii="宋体" w:hAnsi="宋体" w:cs="宋体"/>
          <w:b/>
          <w:bCs/>
          <w:color w:val="auto"/>
          <w:sz w:val="28"/>
          <w:szCs w:val="28"/>
          <w:highlight w:val="none"/>
        </w:rPr>
      </w:pPr>
    </w:p>
    <w:p>
      <w:pPr>
        <w:pStyle w:val="28"/>
        <w:tabs>
          <w:tab w:val="right" w:leader="dot" w:pos="8958"/>
        </w:tabs>
        <w:spacing w:line="360" w:lineRule="auto"/>
        <w:rPr>
          <w:b/>
          <w:bCs/>
          <w:color w:val="auto"/>
          <w:sz w:val="24"/>
          <w:szCs w:val="24"/>
        </w:rPr>
      </w:pPr>
      <w:r>
        <w:rPr>
          <w:rFonts w:hint="eastAsia" w:ascii="宋体" w:hAnsi="宋体"/>
          <w:b/>
          <w:bCs/>
          <w:color w:val="auto"/>
          <w:sz w:val="52"/>
          <w:szCs w:val="52"/>
          <w:highlight w:val="none"/>
        </w:rPr>
        <w:fldChar w:fldCharType="begin"/>
      </w:r>
      <w:r>
        <w:rPr>
          <w:rFonts w:hint="eastAsia" w:ascii="宋体" w:hAnsi="宋体"/>
          <w:b/>
          <w:bCs/>
          <w:color w:val="auto"/>
          <w:sz w:val="52"/>
          <w:szCs w:val="52"/>
          <w:highlight w:val="none"/>
        </w:rPr>
        <w:instrText xml:space="preserve">TOC \o "1-1" \h \u </w:instrText>
      </w:r>
      <w:r>
        <w:rPr>
          <w:rFonts w:hint="eastAsia" w:ascii="宋体" w:hAnsi="宋体"/>
          <w:b/>
          <w:bCs/>
          <w:color w:val="auto"/>
          <w:sz w:val="52"/>
          <w:szCs w:val="52"/>
          <w:highlight w:val="none"/>
        </w:rPr>
        <w:fldChar w:fldCharType="separate"/>
      </w:r>
      <w:r>
        <w:rPr>
          <w:rFonts w:hint="eastAsia" w:ascii="宋体" w:hAnsi="宋体"/>
          <w:b/>
          <w:bCs/>
          <w:color w:val="auto"/>
          <w:sz w:val="24"/>
          <w:szCs w:val="52"/>
          <w:highlight w:val="none"/>
        </w:rPr>
        <w:fldChar w:fldCharType="begin"/>
      </w:r>
      <w:r>
        <w:rPr>
          <w:rFonts w:hint="eastAsia" w:ascii="宋体" w:hAnsi="宋体"/>
          <w:b/>
          <w:bCs/>
          <w:color w:val="auto"/>
          <w:sz w:val="24"/>
          <w:szCs w:val="52"/>
          <w:highlight w:val="none"/>
        </w:rPr>
        <w:instrText xml:space="preserve"> HYPERLINK \l _Toc17403 </w:instrText>
      </w:r>
      <w:r>
        <w:rPr>
          <w:rFonts w:hint="eastAsia" w:ascii="宋体" w:hAnsi="宋体"/>
          <w:b/>
          <w:bCs/>
          <w:color w:val="auto"/>
          <w:sz w:val="24"/>
          <w:szCs w:val="52"/>
          <w:highlight w:val="none"/>
        </w:rPr>
        <w:fldChar w:fldCharType="separate"/>
      </w:r>
      <w:r>
        <w:rPr>
          <w:rFonts w:hint="eastAsia"/>
          <w:b/>
          <w:bCs/>
          <w:color w:val="auto"/>
          <w:sz w:val="24"/>
          <w:szCs w:val="24"/>
          <w:highlight w:val="none"/>
        </w:rPr>
        <w:t>第一章  竞争性磋商公告</w:t>
      </w:r>
      <w:r>
        <w:rPr>
          <w:b/>
          <w:bCs/>
          <w:color w:val="auto"/>
          <w:sz w:val="24"/>
          <w:szCs w:val="24"/>
        </w:rPr>
        <w:tab/>
      </w:r>
      <w:r>
        <w:rPr>
          <w:b/>
          <w:bCs/>
          <w:color w:val="auto"/>
          <w:sz w:val="24"/>
          <w:szCs w:val="24"/>
        </w:rPr>
        <w:fldChar w:fldCharType="begin"/>
      </w:r>
      <w:r>
        <w:rPr>
          <w:b/>
          <w:bCs/>
          <w:color w:val="auto"/>
          <w:sz w:val="24"/>
          <w:szCs w:val="24"/>
        </w:rPr>
        <w:instrText xml:space="preserve"> PAGEREF _Toc17403 \h </w:instrText>
      </w:r>
      <w:r>
        <w:rPr>
          <w:b/>
          <w:bCs/>
          <w:color w:val="auto"/>
          <w:sz w:val="24"/>
          <w:szCs w:val="24"/>
        </w:rPr>
        <w:fldChar w:fldCharType="separate"/>
      </w:r>
      <w:r>
        <w:rPr>
          <w:b/>
          <w:bCs/>
          <w:color w:val="auto"/>
          <w:sz w:val="24"/>
          <w:szCs w:val="24"/>
        </w:rPr>
        <w:t>1</w:t>
      </w:r>
      <w:r>
        <w:rPr>
          <w:b/>
          <w:bCs/>
          <w:color w:val="auto"/>
          <w:sz w:val="24"/>
          <w:szCs w:val="24"/>
        </w:rPr>
        <w:fldChar w:fldCharType="end"/>
      </w:r>
      <w:r>
        <w:rPr>
          <w:rFonts w:hint="eastAsia" w:ascii="宋体" w:hAnsi="宋体"/>
          <w:b/>
          <w:bCs/>
          <w:color w:val="auto"/>
          <w:sz w:val="24"/>
          <w:szCs w:val="52"/>
          <w:highlight w:val="none"/>
        </w:rPr>
        <w:fldChar w:fldCharType="end"/>
      </w:r>
    </w:p>
    <w:p>
      <w:pPr>
        <w:pStyle w:val="28"/>
        <w:tabs>
          <w:tab w:val="right" w:leader="dot" w:pos="8958"/>
        </w:tabs>
        <w:spacing w:line="360" w:lineRule="auto"/>
        <w:rPr>
          <w:b/>
          <w:bCs/>
          <w:color w:val="auto"/>
          <w:sz w:val="24"/>
          <w:szCs w:val="24"/>
        </w:rPr>
      </w:pPr>
      <w:r>
        <w:rPr>
          <w:rFonts w:hint="eastAsia" w:ascii="宋体" w:hAnsi="宋体"/>
          <w:b/>
          <w:bCs/>
          <w:color w:val="auto"/>
          <w:sz w:val="24"/>
          <w:szCs w:val="52"/>
          <w:highlight w:val="none"/>
        </w:rPr>
        <w:fldChar w:fldCharType="begin"/>
      </w:r>
      <w:r>
        <w:rPr>
          <w:rFonts w:hint="eastAsia" w:ascii="宋体" w:hAnsi="宋体"/>
          <w:b/>
          <w:bCs/>
          <w:color w:val="auto"/>
          <w:sz w:val="24"/>
          <w:szCs w:val="52"/>
          <w:highlight w:val="none"/>
        </w:rPr>
        <w:instrText xml:space="preserve"> HYPERLINK \l _Toc11816 </w:instrText>
      </w:r>
      <w:r>
        <w:rPr>
          <w:rFonts w:hint="eastAsia" w:ascii="宋体" w:hAnsi="宋体"/>
          <w:b/>
          <w:bCs/>
          <w:color w:val="auto"/>
          <w:sz w:val="24"/>
          <w:szCs w:val="52"/>
          <w:highlight w:val="none"/>
        </w:rPr>
        <w:fldChar w:fldCharType="separate"/>
      </w:r>
      <w:r>
        <w:rPr>
          <w:rFonts w:hint="eastAsia" w:ascii="宋体" w:hAnsi="宋体"/>
          <w:b/>
          <w:bCs/>
          <w:color w:val="auto"/>
          <w:sz w:val="24"/>
          <w:szCs w:val="24"/>
          <w:highlight w:val="none"/>
        </w:rPr>
        <w:t>第二章  供应商须知</w:t>
      </w:r>
      <w:r>
        <w:rPr>
          <w:b/>
          <w:bCs/>
          <w:color w:val="auto"/>
          <w:sz w:val="24"/>
          <w:szCs w:val="24"/>
        </w:rPr>
        <w:tab/>
      </w:r>
      <w:r>
        <w:rPr>
          <w:b/>
          <w:bCs/>
          <w:color w:val="auto"/>
          <w:sz w:val="24"/>
          <w:szCs w:val="24"/>
        </w:rPr>
        <w:fldChar w:fldCharType="begin"/>
      </w:r>
      <w:r>
        <w:rPr>
          <w:b/>
          <w:bCs/>
          <w:color w:val="auto"/>
          <w:sz w:val="24"/>
          <w:szCs w:val="24"/>
        </w:rPr>
        <w:instrText xml:space="preserve"> PAGEREF _Toc11816 \h </w:instrText>
      </w:r>
      <w:r>
        <w:rPr>
          <w:b/>
          <w:bCs/>
          <w:color w:val="auto"/>
          <w:sz w:val="24"/>
          <w:szCs w:val="24"/>
        </w:rPr>
        <w:fldChar w:fldCharType="separate"/>
      </w:r>
      <w:r>
        <w:rPr>
          <w:b/>
          <w:bCs/>
          <w:color w:val="auto"/>
          <w:sz w:val="24"/>
          <w:szCs w:val="24"/>
        </w:rPr>
        <w:t>4</w:t>
      </w:r>
      <w:r>
        <w:rPr>
          <w:b/>
          <w:bCs/>
          <w:color w:val="auto"/>
          <w:sz w:val="24"/>
          <w:szCs w:val="24"/>
        </w:rPr>
        <w:fldChar w:fldCharType="end"/>
      </w:r>
      <w:r>
        <w:rPr>
          <w:rFonts w:hint="eastAsia" w:ascii="宋体" w:hAnsi="宋体"/>
          <w:b/>
          <w:bCs/>
          <w:color w:val="auto"/>
          <w:sz w:val="24"/>
          <w:szCs w:val="52"/>
          <w:highlight w:val="none"/>
        </w:rPr>
        <w:fldChar w:fldCharType="end"/>
      </w:r>
    </w:p>
    <w:p>
      <w:pPr>
        <w:pStyle w:val="28"/>
        <w:tabs>
          <w:tab w:val="right" w:leader="dot" w:pos="8958"/>
        </w:tabs>
        <w:spacing w:line="360" w:lineRule="auto"/>
        <w:rPr>
          <w:b/>
          <w:bCs/>
          <w:color w:val="auto"/>
          <w:sz w:val="24"/>
          <w:szCs w:val="24"/>
        </w:rPr>
      </w:pPr>
      <w:r>
        <w:rPr>
          <w:rFonts w:hint="eastAsia" w:ascii="宋体" w:hAnsi="宋体"/>
          <w:b/>
          <w:bCs/>
          <w:color w:val="auto"/>
          <w:sz w:val="24"/>
          <w:szCs w:val="52"/>
          <w:highlight w:val="none"/>
        </w:rPr>
        <w:fldChar w:fldCharType="begin"/>
      </w:r>
      <w:r>
        <w:rPr>
          <w:rFonts w:hint="eastAsia" w:ascii="宋体" w:hAnsi="宋体"/>
          <w:b/>
          <w:bCs/>
          <w:color w:val="auto"/>
          <w:sz w:val="24"/>
          <w:szCs w:val="52"/>
          <w:highlight w:val="none"/>
        </w:rPr>
        <w:instrText xml:space="preserve"> HYPERLINK \l _Toc24919 </w:instrText>
      </w:r>
      <w:r>
        <w:rPr>
          <w:rFonts w:hint="eastAsia" w:ascii="宋体" w:hAnsi="宋体"/>
          <w:b/>
          <w:bCs/>
          <w:color w:val="auto"/>
          <w:sz w:val="24"/>
          <w:szCs w:val="52"/>
          <w:highlight w:val="none"/>
        </w:rPr>
        <w:fldChar w:fldCharType="separate"/>
      </w:r>
      <w:r>
        <w:rPr>
          <w:rFonts w:hint="eastAsia" w:ascii="宋体" w:hAnsi="宋体"/>
          <w:b/>
          <w:bCs/>
          <w:color w:val="auto"/>
          <w:sz w:val="24"/>
          <w:szCs w:val="24"/>
          <w:highlight w:val="none"/>
        </w:rPr>
        <w:t>第三章  采购需求</w:t>
      </w:r>
      <w:r>
        <w:rPr>
          <w:b/>
          <w:bCs/>
          <w:color w:val="auto"/>
          <w:sz w:val="24"/>
          <w:szCs w:val="24"/>
        </w:rPr>
        <w:tab/>
      </w:r>
      <w:r>
        <w:rPr>
          <w:b/>
          <w:bCs/>
          <w:color w:val="auto"/>
          <w:sz w:val="24"/>
          <w:szCs w:val="24"/>
        </w:rPr>
        <w:fldChar w:fldCharType="begin"/>
      </w:r>
      <w:r>
        <w:rPr>
          <w:b/>
          <w:bCs/>
          <w:color w:val="auto"/>
          <w:sz w:val="24"/>
          <w:szCs w:val="24"/>
        </w:rPr>
        <w:instrText xml:space="preserve"> PAGEREF _Toc24919 \h </w:instrText>
      </w:r>
      <w:r>
        <w:rPr>
          <w:b/>
          <w:bCs/>
          <w:color w:val="auto"/>
          <w:sz w:val="24"/>
          <w:szCs w:val="24"/>
        </w:rPr>
        <w:fldChar w:fldCharType="separate"/>
      </w:r>
      <w:r>
        <w:rPr>
          <w:b/>
          <w:bCs/>
          <w:color w:val="auto"/>
          <w:sz w:val="24"/>
          <w:szCs w:val="24"/>
        </w:rPr>
        <w:t>15</w:t>
      </w:r>
      <w:r>
        <w:rPr>
          <w:b/>
          <w:bCs/>
          <w:color w:val="auto"/>
          <w:sz w:val="24"/>
          <w:szCs w:val="24"/>
        </w:rPr>
        <w:fldChar w:fldCharType="end"/>
      </w:r>
      <w:r>
        <w:rPr>
          <w:rFonts w:hint="eastAsia" w:ascii="宋体" w:hAnsi="宋体"/>
          <w:b/>
          <w:bCs/>
          <w:color w:val="auto"/>
          <w:sz w:val="24"/>
          <w:szCs w:val="52"/>
          <w:highlight w:val="none"/>
        </w:rPr>
        <w:fldChar w:fldCharType="end"/>
      </w:r>
    </w:p>
    <w:p>
      <w:pPr>
        <w:pStyle w:val="28"/>
        <w:tabs>
          <w:tab w:val="right" w:leader="dot" w:pos="8958"/>
        </w:tabs>
        <w:spacing w:line="360" w:lineRule="auto"/>
        <w:rPr>
          <w:b/>
          <w:bCs/>
          <w:color w:val="auto"/>
          <w:sz w:val="24"/>
          <w:szCs w:val="24"/>
        </w:rPr>
      </w:pPr>
      <w:r>
        <w:rPr>
          <w:rFonts w:hint="eastAsia" w:ascii="宋体" w:hAnsi="宋体"/>
          <w:b/>
          <w:bCs/>
          <w:color w:val="auto"/>
          <w:sz w:val="24"/>
          <w:szCs w:val="52"/>
          <w:highlight w:val="none"/>
        </w:rPr>
        <w:fldChar w:fldCharType="begin"/>
      </w:r>
      <w:r>
        <w:rPr>
          <w:rFonts w:hint="eastAsia" w:ascii="宋体" w:hAnsi="宋体"/>
          <w:b/>
          <w:bCs/>
          <w:color w:val="auto"/>
          <w:sz w:val="24"/>
          <w:szCs w:val="52"/>
          <w:highlight w:val="none"/>
        </w:rPr>
        <w:instrText xml:space="preserve"> HYPERLINK \l _Toc12437 </w:instrText>
      </w:r>
      <w:r>
        <w:rPr>
          <w:rFonts w:hint="eastAsia" w:ascii="宋体" w:hAnsi="宋体"/>
          <w:b/>
          <w:bCs/>
          <w:color w:val="auto"/>
          <w:sz w:val="24"/>
          <w:szCs w:val="52"/>
          <w:highlight w:val="none"/>
        </w:rPr>
        <w:fldChar w:fldCharType="separate"/>
      </w:r>
      <w:r>
        <w:rPr>
          <w:rFonts w:hint="eastAsia" w:ascii="宋体" w:hAnsi="宋体"/>
          <w:b/>
          <w:bCs/>
          <w:color w:val="auto"/>
          <w:sz w:val="24"/>
          <w:szCs w:val="24"/>
          <w:highlight w:val="none"/>
        </w:rPr>
        <w:t>第四章  竞争性磋商响应文件格式</w:t>
      </w:r>
      <w:r>
        <w:rPr>
          <w:b/>
          <w:bCs/>
          <w:color w:val="auto"/>
          <w:sz w:val="24"/>
          <w:szCs w:val="24"/>
        </w:rPr>
        <w:tab/>
      </w:r>
      <w:r>
        <w:rPr>
          <w:b/>
          <w:bCs/>
          <w:color w:val="auto"/>
          <w:sz w:val="24"/>
          <w:szCs w:val="24"/>
        </w:rPr>
        <w:fldChar w:fldCharType="begin"/>
      </w:r>
      <w:r>
        <w:rPr>
          <w:b/>
          <w:bCs/>
          <w:color w:val="auto"/>
          <w:sz w:val="24"/>
          <w:szCs w:val="24"/>
        </w:rPr>
        <w:instrText xml:space="preserve"> PAGEREF _Toc12437 \h </w:instrText>
      </w:r>
      <w:r>
        <w:rPr>
          <w:b/>
          <w:bCs/>
          <w:color w:val="auto"/>
          <w:sz w:val="24"/>
          <w:szCs w:val="24"/>
        </w:rPr>
        <w:fldChar w:fldCharType="separate"/>
      </w:r>
      <w:r>
        <w:rPr>
          <w:b/>
          <w:bCs/>
          <w:color w:val="auto"/>
          <w:sz w:val="24"/>
          <w:szCs w:val="24"/>
        </w:rPr>
        <w:t>34</w:t>
      </w:r>
      <w:r>
        <w:rPr>
          <w:b/>
          <w:bCs/>
          <w:color w:val="auto"/>
          <w:sz w:val="24"/>
          <w:szCs w:val="24"/>
        </w:rPr>
        <w:fldChar w:fldCharType="end"/>
      </w:r>
      <w:r>
        <w:rPr>
          <w:rFonts w:hint="eastAsia" w:ascii="宋体" w:hAnsi="宋体"/>
          <w:b/>
          <w:bCs/>
          <w:color w:val="auto"/>
          <w:sz w:val="24"/>
          <w:szCs w:val="52"/>
          <w:highlight w:val="none"/>
        </w:rPr>
        <w:fldChar w:fldCharType="end"/>
      </w:r>
    </w:p>
    <w:p>
      <w:pPr>
        <w:pStyle w:val="28"/>
        <w:tabs>
          <w:tab w:val="right" w:leader="dot" w:pos="8958"/>
        </w:tabs>
        <w:spacing w:line="360" w:lineRule="auto"/>
        <w:rPr>
          <w:b/>
          <w:bCs/>
          <w:color w:val="auto"/>
          <w:sz w:val="24"/>
          <w:szCs w:val="24"/>
        </w:rPr>
      </w:pPr>
      <w:r>
        <w:rPr>
          <w:rFonts w:hint="eastAsia" w:ascii="宋体" w:hAnsi="宋体"/>
          <w:b/>
          <w:bCs/>
          <w:color w:val="auto"/>
          <w:sz w:val="24"/>
          <w:szCs w:val="52"/>
          <w:highlight w:val="none"/>
        </w:rPr>
        <w:fldChar w:fldCharType="begin"/>
      </w:r>
      <w:r>
        <w:rPr>
          <w:rFonts w:hint="eastAsia" w:ascii="宋体" w:hAnsi="宋体"/>
          <w:b/>
          <w:bCs/>
          <w:color w:val="auto"/>
          <w:sz w:val="24"/>
          <w:szCs w:val="52"/>
          <w:highlight w:val="none"/>
        </w:rPr>
        <w:instrText xml:space="preserve"> HYPERLINK \l _Toc3752 </w:instrText>
      </w:r>
      <w:r>
        <w:rPr>
          <w:rFonts w:hint="eastAsia" w:ascii="宋体" w:hAnsi="宋体"/>
          <w:b/>
          <w:bCs/>
          <w:color w:val="auto"/>
          <w:sz w:val="24"/>
          <w:szCs w:val="52"/>
          <w:highlight w:val="none"/>
        </w:rPr>
        <w:fldChar w:fldCharType="separate"/>
      </w:r>
      <w:r>
        <w:rPr>
          <w:rFonts w:hint="eastAsia" w:ascii="宋体" w:hAnsi="宋体"/>
          <w:b/>
          <w:bCs/>
          <w:color w:val="auto"/>
          <w:sz w:val="24"/>
          <w:szCs w:val="24"/>
          <w:highlight w:val="none"/>
        </w:rPr>
        <w:t>第五章  合同主要条款</w:t>
      </w:r>
      <w:r>
        <w:rPr>
          <w:b/>
          <w:bCs/>
          <w:color w:val="auto"/>
          <w:sz w:val="24"/>
          <w:szCs w:val="24"/>
        </w:rPr>
        <w:tab/>
      </w:r>
      <w:r>
        <w:rPr>
          <w:b/>
          <w:bCs/>
          <w:color w:val="auto"/>
          <w:sz w:val="24"/>
          <w:szCs w:val="24"/>
        </w:rPr>
        <w:fldChar w:fldCharType="begin"/>
      </w:r>
      <w:r>
        <w:rPr>
          <w:b/>
          <w:bCs/>
          <w:color w:val="auto"/>
          <w:sz w:val="24"/>
          <w:szCs w:val="24"/>
        </w:rPr>
        <w:instrText xml:space="preserve"> PAGEREF _Toc3752 \h </w:instrText>
      </w:r>
      <w:r>
        <w:rPr>
          <w:b/>
          <w:bCs/>
          <w:color w:val="auto"/>
          <w:sz w:val="24"/>
          <w:szCs w:val="24"/>
        </w:rPr>
        <w:fldChar w:fldCharType="separate"/>
      </w:r>
      <w:r>
        <w:rPr>
          <w:b/>
          <w:bCs/>
          <w:color w:val="auto"/>
          <w:sz w:val="24"/>
          <w:szCs w:val="24"/>
        </w:rPr>
        <w:t>47</w:t>
      </w:r>
      <w:r>
        <w:rPr>
          <w:b/>
          <w:bCs/>
          <w:color w:val="auto"/>
          <w:sz w:val="24"/>
          <w:szCs w:val="24"/>
        </w:rPr>
        <w:fldChar w:fldCharType="end"/>
      </w:r>
      <w:r>
        <w:rPr>
          <w:rFonts w:hint="eastAsia" w:ascii="宋体" w:hAnsi="宋体"/>
          <w:b/>
          <w:bCs/>
          <w:color w:val="auto"/>
          <w:sz w:val="24"/>
          <w:szCs w:val="52"/>
          <w:highlight w:val="none"/>
        </w:rPr>
        <w:fldChar w:fldCharType="end"/>
      </w:r>
    </w:p>
    <w:p>
      <w:pPr>
        <w:pStyle w:val="28"/>
        <w:tabs>
          <w:tab w:val="right" w:leader="dot" w:pos="8958"/>
        </w:tabs>
        <w:spacing w:line="360" w:lineRule="auto"/>
        <w:rPr>
          <w:b/>
          <w:bCs/>
          <w:color w:val="auto"/>
          <w:sz w:val="24"/>
          <w:szCs w:val="24"/>
        </w:rPr>
      </w:pPr>
      <w:r>
        <w:rPr>
          <w:rFonts w:hint="eastAsia" w:ascii="宋体" w:hAnsi="宋体"/>
          <w:b/>
          <w:bCs/>
          <w:color w:val="auto"/>
          <w:sz w:val="24"/>
          <w:szCs w:val="52"/>
          <w:highlight w:val="none"/>
        </w:rPr>
        <w:fldChar w:fldCharType="begin"/>
      </w:r>
      <w:r>
        <w:rPr>
          <w:rFonts w:hint="eastAsia" w:ascii="宋体" w:hAnsi="宋体"/>
          <w:b/>
          <w:bCs/>
          <w:color w:val="auto"/>
          <w:sz w:val="24"/>
          <w:szCs w:val="52"/>
          <w:highlight w:val="none"/>
        </w:rPr>
        <w:instrText xml:space="preserve"> HYPERLINK \l _Toc15994 </w:instrText>
      </w:r>
      <w:r>
        <w:rPr>
          <w:rFonts w:hint="eastAsia" w:ascii="宋体" w:hAnsi="宋体"/>
          <w:b/>
          <w:bCs/>
          <w:color w:val="auto"/>
          <w:sz w:val="24"/>
          <w:szCs w:val="52"/>
          <w:highlight w:val="none"/>
        </w:rPr>
        <w:fldChar w:fldCharType="separate"/>
      </w:r>
      <w:r>
        <w:rPr>
          <w:rFonts w:hint="eastAsia" w:ascii="宋体" w:hAnsi="宋体"/>
          <w:b/>
          <w:bCs/>
          <w:color w:val="auto"/>
          <w:sz w:val="24"/>
          <w:szCs w:val="24"/>
          <w:highlight w:val="none"/>
        </w:rPr>
        <w:t>第六章  评标方法及评分标准</w:t>
      </w:r>
      <w:r>
        <w:rPr>
          <w:b/>
          <w:bCs/>
          <w:color w:val="auto"/>
          <w:sz w:val="24"/>
          <w:szCs w:val="24"/>
        </w:rPr>
        <w:tab/>
      </w:r>
      <w:r>
        <w:rPr>
          <w:b/>
          <w:bCs/>
          <w:color w:val="auto"/>
          <w:sz w:val="24"/>
          <w:szCs w:val="24"/>
        </w:rPr>
        <w:fldChar w:fldCharType="begin"/>
      </w:r>
      <w:r>
        <w:rPr>
          <w:b/>
          <w:bCs/>
          <w:color w:val="auto"/>
          <w:sz w:val="24"/>
          <w:szCs w:val="24"/>
        </w:rPr>
        <w:instrText xml:space="preserve"> PAGEREF _Toc15994 \h </w:instrText>
      </w:r>
      <w:r>
        <w:rPr>
          <w:b/>
          <w:bCs/>
          <w:color w:val="auto"/>
          <w:sz w:val="24"/>
          <w:szCs w:val="24"/>
        </w:rPr>
        <w:fldChar w:fldCharType="separate"/>
      </w:r>
      <w:r>
        <w:rPr>
          <w:b/>
          <w:bCs/>
          <w:color w:val="auto"/>
          <w:sz w:val="24"/>
          <w:szCs w:val="24"/>
        </w:rPr>
        <w:t>53</w:t>
      </w:r>
      <w:r>
        <w:rPr>
          <w:b/>
          <w:bCs/>
          <w:color w:val="auto"/>
          <w:sz w:val="24"/>
          <w:szCs w:val="24"/>
        </w:rPr>
        <w:fldChar w:fldCharType="end"/>
      </w:r>
      <w:r>
        <w:rPr>
          <w:rFonts w:hint="eastAsia" w:ascii="宋体" w:hAnsi="宋体"/>
          <w:b/>
          <w:bCs/>
          <w:color w:val="auto"/>
          <w:sz w:val="24"/>
          <w:szCs w:val="52"/>
          <w:highlight w:val="none"/>
        </w:rPr>
        <w:fldChar w:fldCharType="end"/>
      </w:r>
    </w:p>
    <w:p>
      <w:pPr>
        <w:pStyle w:val="28"/>
        <w:shd w:val="clear"/>
        <w:spacing w:line="360" w:lineRule="auto"/>
        <w:jc w:val="both"/>
        <w:rPr>
          <w:rFonts w:hint="eastAsia" w:ascii="宋体" w:hAnsi="宋体"/>
          <w:b/>
          <w:bCs/>
          <w:color w:val="auto"/>
          <w:sz w:val="24"/>
          <w:szCs w:val="52"/>
          <w:highlight w:val="none"/>
        </w:rPr>
      </w:pPr>
      <w:r>
        <w:rPr>
          <w:rFonts w:hint="eastAsia" w:ascii="宋体" w:hAnsi="宋体"/>
          <w:b/>
          <w:bCs/>
          <w:color w:val="auto"/>
          <w:sz w:val="24"/>
          <w:szCs w:val="52"/>
          <w:highlight w:val="none"/>
        </w:rPr>
        <w:fldChar w:fldCharType="end"/>
      </w:r>
      <w:bookmarkStart w:id="27" w:name="_GoBack"/>
      <w:bookmarkEnd w:id="27"/>
    </w:p>
    <w:p>
      <w:pPr>
        <w:rPr>
          <w:rFonts w:hint="eastAsia"/>
        </w:rPr>
      </w:pPr>
    </w:p>
    <w:p>
      <w:pPr>
        <w:pStyle w:val="2"/>
      </w:pPr>
    </w:p>
    <w:p>
      <w:pPr>
        <w:shd w:val="clear"/>
        <w:spacing w:line="400" w:lineRule="exact"/>
        <w:rPr>
          <w:rFonts w:ascii="宋体" w:hAnsi="宋体"/>
          <w:b/>
          <w:bCs/>
          <w:color w:val="auto"/>
          <w:sz w:val="28"/>
          <w:szCs w:val="28"/>
          <w:highlight w:val="none"/>
        </w:rPr>
      </w:pPr>
    </w:p>
    <w:p>
      <w:pPr>
        <w:pStyle w:val="3"/>
        <w:keepLines w:val="0"/>
        <w:pageBreakBefore/>
        <w:shd w:val="clear"/>
        <w:spacing w:line="280" w:lineRule="exact"/>
        <w:jc w:val="center"/>
        <w:rPr>
          <w:rFonts w:ascii="宋体" w:hAnsi="宋体"/>
          <w:color w:val="auto"/>
          <w:highlight w:val="none"/>
        </w:rPr>
        <w:sectPr>
          <w:headerReference r:id="rId3" w:type="first"/>
          <w:footerReference r:id="rId4" w:type="first"/>
          <w:pgSz w:w="11906" w:h="16838"/>
          <w:pgMar w:top="1247" w:right="1474" w:bottom="1247" w:left="1474" w:header="851" w:footer="992" w:gutter="0"/>
          <w:pgNumType w:start="0"/>
          <w:cols w:space="720" w:num="1"/>
          <w:titlePg/>
          <w:docGrid w:type="lines" w:linePitch="312" w:charSpace="0"/>
        </w:sectPr>
      </w:pPr>
      <w:bookmarkStart w:id="0" w:name="_Toc18481384"/>
      <w:bookmarkEnd w:id="0"/>
    </w:p>
    <w:p>
      <w:pPr>
        <w:pStyle w:val="3"/>
        <w:shd w:val="clear"/>
        <w:jc w:val="center"/>
        <w:rPr>
          <w:color w:val="auto"/>
          <w:highlight w:val="none"/>
        </w:rPr>
      </w:pPr>
      <w:bookmarkStart w:id="1" w:name="_Toc17403"/>
      <w:bookmarkStart w:id="2" w:name="_Toc1470"/>
      <w:bookmarkStart w:id="3" w:name="_Toc29215"/>
      <w:bookmarkStart w:id="4" w:name="_Toc11348"/>
      <w:bookmarkStart w:id="5" w:name="_Toc4890"/>
      <w:r>
        <w:rPr>
          <w:rFonts w:hint="eastAsia"/>
          <w:color w:val="auto"/>
          <w:highlight w:val="none"/>
        </w:rPr>
        <w:t>第一章  竞争性磋商公告</w:t>
      </w:r>
      <w:bookmarkEnd w:id="1"/>
      <w:bookmarkEnd w:id="2"/>
      <w:bookmarkEnd w:id="3"/>
    </w:p>
    <w:tbl>
      <w:tblPr>
        <w:tblStyle w:val="39"/>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0" w:type="dxa"/>
            <w:tcBorders>
              <w:top w:val="single" w:color="auto" w:sz="4" w:space="0"/>
              <w:left w:val="single" w:color="auto" w:sz="4" w:space="0"/>
              <w:bottom w:val="single" w:color="auto" w:sz="4" w:space="0"/>
              <w:right w:val="single" w:color="auto" w:sz="4" w:space="0"/>
            </w:tcBorders>
          </w:tcPr>
          <w:p>
            <w:pPr>
              <w:shd w:val="clear"/>
              <w:spacing w:line="380" w:lineRule="exact"/>
              <w:rPr>
                <w:rFonts w:ascii="宋体" w:hAnsi="宋体"/>
                <w:bCs/>
                <w:color w:val="auto"/>
                <w:kern w:val="0"/>
                <w:highlight w:val="none"/>
              </w:rPr>
            </w:pPr>
            <w:r>
              <w:rPr>
                <w:rFonts w:hint="eastAsia" w:ascii="宋体" w:hAnsi="宋体"/>
                <w:bCs/>
                <w:color w:val="auto"/>
                <w:kern w:val="0"/>
                <w:highlight w:val="none"/>
              </w:rPr>
              <w:t>项目概况</w:t>
            </w:r>
          </w:p>
          <w:p>
            <w:pPr>
              <w:shd w:val="clear"/>
              <w:spacing w:line="380" w:lineRule="exact"/>
              <w:rPr>
                <w:rFonts w:ascii="宋体" w:hAnsi="宋体"/>
                <w:bCs/>
                <w:color w:val="auto"/>
                <w:kern w:val="0"/>
                <w:highlight w:val="none"/>
              </w:rPr>
            </w:pPr>
            <w:r>
              <w:rPr>
                <w:rFonts w:hint="eastAsia" w:ascii="宋体" w:hAnsi="宋体"/>
                <w:bCs/>
                <w:color w:val="auto"/>
                <w:kern w:val="0"/>
                <w:highlight w:val="none"/>
              </w:rPr>
              <w:t xml:space="preserve">    </w:t>
            </w:r>
            <w:r>
              <w:rPr>
                <w:rFonts w:hint="eastAsia" w:ascii="宋体" w:hAnsi="宋体"/>
                <w:bCs/>
                <w:color w:val="auto"/>
                <w:kern w:val="0"/>
                <w:highlight w:val="none"/>
                <w:u w:val="single"/>
                <w:lang w:eastAsia="zh-CN"/>
              </w:rPr>
              <w:t>智慧党建平台、社团活动管理系统建设项目</w:t>
            </w:r>
            <w:r>
              <w:rPr>
                <w:rFonts w:hint="eastAsia" w:ascii="宋体" w:hAnsi="宋体"/>
                <w:bCs/>
                <w:color w:val="auto"/>
                <w:kern w:val="0"/>
                <w:highlight w:val="none"/>
              </w:rPr>
              <w:t>的潜在供应商应在</w:t>
            </w:r>
            <w:r>
              <w:rPr>
                <w:rFonts w:hint="eastAsia" w:ascii="宋体" w:hAnsi="宋体"/>
                <w:color w:val="auto"/>
                <w:highlight w:val="none"/>
                <w:u w:val="single"/>
              </w:rPr>
              <w:t>华夏城投项目管理有限公司（</w:t>
            </w:r>
            <w:r>
              <w:rPr>
                <w:rFonts w:hint="eastAsia" w:ascii="宋体" w:hAnsi="宋体" w:cs="宋体"/>
                <w:color w:val="auto"/>
                <w:highlight w:val="none"/>
                <w:u w:val="single"/>
              </w:rPr>
              <w:t>南宁市东葛路118号青秀万达写字楼银座8楼808室</w:t>
            </w:r>
            <w:r>
              <w:rPr>
                <w:rFonts w:hint="eastAsia" w:ascii="宋体" w:hAnsi="宋体"/>
                <w:color w:val="auto"/>
                <w:highlight w:val="none"/>
                <w:u w:val="single"/>
              </w:rPr>
              <w:t>）</w:t>
            </w:r>
            <w:r>
              <w:rPr>
                <w:rFonts w:hint="eastAsia" w:ascii="宋体" w:hAnsi="宋体"/>
                <w:bCs/>
                <w:color w:val="auto"/>
                <w:kern w:val="0"/>
                <w:highlight w:val="none"/>
              </w:rPr>
              <w:t>获取采购文件，并于2023年</w:t>
            </w:r>
            <w:r>
              <w:rPr>
                <w:rFonts w:hint="eastAsia" w:ascii="宋体" w:hAnsi="宋体"/>
                <w:bCs/>
                <w:color w:val="auto"/>
                <w:kern w:val="0"/>
                <w:highlight w:val="none"/>
                <w:lang w:val="en-US" w:eastAsia="zh-CN"/>
              </w:rPr>
              <w:t>10</w:t>
            </w:r>
            <w:r>
              <w:rPr>
                <w:rFonts w:hint="eastAsia" w:ascii="宋体" w:hAnsi="宋体"/>
                <w:bCs/>
                <w:color w:val="auto"/>
                <w:kern w:val="0"/>
                <w:highlight w:val="none"/>
              </w:rPr>
              <w:t>月</w:t>
            </w:r>
            <w:r>
              <w:rPr>
                <w:rFonts w:hint="eastAsia" w:ascii="宋体" w:hAnsi="宋体"/>
                <w:bCs/>
                <w:color w:val="auto"/>
                <w:kern w:val="0"/>
                <w:highlight w:val="none"/>
                <w:lang w:val="en-US" w:eastAsia="zh-CN"/>
              </w:rPr>
              <w:t>31</w:t>
            </w:r>
            <w:r>
              <w:rPr>
                <w:rFonts w:hint="eastAsia" w:ascii="宋体" w:hAnsi="宋体"/>
                <w:bCs/>
                <w:color w:val="auto"/>
                <w:kern w:val="0"/>
                <w:highlight w:val="none"/>
              </w:rPr>
              <w:t>日</w:t>
            </w:r>
            <w:r>
              <w:rPr>
                <w:rFonts w:hint="eastAsia" w:ascii="宋体" w:hAnsi="宋体"/>
                <w:bCs/>
                <w:color w:val="auto"/>
                <w:kern w:val="0"/>
                <w:highlight w:val="none"/>
                <w:lang w:val="en-US" w:eastAsia="zh-CN"/>
              </w:rPr>
              <w:t>09</w:t>
            </w:r>
            <w:r>
              <w:rPr>
                <w:rFonts w:hint="eastAsia" w:ascii="宋体" w:hAnsi="宋体"/>
                <w:bCs/>
                <w:color w:val="auto"/>
                <w:kern w:val="0"/>
                <w:highlight w:val="none"/>
              </w:rPr>
              <w:t>:</w:t>
            </w:r>
            <w:r>
              <w:rPr>
                <w:rFonts w:hint="eastAsia" w:ascii="宋体" w:hAnsi="宋体"/>
                <w:bCs/>
                <w:color w:val="auto"/>
                <w:kern w:val="0"/>
                <w:highlight w:val="none"/>
                <w:lang w:val="en-US" w:eastAsia="zh-CN"/>
              </w:rPr>
              <w:t xml:space="preserve">30 </w:t>
            </w:r>
            <w:r>
              <w:rPr>
                <w:rFonts w:hint="eastAsia" w:ascii="宋体" w:hAnsi="宋体"/>
                <w:bCs/>
                <w:color w:val="auto"/>
                <w:kern w:val="0"/>
                <w:highlight w:val="none"/>
              </w:rPr>
              <w:t>（北京时间）前提交响应文件。</w:t>
            </w:r>
          </w:p>
        </w:tc>
      </w:tr>
    </w:tbl>
    <w:p>
      <w:pPr>
        <w:pStyle w:val="33"/>
        <w:shd w:val="clear"/>
        <w:snapToGrid w:val="0"/>
        <w:spacing w:before="0" w:beforeAutospacing="0" w:after="0" w:afterAutospacing="0" w:line="360" w:lineRule="auto"/>
        <w:jc w:val="both"/>
        <w:rPr>
          <w:rStyle w:val="42"/>
          <w:color w:val="auto"/>
          <w:sz w:val="21"/>
          <w:szCs w:val="21"/>
          <w:highlight w:val="none"/>
        </w:rPr>
      </w:pPr>
      <w:bookmarkStart w:id="6" w:name="_Toc28359012"/>
      <w:bookmarkEnd w:id="6"/>
      <w:bookmarkStart w:id="7" w:name="_Toc35393629"/>
      <w:bookmarkEnd w:id="7"/>
      <w:bookmarkStart w:id="8" w:name="_Toc28359089"/>
      <w:bookmarkEnd w:id="8"/>
      <w:bookmarkStart w:id="9" w:name="_Toc35393798"/>
      <w:bookmarkEnd w:id="9"/>
    </w:p>
    <w:p>
      <w:pPr>
        <w:pStyle w:val="33"/>
        <w:shd w:val="clear"/>
        <w:snapToGrid w:val="0"/>
        <w:spacing w:before="0" w:beforeAutospacing="0" w:after="0" w:afterAutospacing="0" w:line="360" w:lineRule="auto"/>
        <w:jc w:val="both"/>
        <w:rPr>
          <w:color w:val="auto"/>
          <w:sz w:val="21"/>
          <w:szCs w:val="21"/>
          <w:highlight w:val="none"/>
        </w:rPr>
      </w:pPr>
      <w:r>
        <w:rPr>
          <w:rStyle w:val="42"/>
          <w:rFonts w:hint="eastAsia"/>
          <w:color w:val="auto"/>
          <w:sz w:val="21"/>
          <w:szCs w:val="21"/>
          <w:highlight w:val="none"/>
        </w:rPr>
        <w:t>一、项目基本情况</w:t>
      </w:r>
    </w:p>
    <w:p>
      <w:pPr>
        <w:pStyle w:val="33"/>
        <w:shd w:val="clear"/>
        <w:snapToGrid w:val="0"/>
        <w:spacing w:before="0" w:beforeAutospacing="0" w:after="0" w:afterAutospacing="0"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HXCTGX-CFZB-2023-025</w:t>
      </w:r>
    </w:p>
    <w:p>
      <w:pPr>
        <w:pStyle w:val="33"/>
        <w:shd w:val="clear"/>
        <w:snapToGrid w:val="0"/>
        <w:spacing w:before="0" w:beforeAutospacing="0" w:after="0" w:afterAutospacing="0"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智慧党建平台、社团活动管理系统建设项目</w:t>
      </w:r>
    </w:p>
    <w:p>
      <w:pPr>
        <w:pStyle w:val="33"/>
        <w:shd w:val="clear"/>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采购方式：竞争性磋商</w:t>
      </w:r>
    </w:p>
    <w:p>
      <w:pPr>
        <w:pStyle w:val="33"/>
        <w:shd w:val="clear"/>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预算总金额：</w:t>
      </w:r>
      <w:r>
        <w:rPr>
          <w:rFonts w:hint="eastAsia"/>
          <w:color w:val="auto"/>
          <w:sz w:val="21"/>
          <w:szCs w:val="21"/>
          <w:highlight w:val="none"/>
          <w:lang w:val="en-US" w:eastAsia="zh-CN"/>
        </w:rPr>
        <w:t>500000</w:t>
      </w:r>
      <w:r>
        <w:rPr>
          <w:rFonts w:hint="eastAsia"/>
          <w:color w:val="auto"/>
          <w:sz w:val="21"/>
          <w:szCs w:val="21"/>
          <w:highlight w:val="none"/>
        </w:rPr>
        <w:t>.00元</w:t>
      </w:r>
    </w:p>
    <w:p>
      <w:pPr>
        <w:pStyle w:val="33"/>
        <w:shd w:val="clear"/>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采购需求：</w:t>
      </w:r>
    </w:p>
    <w:p>
      <w:pPr>
        <w:pStyle w:val="33"/>
        <w:keepNext w:val="0"/>
        <w:keepLines w:val="0"/>
        <w:pageBreakBefore w:val="0"/>
        <w:widowControl/>
        <w:suppressLineNumbers w:val="0"/>
        <w:kinsoku/>
        <w:wordWrap/>
        <w:overflowPunct/>
        <w:topLinePunct w:val="0"/>
        <w:autoSpaceDE/>
        <w:autoSpaceDN/>
        <w:bidi w:val="0"/>
        <w:snapToGrid w:val="0"/>
        <w:spacing w:before="0" w:beforeAutospacing="0" w:after="0" w:afterAutospacing="0" w:line="336" w:lineRule="auto"/>
        <w:ind w:left="0" w:right="0"/>
        <w:textAlignment w:val="auto"/>
        <w:rPr>
          <w:rFonts w:hint="eastAsia"/>
          <w:color w:val="auto"/>
          <w:sz w:val="21"/>
          <w:szCs w:val="21"/>
          <w:highlight w:val="none"/>
        </w:rPr>
      </w:pPr>
      <w:r>
        <w:rPr>
          <w:rStyle w:val="158"/>
          <w:rFonts w:hint="eastAsia" w:ascii="宋体" w:hAnsi="宋体" w:eastAsia="宋体" w:cs="宋体"/>
          <w:b/>
          <w:bCs/>
          <w:i w:val="0"/>
          <w:caps w:val="0"/>
          <w:color w:val="auto"/>
          <w:spacing w:val="0"/>
          <w:sz w:val="21"/>
          <w:szCs w:val="21"/>
        </w:rPr>
        <w:t>标项一</w:t>
      </w:r>
    </w:p>
    <w:p>
      <w:pPr>
        <w:pStyle w:val="33"/>
        <w:keepNext w:val="0"/>
        <w:keepLines w:val="0"/>
        <w:pageBreakBefore w:val="0"/>
        <w:widowControl/>
        <w:suppressLineNumbers w:val="0"/>
        <w:kinsoku/>
        <w:wordWrap/>
        <w:overflowPunct/>
        <w:topLinePunct w:val="0"/>
        <w:autoSpaceDE/>
        <w:autoSpaceDN/>
        <w:bidi w:val="0"/>
        <w:snapToGrid w:val="0"/>
        <w:spacing w:before="0" w:beforeAutospacing="0" w:after="0" w:afterAutospacing="0" w:line="336" w:lineRule="auto"/>
        <w:ind w:left="0" w:right="0"/>
        <w:textAlignment w:val="auto"/>
        <w:rPr>
          <w:rStyle w:val="116"/>
          <w:rFonts w:hint="eastAsia"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标项名称:智慧党建平台建设项目</w:t>
      </w:r>
    </w:p>
    <w:p>
      <w:pPr>
        <w:pStyle w:val="33"/>
        <w:keepNext w:val="0"/>
        <w:keepLines w:val="0"/>
        <w:pageBreakBefore w:val="0"/>
        <w:widowControl/>
        <w:suppressLineNumbers w:val="0"/>
        <w:kinsoku/>
        <w:wordWrap/>
        <w:overflowPunct/>
        <w:topLinePunct w:val="0"/>
        <w:autoSpaceDE/>
        <w:autoSpaceDN/>
        <w:bidi w:val="0"/>
        <w:snapToGrid w:val="0"/>
        <w:spacing w:before="0" w:beforeAutospacing="0" w:after="0" w:afterAutospacing="0" w:line="336" w:lineRule="auto"/>
        <w:ind w:left="0" w:right="0"/>
        <w:textAlignment w:val="auto"/>
        <w:rPr>
          <w:rStyle w:val="118"/>
          <w:rFonts w:hint="default"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数量:</w:t>
      </w:r>
      <w:r>
        <w:rPr>
          <w:rStyle w:val="117"/>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rPr>
        <w:br w:type="textWrapping"/>
      </w:r>
      <w:r>
        <w:rPr>
          <w:rFonts w:hint="eastAsia" w:ascii="宋体" w:hAnsi="宋体" w:eastAsia="宋体" w:cs="宋体"/>
          <w:color w:val="auto"/>
          <w:sz w:val="21"/>
          <w:szCs w:val="21"/>
          <w:highlight w:val="none"/>
          <w:shd w:val="clear" w:color="auto" w:fill="auto"/>
        </w:rPr>
        <w:t>预算金额（元）:</w:t>
      </w:r>
      <w:r>
        <w:rPr>
          <w:rStyle w:val="118"/>
          <w:rFonts w:hint="eastAsia" w:cs="宋体"/>
          <w:color w:val="auto"/>
          <w:sz w:val="21"/>
          <w:szCs w:val="21"/>
          <w:highlight w:val="none"/>
          <w:shd w:val="clear" w:color="auto" w:fill="auto"/>
          <w:lang w:val="en-US" w:eastAsia="zh-CN"/>
        </w:rPr>
        <w:t>300000.00</w:t>
      </w:r>
    </w:p>
    <w:p>
      <w:pPr>
        <w:pStyle w:val="33"/>
        <w:keepNext w:val="0"/>
        <w:keepLines w:val="0"/>
        <w:pageBreakBefore w:val="0"/>
        <w:widowControl/>
        <w:suppressLineNumbers w:val="0"/>
        <w:kinsoku/>
        <w:wordWrap/>
        <w:overflowPunct/>
        <w:topLinePunct w:val="0"/>
        <w:autoSpaceDE/>
        <w:autoSpaceDN/>
        <w:bidi w:val="0"/>
        <w:snapToGrid w:val="0"/>
        <w:spacing w:before="0" w:beforeAutospacing="0" w:after="0" w:afterAutospacing="0" w:line="336" w:lineRule="auto"/>
        <w:ind w:left="0" w:righ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简要规格描述或项目基本概况介绍、用途：智慧党建平台建设</w:t>
      </w:r>
      <w:r>
        <w:rPr>
          <w:rStyle w:val="119"/>
          <w:rFonts w:hint="eastAsia" w:ascii="宋体" w:hAnsi="宋体" w:eastAsia="宋体" w:cs="宋体"/>
          <w:color w:val="auto"/>
          <w:sz w:val="21"/>
          <w:szCs w:val="21"/>
          <w:highlight w:val="none"/>
          <w:u w:val="none"/>
          <w:shd w:val="clear" w:color="auto" w:fill="auto"/>
        </w:rPr>
        <w:t>1项</w:t>
      </w:r>
      <w:r>
        <w:rPr>
          <w:rStyle w:val="119"/>
          <w:rFonts w:hint="eastAsia" w:ascii="宋体" w:hAnsi="宋体" w:eastAsia="宋体" w:cs="宋体"/>
          <w:color w:val="auto"/>
          <w:sz w:val="21"/>
          <w:szCs w:val="21"/>
          <w:highlight w:val="none"/>
          <w:shd w:val="clear" w:color="auto" w:fill="auto"/>
        </w:rPr>
        <w:t>,详见采购文件。</w:t>
      </w:r>
    </w:p>
    <w:p>
      <w:pPr>
        <w:pStyle w:val="33"/>
        <w:keepNext w:val="0"/>
        <w:keepLines w:val="0"/>
        <w:pageBreakBefore w:val="0"/>
        <w:widowControl/>
        <w:suppressLineNumbers w:val="0"/>
        <w:kinsoku/>
        <w:wordWrap/>
        <w:overflowPunct/>
        <w:topLinePunct w:val="0"/>
        <w:autoSpaceDE/>
        <w:autoSpaceDN/>
        <w:bidi w:val="0"/>
        <w:snapToGrid w:val="0"/>
        <w:spacing w:before="0" w:beforeAutospacing="0" w:after="0" w:afterAutospacing="0" w:line="336" w:lineRule="auto"/>
        <w:ind w:left="0" w:righ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最高限价（如有）：</w:t>
      </w:r>
      <w:r>
        <w:rPr>
          <w:rStyle w:val="118"/>
          <w:rFonts w:hint="eastAsia" w:cs="宋体"/>
          <w:color w:val="auto"/>
          <w:sz w:val="21"/>
          <w:szCs w:val="21"/>
          <w:highlight w:val="none"/>
          <w:shd w:val="clear" w:color="auto" w:fill="auto"/>
          <w:lang w:val="en-US" w:eastAsia="zh-CN"/>
        </w:rPr>
        <w:t>300000.00</w:t>
      </w:r>
    </w:p>
    <w:p>
      <w:pPr>
        <w:pStyle w:val="33"/>
        <w:keepNext w:val="0"/>
        <w:keepLines w:val="0"/>
        <w:pageBreakBefore w:val="0"/>
        <w:widowControl/>
        <w:suppressLineNumbers w:val="0"/>
        <w:kinsoku/>
        <w:wordWrap/>
        <w:overflowPunct/>
        <w:topLinePunct w:val="0"/>
        <w:autoSpaceDE/>
        <w:autoSpaceDN/>
        <w:bidi w:val="0"/>
        <w:snapToGrid w:val="0"/>
        <w:spacing w:before="0" w:beforeAutospacing="0" w:after="0" w:afterAutospacing="0" w:line="336" w:lineRule="auto"/>
        <w:ind w:left="0" w:righ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合同履约期限：</w:t>
      </w:r>
      <w:r>
        <w:rPr>
          <w:rFonts w:hint="eastAsia" w:ascii="宋体" w:hAnsi="宋体" w:cs="Tahoma"/>
          <w:bCs/>
          <w:color w:val="auto"/>
          <w:sz w:val="21"/>
          <w:szCs w:val="21"/>
          <w:highlight w:val="none"/>
        </w:rPr>
        <w:t>自合同签订之日起</w:t>
      </w:r>
      <w:r>
        <w:rPr>
          <w:rFonts w:hint="eastAsia" w:cs="Tahoma"/>
          <w:bCs/>
          <w:color w:val="auto"/>
          <w:sz w:val="21"/>
          <w:szCs w:val="21"/>
          <w:highlight w:val="none"/>
          <w:lang w:val="en-US" w:eastAsia="zh-CN"/>
        </w:rPr>
        <w:t>30</w:t>
      </w:r>
      <w:r>
        <w:rPr>
          <w:rFonts w:hint="eastAsia" w:ascii="宋体" w:hAnsi="宋体" w:cs="Tahoma"/>
          <w:bCs/>
          <w:color w:val="auto"/>
          <w:sz w:val="21"/>
          <w:szCs w:val="21"/>
          <w:highlight w:val="none"/>
        </w:rPr>
        <w:t>日内提交服务成果完毕并经验收合格交付</w:t>
      </w:r>
      <w:r>
        <w:rPr>
          <w:rStyle w:val="46"/>
          <w:rFonts w:hint="eastAsia"/>
          <w:color w:val="auto"/>
          <w:sz w:val="21"/>
          <w:szCs w:val="21"/>
          <w:highlight w:val="none"/>
        </w:rPr>
        <w:t>。</w:t>
      </w:r>
    </w:p>
    <w:p>
      <w:pPr>
        <w:pStyle w:val="33"/>
        <w:keepNext w:val="0"/>
        <w:keepLines w:val="0"/>
        <w:pageBreakBefore w:val="0"/>
        <w:widowControl/>
        <w:suppressLineNumbers w:val="0"/>
        <w:kinsoku/>
        <w:wordWrap/>
        <w:overflowPunct/>
        <w:topLinePunct w:val="0"/>
        <w:autoSpaceDE/>
        <w:autoSpaceDN/>
        <w:bidi w:val="0"/>
        <w:snapToGrid w:val="0"/>
        <w:spacing w:before="0" w:beforeAutospacing="0" w:after="0" w:afterAutospacing="0" w:line="336" w:lineRule="auto"/>
        <w:ind w:left="0" w:right="0"/>
        <w:textAlignment w:val="auto"/>
        <w:rPr>
          <w:rFonts w:hint="eastAsia" w:cs="宋体"/>
          <w:color w:val="auto"/>
          <w:sz w:val="21"/>
          <w:szCs w:val="21"/>
          <w:lang w:eastAsia="zh-CN"/>
        </w:rPr>
      </w:pPr>
      <w:r>
        <w:rPr>
          <w:rFonts w:hint="eastAsia" w:ascii="宋体" w:hAnsi="宋体" w:eastAsia="宋体" w:cs="宋体"/>
          <w:color w:val="auto"/>
          <w:sz w:val="21"/>
          <w:szCs w:val="21"/>
        </w:rPr>
        <w:t>本标项</w:t>
      </w:r>
      <w:r>
        <w:rPr>
          <w:rFonts w:hint="eastAsia" w:cs="宋体"/>
          <w:color w:val="auto"/>
          <w:sz w:val="21"/>
          <w:szCs w:val="21"/>
          <w:lang w:eastAsia="zh-CN"/>
        </w:rPr>
        <w:t>不</w:t>
      </w:r>
      <w:r>
        <w:rPr>
          <w:rFonts w:hint="eastAsia" w:ascii="宋体" w:hAnsi="宋体" w:eastAsia="宋体" w:cs="宋体"/>
          <w:color w:val="auto"/>
          <w:sz w:val="21"/>
          <w:szCs w:val="21"/>
        </w:rPr>
        <w:t>接受联合体投标</w:t>
      </w:r>
      <w:r>
        <w:rPr>
          <w:rFonts w:hint="eastAsia" w:cs="宋体"/>
          <w:color w:val="auto"/>
          <w:sz w:val="21"/>
          <w:szCs w:val="21"/>
          <w:lang w:eastAsia="zh-CN"/>
        </w:rPr>
        <w:t>。</w:t>
      </w:r>
    </w:p>
    <w:p>
      <w:pPr>
        <w:pStyle w:val="33"/>
        <w:keepNext w:val="0"/>
        <w:keepLines w:val="0"/>
        <w:pageBreakBefore w:val="0"/>
        <w:widowControl/>
        <w:suppressLineNumbers w:val="0"/>
        <w:kinsoku/>
        <w:wordWrap/>
        <w:overflowPunct/>
        <w:topLinePunct w:val="0"/>
        <w:autoSpaceDE/>
        <w:autoSpaceDN/>
        <w:bidi w:val="0"/>
        <w:snapToGrid w:val="0"/>
        <w:spacing w:before="0" w:beforeAutospacing="0" w:after="0" w:afterAutospacing="0" w:line="336" w:lineRule="auto"/>
        <w:ind w:left="0" w:right="0"/>
        <w:textAlignment w:val="auto"/>
        <w:rPr>
          <w:rFonts w:hint="eastAsia" w:eastAsia="宋体"/>
          <w:color w:val="auto"/>
          <w:sz w:val="21"/>
          <w:szCs w:val="21"/>
          <w:highlight w:val="none"/>
          <w:lang w:eastAsia="zh-CN"/>
        </w:rPr>
      </w:pPr>
      <w:r>
        <w:rPr>
          <w:rStyle w:val="158"/>
          <w:rFonts w:hint="eastAsia" w:ascii="宋体" w:hAnsi="宋体" w:eastAsia="宋体" w:cs="宋体"/>
          <w:b/>
          <w:bCs/>
          <w:i w:val="0"/>
          <w:caps w:val="0"/>
          <w:color w:val="auto"/>
          <w:spacing w:val="0"/>
          <w:sz w:val="21"/>
          <w:szCs w:val="21"/>
        </w:rPr>
        <w:t>标项</w:t>
      </w:r>
      <w:r>
        <w:rPr>
          <w:rStyle w:val="158"/>
          <w:rFonts w:hint="eastAsia" w:cs="宋体"/>
          <w:b/>
          <w:bCs/>
          <w:i w:val="0"/>
          <w:caps w:val="0"/>
          <w:color w:val="auto"/>
          <w:spacing w:val="0"/>
          <w:sz w:val="21"/>
          <w:szCs w:val="21"/>
          <w:lang w:eastAsia="zh-CN"/>
        </w:rPr>
        <w:t>二</w:t>
      </w:r>
    </w:p>
    <w:p>
      <w:pPr>
        <w:pStyle w:val="33"/>
        <w:keepNext w:val="0"/>
        <w:keepLines w:val="0"/>
        <w:pageBreakBefore w:val="0"/>
        <w:widowControl/>
        <w:suppressLineNumbers w:val="0"/>
        <w:kinsoku/>
        <w:wordWrap/>
        <w:overflowPunct/>
        <w:topLinePunct w:val="0"/>
        <w:autoSpaceDE/>
        <w:autoSpaceDN/>
        <w:bidi w:val="0"/>
        <w:snapToGrid w:val="0"/>
        <w:spacing w:before="0" w:beforeAutospacing="0" w:after="0" w:afterAutospacing="0" w:line="336" w:lineRule="auto"/>
        <w:ind w:left="0" w:right="0"/>
        <w:textAlignment w:val="auto"/>
        <w:rPr>
          <w:rStyle w:val="116"/>
          <w:rFonts w:hint="eastAsia"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标项名称:</w:t>
      </w:r>
      <w:r>
        <w:rPr>
          <w:rFonts w:hint="eastAsia" w:cs="宋体"/>
          <w:color w:val="auto"/>
          <w:sz w:val="21"/>
          <w:szCs w:val="21"/>
          <w:highlight w:val="none"/>
          <w:shd w:val="clear" w:color="auto" w:fill="auto"/>
          <w:lang w:val="en-US" w:eastAsia="zh-CN"/>
        </w:rPr>
        <w:t>社团活动管理系统建设项目</w:t>
      </w:r>
    </w:p>
    <w:p>
      <w:pPr>
        <w:pStyle w:val="33"/>
        <w:keepNext w:val="0"/>
        <w:keepLines w:val="0"/>
        <w:pageBreakBefore w:val="0"/>
        <w:widowControl/>
        <w:suppressLineNumbers w:val="0"/>
        <w:kinsoku/>
        <w:wordWrap/>
        <w:overflowPunct/>
        <w:topLinePunct w:val="0"/>
        <w:autoSpaceDE/>
        <w:autoSpaceDN/>
        <w:bidi w:val="0"/>
        <w:snapToGrid w:val="0"/>
        <w:spacing w:before="0" w:beforeAutospacing="0" w:after="0" w:afterAutospacing="0" w:line="336" w:lineRule="auto"/>
        <w:ind w:left="0" w:right="0"/>
        <w:textAlignment w:val="auto"/>
        <w:rPr>
          <w:rStyle w:val="118"/>
          <w:rFonts w:hint="default"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数量:</w:t>
      </w:r>
      <w:r>
        <w:rPr>
          <w:rStyle w:val="117"/>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rPr>
        <w:br w:type="textWrapping"/>
      </w:r>
      <w:r>
        <w:rPr>
          <w:rFonts w:hint="eastAsia" w:ascii="宋体" w:hAnsi="宋体" w:eastAsia="宋体" w:cs="宋体"/>
          <w:color w:val="auto"/>
          <w:sz w:val="21"/>
          <w:szCs w:val="21"/>
          <w:highlight w:val="none"/>
          <w:shd w:val="clear" w:color="auto" w:fill="auto"/>
        </w:rPr>
        <w:t>预算金额（元）:</w:t>
      </w:r>
      <w:r>
        <w:rPr>
          <w:rStyle w:val="118"/>
          <w:rFonts w:hint="eastAsia" w:cs="宋体"/>
          <w:color w:val="auto"/>
          <w:sz w:val="21"/>
          <w:szCs w:val="21"/>
          <w:highlight w:val="none"/>
          <w:shd w:val="clear" w:color="auto" w:fill="auto"/>
          <w:lang w:val="en-US" w:eastAsia="zh-CN"/>
        </w:rPr>
        <w:t>200000.00</w:t>
      </w:r>
    </w:p>
    <w:p>
      <w:pPr>
        <w:pStyle w:val="33"/>
        <w:keepNext w:val="0"/>
        <w:keepLines w:val="0"/>
        <w:pageBreakBefore w:val="0"/>
        <w:widowControl/>
        <w:suppressLineNumbers w:val="0"/>
        <w:kinsoku/>
        <w:wordWrap/>
        <w:overflowPunct/>
        <w:topLinePunct w:val="0"/>
        <w:autoSpaceDE/>
        <w:autoSpaceDN/>
        <w:bidi w:val="0"/>
        <w:snapToGrid w:val="0"/>
        <w:spacing w:before="0" w:beforeAutospacing="0" w:after="0" w:afterAutospacing="0" w:line="336" w:lineRule="auto"/>
        <w:ind w:left="0" w:righ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简要规格描述或项目基本概况介绍、用途：社团活动管理系统建设</w:t>
      </w:r>
      <w:r>
        <w:rPr>
          <w:rStyle w:val="119"/>
          <w:rFonts w:hint="eastAsia" w:ascii="宋体" w:hAnsi="宋体" w:eastAsia="宋体" w:cs="宋体"/>
          <w:color w:val="auto"/>
          <w:sz w:val="21"/>
          <w:szCs w:val="21"/>
          <w:highlight w:val="none"/>
          <w:u w:val="none"/>
          <w:shd w:val="clear" w:color="auto" w:fill="auto"/>
        </w:rPr>
        <w:t>1项</w:t>
      </w:r>
      <w:r>
        <w:rPr>
          <w:rStyle w:val="119"/>
          <w:rFonts w:hint="eastAsia" w:ascii="宋体" w:hAnsi="宋体" w:eastAsia="宋体" w:cs="宋体"/>
          <w:color w:val="auto"/>
          <w:sz w:val="21"/>
          <w:szCs w:val="21"/>
          <w:highlight w:val="none"/>
          <w:shd w:val="clear" w:color="auto" w:fill="auto"/>
        </w:rPr>
        <w:t>,详见采购文件。</w:t>
      </w:r>
    </w:p>
    <w:p>
      <w:pPr>
        <w:pStyle w:val="33"/>
        <w:keepNext w:val="0"/>
        <w:keepLines w:val="0"/>
        <w:pageBreakBefore w:val="0"/>
        <w:widowControl/>
        <w:suppressLineNumbers w:val="0"/>
        <w:kinsoku/>
        <w:wordWrap/>
        <w:overflowPunct/>
        <w:topLinePunct w:val="0"/>
        <w:autoSpaceDE/>
        <w:autoSpaceDN/>
        <w:bidi w:val="0"/>
        <w:snapToGrid w:val="0"/>
        <w:spacing w:before="0" w:beforeAutospacing="0" w:after="0" w:afterAutospacing="0" w:line="336" w:lineRule="auto"/>
        <w:ind w:left="0" w:righ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最高限价（如有）：</w:t>
      </w:r>
      <w:r>
        <w:rPr>
          <w:rStyle w:val="118"/>
          <w:rFonts w:hint="eastAsia" w:cs="宋体"/>
          <w:color w:val="auto"/>
          <w:sz w:val="21"/>
          <w:szCs w:val="21"/>
          <w:highlight w:val="none"/>
          <w:shd w:val="clear" w:color="auto" w:fill="auto"/>
          <w:lang w:val="en-US" w:eastAsia="zh-CN"/>
        </w:rPr>
        <w:t>200000.00</w:t>
      </w:r>
    </w:p>
    <w:p>
      <w:pPr>
        <w:pStyle w:val="33"/>
        <w:keepNext w:val="0"/>
        <w:keepLines w:val="0"/>
        <w:pageBreakBefore w:val="0"/>
        <w:widowControl/>
        <w:suppressLineNumbers w:val="0"/>
        <w:kinsoku/>
        <w:wordWrap/>
        <w:overflowPunct/>
        <w:topLinePunct w:val="0"/>
        <w:autoSpaceDE/>
        <w:autoSpaceDN/>
        <w:bidi w:val="0"/>
        <w:snapToGrid w:val="0"/>
        <w:spacing w:before="0" w:beforeAutospacing="0" w:after="0" w:afterAutospacing="0" w:line="336" w:lineRule="auto"/>
        <w:ind w:left="0" w:right="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合同履约期限：</w:t>
      </w:r>
      <w:r>
        <w:rPr>
          <w:rFonts w:hint="eastAsia" w:ascii="宋体" w:hAnsi="宋体" w:cs="Tahoma"/>
          <w:bCs/>
          <w:color w:val="auto"/>
          <w:sz w:val="21"/>
          <w:szCs w:val="21"/>
          <w:highlight w:val="none"/>
        </w:rPr>
        <w:t>自合同签订之日起</w:t>
      </w:r>
      <w:r>
        <w:rPr>
          <w:rFonts w:hint="eastAsia" w:cs="Tahoma"/>
          <w:bCs/>
          <w:color w:val="auto"/>
          <w:sz w:val="21"/>
          <w:szCs w:val="21"/>
          <w:highlight w:val="none"/>
          <w:lang w:val="en-US" w:eastAsia="zh-CN"/>
        </w:rPr>
        <w:t>30</w:t>
      </w:r>
      <w:r>
        <w:rPr>
          <w:rFonts w:hint="eastAsia" w:ascii="宋体" w:hAnsi="宋体" w:cs="Tahoma"/>
          <w:bCs/>
          <w:color w:val="auto"/>
          <w:sz w:val="21"/>
          <w:szCs w:val="21"/>
          <w:highlight w:val="none"/>
        </w:rPr>
        <w:t>日内提交服务成果完毕并经验收合格交付</w:t>
      </w:r>
      <w:r>
        <w:rPr>
          <w:rStyle w:val="46"/>
          <w:rFonts w:hint="eastAsia"/>
          <w:color w:val="auto"/>
          <w:sz w:val="21"/>
          <w:szCs w:val="21"/>
          <w:highlight w:val="none"/>
        </w:rPr>
        <w:t>。</w:t>
      </w:r>
    </w:p>
    <w:p>
      <w:pPr>
        <w:pStyle w:val="33"/>
        <w:keepNext w:val="0"/>
        <w:keepLines w:val="0"/>
        <w:pageBreakBefore w:val="0"/>
        <w:widowControl/>
        <w:suppressLineNumbers w:val="0"/>
        <w:kinsoku/>
        <w:wordWrap/>
        <w:overflowPunct/>
        <w:topLinePunct w:val="0"/>
        <w:autoSpaceDE/>
        <w:autoSpaceDN/>
        <w:bidi w:val="0"/>
        <w:snapToGrid w:val="0"/>
        <w:spacing w:before="0" w:beforeAutospacing="0" w:after="0" w:afterAutospacing="0" w:line="336" w:lineRule="auto"/>
        <w:ind w:left="0" w:right="0"/>
        <w:textAlignment w:val="auto"/>
        <w:rPr>
          <w:rStyle w:val="42"/>
          <w:rFonts w:hint="eastAsia"/>
          <w:color w:val="auto"/>
          <w:sz w:val="21"/>
          <w:szCs w:val="21"/>
          <w:highlight w:val="none"/>
        </w:rPr>
      </w:pPr>
      <w:r>
        <w:rPr>
          <w:rFonts w:hint="eastAsia" w:ascii="宋体" w:hAnsi="宋体" w:eastAsia="宋体" w:cs="宋体"/>
          <w:color w:val="auto"/>
          <w:sz w:val="21"/>
          <w:szCs w:val="21"/>
        </w:rPr>
        <w:t>本标项</w:t>
      </w:r>
      <w:r>
        <w:rPr>
          <w:rFonts w:hint="eastAsia" w:cs="宋体"/>
          <w:color w:val="auto"/>
          <w:sz w:val="21"/>
          <w:szCs w:val="21"/>
          <w:lang w:eastAsia="zh-CN"/>
        </w:rPr>
        <w:t>不</w:t>
      </w:r>
      <w:r>
        <w:rPr>
          <w:rFonts w:hint="eastAsia" w:ascii="宋体" w:hAnsi="宋体" w:eastAsia="宋体" w:cs="宋体"/>
          <w:color w:val="auto"/>
          <w:sz w:val="21"/>
          <w:szCs w:val="21"/>
        </w:rPr>
        <w:t>接受联合体投标</w:t>
      </w:r>
    </w:p>
    <w:p>
      <w:pPr>
        <w:pStyle w:val="33"/>
        <w:shd w:val="clear"/>
        <w:snapToGrid w:val="0"/>
        <w:spacing w:before="0" w:beforeAutospacing="0" w:after="0" w:afterAutospacing="0" w:line="360" w:lineRule="auto"/>
        <w:rPr>
          <w:color w:val="auto"/>
          <w:sz w:val="21"/>
          <w:szCs w:val="21"/>
          <w:highlight w:val="none"/>
        </w:rPr>
      </w:pPr>
      <w:r>
        <w:rPr>
          <w:rStyle w:val="42"/>
          <w:rFonts w:hint="eastAsia"/>
          <w:color w:val="auto"/>
          <w:sz w:val="21"/>
          <w:szCs w:val="21"/>
          <w:highlight w:val="none"/>
        </w:rPr>
        <w:t>二、申请人的资格要求：</w:t>
      </w:r>
    </w:p>
    <w:p>
      <w:pPr>
        <w:pStyle w:val="33"/>
        <w:shd w:val="clear"/>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1.满足《中华人民共和国政府采购法》第二十二条规定。</w:t>
      </w:r>
    </w:p>
    <w:p>
      <w:pPr>
        <w:pStyle w:val="33"/>
        <w:shd w:val="clear"/>
        <w:snapToGrid w:val="0"/>
        <w:spacing w:before="0" w:beforeAutospacing="0" w:after="0" w:afterAutospacing="0"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无</w:t>
      </w:r>
    </w:p>
    <w:p>
      <w:pPr>
        <w:pStyle w:val="33"/>
        <w:shd w:val="clear"/>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3.本项目的特定资格要求：</w:t>
      </w:r>
      <w:r>
        <w:rPr>
          <w:rStyle w:val="122"/>
          <w:rFonts w:hint="eastAsia"/>
          <w:color w:val="auto"/>
          <w:sz w:val="21"/>
          <w:szCs w:val="21"/>
          <w:highlight w:val="none"/>
        </w:rPr>
        <w:t>无</w:t>
      </w:r>
    </w:p>
    <w:p>
      <w:pPr>
        <w:pStyle w:val="33"/>
        <w:shd w:val="clear"/>
        <w:snapToGrid w:val="0"/>
        <w:spacing w:before="0" w:beforeAutospacing="0" w:after="0" w:afterAutospacing="0" w:line="360" w:lineRule="auto"/>
        <w:jc w:val="both"/>
        <w:rPr>
          <w:color w:val="auto"/>
          <w:sz w:val="21"/>
          <w:szCs w:val="21"/>
          <w:highlight w:val="none"/>
        </w:rPr>
      </w:pPr>
      <w:r>
        <w:rPr>
          <w:rStyle w:val="42"/>
          <w:rFonts w:hint="eastAsia"/>
          <w:color w:val="auto"/>
          <w:sz w:val="21"/>
          <w:szCs w:val="21"/>
          <w:highlight w:val="none"/>
        </w:rPr>
        <w:t>三、获取采购文件</w:t>
      </w:r>
    </w:p>
    <w:p>
      <w:pPr>
        <w:pStyle w:val="33"/>
        <w:shd w:val="clear"/>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时间：</w:t>
      </w:r>
      <w:r>
        <w:rPr>
          <w:rStyle w:val="123"/>
          <w:rFonts w:hint="eastAsia"/>
          <w:color w:val="auto"/>
          <w:sz w:val="21"/>
          <w:szCs w:val="21"/>
          <w:highlight w:val="none"/>
        </w:rPr>
        <w:t>2023年</w:t>
      </w:r>
      <w:r>
        <w:rPr>
          <w:rStyle w:val="123"/>
          <w:rFonts w:hint="eastAsia"/>
          <w:color w:val="auto"/>
          <w:sz w:val="21"/>
          <w:szCs w:val="21"/>
          <w:highlight w:val="none"/>
          <w:lang w:val="en-US" w:eastAsia="zh-CN"/>
        </w:rPr>
        <w:t>10</w:t>
      </w:r>
      <w:r>
        <w:rPr>
          <w:rStyle w:val="123"/>
          <w:rFonts w:hint="eastAsia"/>
          <w:color w:val="auto"/>
          <w:sz w:val="21"/>
          <w:szCs w:val="21"/>
          <w:highlight w:val="none"/>
        </w:rPr>
        <w:t>月</w:t>
      </w:r>
      <w:r>
        <w:rPr>
          <w:rStyle w:val="123"/>
          <w:rFonts w:hint="eastAsia"/>
          <w:color w:val="auto"/>
          <w:sz w:val="21"/>
          <w:szCs w:val="21"/>
          <w:highlight w:val="none"/>
          <w:lang w:val="en-US" w:eastAsia="zh-CN"/>
        </w:rPr>
        <w:t>19</w:t>
      </w:r>
      <w:r>
        <w:rPr>
          <w:rStyle w:val="123"/>
          <w:rFonts w:hint="eastAsia"/>
          <w:color w:val="auto"/>
          <w:sz w:val="21"/>
          <w:szCs w:val="21"/>
          <w:highlight w:val="none"/>
        </w:rPr>
        <w:t>日</w:t>
      </w:r>
      <w:r>
        <w:rPr>
          <w:rFonts w:hint="eastAsia"/>
          <w:color w:val="auto"/>
          <w:sz w:val="21"/>
          <w:szCs w:val="21"/>
          <w:highlight w:val="none"/>
        </w:rPr>
        <w:t>至</w:t>
      </w:r>
      <w:r>
        <w:rPr>
          <w:rStyle w:val="124"/>
          <w:rFonts w:hint="eastAsia"/>
          <w:color w:val="auto"/>
          <w:sz w:val="21"/>
          <w:szCs w:val="21"/>
          <w:highlight w:val="none"/>
        </w:rPr>
        <w:t>2023年</w:t>
      </w:r>
      <w:r>
        <w:rPr>
          <w:rStyle w:val="124"/>
          <w:rFonts w:hint="eastAsia"/>
          <w:color w:val="auto"/>
          <w:sz w:val="21"/>
          <w:szCs w:val="21"/>
          <w:highlight w:val="none"/>
          <w:lang w:val="en-US" w:eastAsia="zh-CN"/>
        </w:rPr>
        <w:t>10</w:t>
      </w:r>
      <w:r>
        <w:rPr>
          <w:rStyle w:val="124"/>
          <w:rFonts w:hint="eastAsia"/>
          <w:color w:val="auto"/>
          <w:sz w:val="21"/>
          <w:szCs w:val="21"/>
          <w:highlight w:val="none"/>
        </w:rPr>
        <w:t>月</w:t>
      </w:r>
      <w:r>
        <w:rPr>
          <w:rStyle w:val="124"/>
          <w:rFonts w:hint="eastAsia"/>
          <w:color w:val="auto"/>
          <w:sz w:val="21"/>
          <w:szCs w:val="21"/>
          <w:highlight w:val="none"/>
          <w:lang w:val="en-US" w:eastAsia="zh-CN"/>
        </w:rPr>
        <w:t>26</w:t>
      </w:r>
      <w:r>
        <w:rPr>
          <w:rStyle w:val="124"/>
          <w:rFonts w:hint="eastAsia"/>
          <w:color w:val="auto"/>
          <w:sz w:val="21"/>
          <w:szCs w:val="21"/>
          <w:highlight w:val="none"/>
        </w:rPr>
        <w:t>日</w:t>
      </w:r>
      <w:r>
        <w:rPr>
          <w:rFonts w:hint="eastAsia"/>
          <w:color w:val="auto"/>
          <w:sz w:val="21"/>
          <w:szCs w:val="21"/>
          <w:highlight w:val="none"/>
        </w:rPr>
        <w:t>，每天上午</w:t>
      </w:r>
      <w:r>
        <w:rPr>
          <w:rStyle w:val="125"/>
          <w:rFonts w:hint="eastAsia"/>
          <w:color w:val="auto"/>
          <w:sz w:val="21"/>
          <w:szCs w:val="21"/>
          <w:highlight w:val="none"/>
        </w:rPr>
        <w:t>09:00至12:00</w:t>
      </w:r>
      <w:r>
        <w:rPr>
          <w:rFonts w:hint="eastAsia"/>
          <w:color w:val="auto"/>
          <w:sz w:val="21"/>
          <w:szCs w:val="21"/>
          <w:highlight w:val="none"/>
        </w:rPr>
        <w:t>，下午</w:t>
      </w:r>
      <w:r>
        <w:rPr>
          <w:rStyle w:val="126"/>
          <w:rFonts w:hint="eastAsia"/>
          <w:color w:val="auto"/>
          <w:sz w:val="21"/>
          <w:szCs w:val="21"/>
          <w:highlight w:val="none"/>
        </w:rPr>
        <w:t>14:30至18:00</w:t>
      </w:r>
      <w:r>
        <w:rPr>
          <w:rFonts w:hint="eastAsia"/>
          <w:color w:val="auto"/>
          <w:sz w:val="21"/>
          <w:szCs w:val="21"/>
          <w:highlight w:val="none"/>
        </w:rPr>
        <w:t>（北京时间，法定节假日除外）</w:t>
      </w:r>
    </w:p>
    <w:p>
      <w:pPr>
        <w:pStyle w:val="33"/>
        <w:shd w:val="clear"/>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地点：华夏城投项目管理有限公司（南宁市东葛路118号青秀万达写字楼银座8楼808室）</w:t>
      </w:r>
    </w:p>
    <w:p>
      <w:pPr>
        <w:widowControl/>
        <w:shd w:val="clear"/>
        <w:snapToGrid w:val="0"/>
        <w:spacing w:line="360" w:lineRule="auto"/>
        <w:ind w:firstLine="420"/>
        <w:rPr>
          <w:rFonts w:ascii="宋体" w:hAnsi="宋体"/>
          <w:color w:val="auto"/>
          <w:highlight w:val="none"/>
        </w:rPr>
      </w:pPr>
      <w:r>
        <w:rPr>
          <w:rFonts w:hint="eastAsia" w:ascii="宋体" w:hAnsi="宋体" w:cs="宋体"/>
          <w:color w:val="auto"/>
          <w:highlight w:val="none"/>
        </w:rPr>
        <w:t>方式：发售时间内，由企业法定代表人或授权委托人持本人身份证原件及企业营业执照副本复印件、企业法定代表人资格证明书或法人授权委托书（如有授权委托人）原件、法定代表人和授权委托人身份证（如有授权委托人）复印件（以上复印件均需加盖公章）至竞争性磋商文件发售地点现场获取竞争性磋商文件，并在发售截止时间前将购买竞争性磋商文件费用转至指定账户</w:t>
      </w:r>
      <w:r>
        <w:rPr>
          <w:rFonts w:hint="eastAsia" w:ascii="宋体" w:hAnsi="宋体"/>
          <w:color w:val="auto"/>
          <w:highlight w:val="none"/>
        </w:rPr>
        <w:t>。</w:t>
      </w:r>
    </w:p>
    <w:p>
      <w:pPr>
        <w:widowControl/>
        <w:shd w:val="clear"/>
        <w:snapToGrid w:val="0"/>
        <w:spacing w:line="360" w:lineRule="auto"/>
        <w:ind w:firstLine="420"/>
        <w:rPr>
          <w:rFonts w:ascii="宋体" w:hAnsi="宋体" w:cs="宋体"/>
          <w:color w:val="auto"/>
          <w:highlight w:val="none"/>
        </w:rPr>
      </w:pPr>
      <w:r>
        <w:rPr>
          <w:rFonts w:hint="eastAsia" w:ascii="宋体" w:hAnsi="宋体" w:cs="宋体"/>
          <w:color w:val="auto"/>
          <w:highlight w:val="none"/>
        </w:rPr>
        <w:t>售价（元）：竞争性磋商文件工本费每套250元，售后不退。</w:t>
      </w:r>
    </w:p>
    <w:p>
      <w:pPr>
        <w:pStyle w:val="33"/>
        <w:shd w:val="clear"/>
        <w:snapToGrid w:val="0"/>
        <w:spacing w:before="0" w:beforeAutospacing="0" w:after="0" w:afterAutospacing="0" w:line="360" w:lineRule="auto"/>
        <w:jc w:val="both"/>
        <w:rPr>
          <w:color w:val="auto"/>
          <w:sz w:val="21"/>
          <w:szCs w:val="21"/>
          <w:highlight w:val="none"/>
        </w:rPr>
      </w:pPr>
      <w:r>
        <w:rPr>
          <w:rStyle w:val="42"/>
          <w:rFonts w:hint="eastAsia"/>
          <w:color w:val="auto"/>
          <w:sz w:val="21"/>
          <w:szCs w:val="21"/>
          <w:highlight w:val="none"/>
        </w:rPr>
        <w:t>四、响应文件提交</w:t>
      </w:r>
    </w:p>
    <w:p>
      <w:pPr>
        <w:pStyle w:val="33"/>
        <w:shd w:val="clear"/>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截止时间</w:t>
      </w:r>
      <w:r>
        <w:rPr>
          <w:rFonts w:hint="eastAsia"/>
          <w:color w:val="auto"/>
          <w:sz w:val="21"/>
          <w:szCs w:val="21"/>
          <w:highlight w:val="none"/>
          <w:shd w:val="clear" w:color="auto" w:fill="auto"/>
        </w:rPr>
        <w:t>：</w:t>
      </w:r>
      <w:r>
        <w:rPr>
          <w:rStyle w:val="130"/>
          <w:rFonts w:hint="eastAsia"/>
          <w:color w:val="auto"/>
          <w:sz w:val="21"/>
          <w:szCs w:val="21"/>
          <w:highlight w:val="none"/>
          <w:shd w:val="clear" w:color="auto" w:fill="auto"/>
        </w:rPr>
        <w:t>2023年</w:t>
      </w:r>
      <w:r>
        <w:rPr>
          <w:rStyle w:val="130"/>
          <w:rFonts w:hint="eastAsia"/>
          <w:color w:val="auto"/>
          <w:sz w:val="21"/>
          <w:szCs w:val="21"/>
          <w:highlight w:val="none"/>
          <w:shd w:val="clear" w:color="auto" w:fill="auto"/>
          <w:lang w:val="en-US" w:eastAsia="zh-CN"/>
        </w:rPr>
        <w:t>10</w:t>
      </w:r>
      <w:r>
        <w:rPr>
          <w:rStyle w:val="130"/>
          <w:rFonts w:hint="eastAsia"/>
          <w:color w:val="auto"/>
          <w:sz w:val="21"/>
          <w:szCs w:val="21"/>
          <w:highlight w:val="none"/>
          <w:shd w:val="clear" w:color="auto" w:fill="auto"/>
        </w:rPr>
        <w:t>月</w:t>
      </w:r>
      <w:r>
        <w:rPr>
          <w:rStyle w:val="130"/>
          <w:rFonts w:hint="eastAsia"/>
          <w:color w:val="auto"/>
          <w:sz w:val="21"/>
          <w:szCs w:val="21"/>
          <w:highlight w:val="none"/>
          <w:shd w:val="clear" w:color="auto" w:fill="auto"/>
          <w:lang w:val="en-US" w:eastAsia="zh-CN"/>
        </w:rPr>
        <w:t>31</w:t>
      </w:r>
      <w:r>
        <w:rPr>
          <w:rStyle w:val="130"/>
          <w:rFonts w:hint="eastAsia"/>
          <w:color w:val="auto"/>
          <w:sz w:val="21"/>
          <w:szCs w:val="21"/>
          <w:highlight w:val="none"/>
          <w:shd w:val="clear" w:color="auto" w:fill="auto"/>
        </w:rPr>
        <w:t>日</w:t>
      </w:r>
      <w:r>
        <w:rPr>
          <w:rStyle w:val="130"/>
          <w:rFonts w:hint="eastAsia"/>
          <w:color w:val="auto"/>
          <w:sz w:val="21"/>
          <w:szCs w:val="21"/>
          <w:highlight w:val="none"/>
          <w:shd w:val="clear" w:color="auto" w:fill="auto"/>
          <w:lang w:val="en-US" w:eastAsia="zh-CN"/>
        </w:rPr>
        <w:t>09</w:t>
      </w:r>
      <w:r>
        <w:rPr>
          <w:rStyle w:val="130"/>
          <w:rFonts w:hint="eastAsia"/>
          <w:color w:val="auto"/>
          <w:sz w:val="21"/>
          <w:szCs w:val="21"/>
          <w:highlight w:val="none"/>
          <w:shd w:val="clear" w:color="auto" w:fill="auto"/>
        </w:rPr>
        <w:t>:</w:t>
      </w:r>
      <w:r>
        <w:rPr>
          <w:rStyle w:val="130"/>
          <w:rFonts w:hint="eastAsia"/>
          <w:color w:val="auto"/>
          <w:sz w:val="21"/>
          <w:szCs w:val="21"/>
          <w:highlight w:val="none"/>
          <w:shd w:val="clear" w:color="auto" w:fill="auto"/>
          <w:lang w:val="en-US" w:eastAsia="zh-CN"/>
        </w:rPr>
        <w:t>30</w:t>
      </w:r>
      <w:r>
        <w:rPr>
          <w:rFonts w:hint="eastAsia"/>
          <w:color w:val="auto"/>
          <w:sz w:val="21"/>
          <w:szCs w:val="21"/>
          <w:highlight w:val="none"/>
          <w:shd w:val="clear" w:color="auto" w:fill="auto"/>
        </w:rPr>
        <w:t>（北京</w:t>
      </w:r>
      <w:r>
        <w:rPr>
          <w:rFonts w:hint="eastAsia"/>
          <w:color w:val="auto"/>
          <w:sz w:val="21"/>
          <w:szCs w:val="21"/>
          <w:highlight w:val="none"/>
        </w:rPr>
        <w:t>时间）</w:t>
      </w:r>
    </w:p>
    <w:p>
      <w:pPr>
        <w:pStyle w:val="33"/>
        <w:shd w:val="clear"/>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地点：华夏城投项目管理有限公司（南宁市东葛路118号青秀万达写字楼银座8楼808室）开标室。</w:t>
      </w:r>
    </w:p>
    <w:p>
      <w:pPr>
        <w:pStyle w:val="33"/>
        <w:shd w:val="clear"/>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供应商法定代表人(负责人)或委托代理人必须持有效证件[法定代表人(负责人)凭身份证原件或委托代理人凭法人授权委托书原件和身份证原件]，于截止时间前将响应文件密封送交到指定地点，逾期送达或未密封将予以拒收（或作无效响应文件处理）。</w:t>
      </w:r>
    </w:p>
    <w:p>
      <w:pPr>
        <w:pStyle w:val="33"/>
        <w:shd w:val="clear"/>
        <w:snapToGrid w:val="0"/>
        <w:spacing w:before="0" w:beforeAutospacing="0" w:after="0" w:afterAutospacing="0" w:line="360" w:lineRule="auto"/>
        <w:jc w:val="both"/>
        <w:rPr>
          <w:color w:val="auto"/>
          <w:sz w:val="21"/>
          <w:szCs w:val="21"/>
          <w:highlight w:val="none"/>
        </w:rPr>
      </w:pPr>
      <w:r>
        <w:rPr>
          <w:rStyle w:val="42"/>
          <w:rFonts w:hint="eastAsia"/>
          <w:color w:val="auto"/>
          <w:sz w:val="21"/>
          <w:szCs w:val="21"/>
          <w:highlight w:val="none"/>
        </w:rPr>
        <w:t>五、响应文件开启</w:t>
      </w:r>
    </w:p>
    <w:p>
      <w:pPr>
        <w:pStyle w:val="33"/>
        <w:shd w:val="clear"/>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开启时间：</w:t>
      </w:r>
      <w:r>
        <w:rPr>
          <w:rStyle w:val="130"/>
          <w:rFonts w:hint="eastAsia"/>
          <w:color w:val="auto"/>
          <w:sz w:val="21"/>
          <w:szCs w:val="21"/>
          <w:highlight w:val="none"/>
        </w:rPr>
        <w:t>2023年</w:t>
      </w:r>
      <w:r>
        <w:rPr>
          <w:rStyle w:val="130"/>
          <w:rFonts w:hint="eastAsia"/>
          <w:color w:val="auto"/>
          <w:sz w:val="21"/>
          <w:szCs w:val="21"/>
          <w:highlight w:val="none"/>
          <w:lang w:val="en-US" w:eastAsia="zh-CN"/>
        </w:rPr>
        <w:t>10</w:t>
      </w:r>
      <w:r>
        <w:rPr>
          <w:rStyle w:val="130"/>
          <w:rFonts w:hint="eastAsia"/>
          <w:color w:val="auto"/>
          <w:sz w:val="21"/>
          <w:szCs w:val="21"/>
          <w:highlight w:val="none"/>
        </w:rPr>
        <w:t>月</w:t>
      </w:r>
      <w:r>
        <w:rPr>
          <w:rStyle w:val="130"/>
          <w:rFonts w:hint="eastAsia"/>
          <w:color w:val="auto"/>
          <w:sz w:val="21"/>
          <w:szCs w:val="21"/>
          <w:highlight w:val="none"/>
          <w:lang w:val="en-US" w:eastAsia="zh-CN"/>
        </w:rPr>
        <w:t>31</w:t>
      </w:r>
      <w:r>
        <w:rPr>
          <w:rStyle w:val="130"/>
          <w:rFonts w:hint="eastAsia"/>
          <w:color w:val="auto"/>
          <w:sz w:val="21"/>
          <w:szCs w:val="21"/>
          <w:highlight w:val="none"/>
        </w:rPr>
        <w:t>日</w:t>
      </w:r>
      <w:r>
        <w:rPr>
          <w:rStyle w:val="130"/>
          <w:rFonts w:hint="eastAsia"/>
          <w:color w:val="auto"/>
          <w:sz w:val="21"/>
          <w:szCs w:val="21"/>
          <w:highlight w:val="none"/>
          <w:lang w:val="en-US" w:eastAsia="zh-CN"/>
        </w:rPr>
        <w:t>09</w:t>
      </w:r>
      <w:r>
        <w:rPr>
          <w:rStyle w:val="130"/>
          <w:rFonts w:hint="eastAsia"/>
          <w:color w:val="auto"/>
          <w:sz w:val="21"/>
          <w:szCs w:val="21"/>
          <w:highlight w:val="none"/>
        </w:rPr>
        <w:t>:</w:t>
      </w:r>
      <w:r>
        <w:rPr>
          <w:rStyle w:val="130"/>
          <w:rFonts w:hint="eastAsia"/>
          <w:color w:val="auto"/>
          <w:sz w:val="21"/>
          <w:szCs w:val="21"/>
          <w:highlight w:val="none"/>
          <w:lang w:val="en-US" w:eastAsia="zh-CN"/>
        </w:rPr>
        <w:t>30</w:t>
      </w:r>
      <w:r>
        <w:rPr>
          <w:rFonts w:hint="eastAsia"/>
          <w:color w:val="auto"/>
          <w:sz w:val="21"/>
          <w:szCs w:val="21"/>
          <w:highlight w:val="none"/>
        </w:rPr>
        <w:t>（北京时间）截标后</w:t>
      </w:r>
    </w:p>
    <w:p>
      <w:pPr>
        <w:pStyle w:val="33"/>
        <w:shd w:val="clear"/>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地点：华夏城投项目管理有限公司评标室。参加磋商的法定代表人(负责人)或委托代理人必须持有效证件[法定代表人(负责人)凭身份证原件或委托代理人凭法人授权委托书原件和身份证原件]依时到达指定地点等候当面磋商。</w:t>
      </w:r>
    </w:p>
    <w:p>
      <w:pPr>
        <w:pStyle w:val="33"/>
        <w:shd w:val="clear"/>
        <w:snapToGrid w:val="0"/>
        <w:spacing w:before="0" w:beforeAutospacing="0" w:after="0" w:afterAutospacing="0" w:line="360" w:lineRule="auto"/>
        <w:jc w:val="both"/>
        <w:rPr>
          <w:color w:val="auto"/>
          <w:sz w:val="21"/>
          <w:szCs w:val="21"/>
          <w:highlight w:val="none"/>
        </w:rPr>
      </w:pPr>
      <w:r>
        <w:rPr>
          <w:rStyle w:val="42"/>
          <w:rFonts w:hint="eastAsia"/>
          <w:color w:val="auto"/>
          <w:sz w:val="21"/>
          <w:szCs w:val="21"/>
          <w:highlight w:val="none"/>
        </w:rPr>
        <w:t>六、公告期限</w:t>
      </w:r>
    </w:p>
    <w:p>
      <w:pPr>
        <w:pStyle w:val="33"/>
        <w:shd w:val="clear"/>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自本公告发布之日起3个工作日。</w:t>
      </w:r>
    </w:p>
    <w:p>
      <w:pPr>
        <w:pStyle w:val="33"/>
        <w:shd w:val="clear"/>
        <w:snapToGrid w:val="0"/>
        <w:spacing w:before="0" w:beforeAutospacing="0" w:after="0" w:afterAutospacing="0" w:line="360" w:lineRule="auto"/>
        <w:jc w:val="both"/>
        <w:rPr>
          <w:color w:val="auto"/>
          <w:sz w:val="21"/>
          <w:szCs w:val="21"/>
          <w:highlight w:val="none"/>
        </w:rPr>
      </w:pPr>
      <w:r>
        <w:rPr>
          <w:rStyle w:val="42"/>
          <w:rFonts w:hint="eastAsia"/>
          <w:color w:val="auto"/>
          <w:sz w:val="21"/>
          <w:szCs w:val="21"/>
          <w:highlight w:val="none"/>
        </w:rPr>
        <w:t>七、其他补充事宜</w:t>
      </w:r>
    </w:p>
    <w:p>
      <w:pPr>
        <w:pStyle w:val="33"/>
        <w:keepNext w:val="0"/>
        <w:keepLines w:val="0"/>
        <w:pageBreakBefore w:val="0"/>
        <w:widowControl/>
        <w:suppressLineNumbers w:val="0"/>
        <w:kinsoku/>
        <w:wordWrap/>
        <w:overflowPunct/>
        <w:topLinePunct w:val="0"/>
        <w:autoSpaceDE/>
        <w:autoSpaceDN/>
        <w:bidi w:val="0"/>
        <w:snapToGrid w:val="0"/>
        <w:spacing w:before="0" w:beforeAutospacing="0" w:after="0" w:afterAutospacing="0" w:line="336" w:lineRule="auto"/>
        <w:ind w:left="0" w:right="0" w:firstLine="420" w:firstLineChars="200"/>
        <w:textAlignment w:val="auto"/>
        <w:rPr>
          <w:rStyle w:val="134"/>
          <w:rFonts w:hint="eastAsia" w:ascii="宋体" w:hAnsi="宋体" w:eastAsia="宋体" w:cs="宋体"/>
          <w:color w:val="auto"/>
          <w:sz w:val="21"/>
          <w:szCs w:val="21"/>
        </w:rPr>
      </w:pPr>
      <w:r>
        <w:rPr>
          <w:rStyle w:val="134"/>
          <w:rFonts w:hint="eastAsia"/>
          <w:color w:val="auto"/>
          <w:sz w:val="21"/>
          <w:szCs w:val="21"/>
          <w:highlight w:val="none"/>
        </w:rPr>
        <w:t>1.磋商保证金（人民币）：</w:t>
      </w:r>
      <w:r>
        <w:rPr>
          <w:rStyle w:val="134"/>
          <w:rFonts w:hint="eastAsia" w:cs="宋体"/>
          <w:color w:val="auto"/>
          <w:sz w:val="21"/>
          <w:szCs w:val="21"/>
          <w:highlight w:val="none"/>
          <w:lang w:eastAsia="zh-CN"/>
        </w:rPr>
        <w:t>分标</w:t>
      </w:r>
      <w:r>
        <w:rPr>
          <w:rStyle w:val="134"/>
          <w:rFonts w:hint="eastAsia" w:cs="宋体"/>
          <w:color w:val="auto"/>
          <w:sz w:val="21"/>
          <w:szCs w:val="21"/>
          <w:highlight w:val="none"/>
          <w:lang w:val="en-US" w:eastAsia="zh-CN"/>
        </w:rPr>
        <w:t>1：</w:t>
      </w:r>
      <w:r>
        <w:rPr>
          <w:rStyle w:val="134"/>
          <w:rFonts w:hint="eastAsia" w:cs="宋体"/>
          <w:color w:val="auto"/>
          <w:sz w:val="21"/>
          <w:szCs w:val="21"/>
          <w:highlight w:val="none"/>
          <w:u w:val="none"/>
          <w:lang w:val="en-US" w:eastAsia="zh-CN"/>
        </w:rPr>
        <w:t>3000.00元</w:t>
      </w:r>
      <w:r>
        <w:rPr>
          <w:rStyle w:val="134"/>
          <w:rFonts w:hint="eastAsia" w:cs="宋体"/>
          <w:color w:val="auto"/>
          <w:sz w:val="21"/>
          <w:szCs w:val="21"/>
          <w:highlight w:val="none"/>
          <w:u w:val="none"/>
          <w:lang w:eastAsia="zh-CN"/>
        </w:rPr>
        <w:t>，</w:t>
      </w:r>
      <w:r>
        <w:rPr>
          <w:rStyle w:val="134"/>
          <w:rFonts w:hint="eastAsia" w:cs="宋体"/>
          <w:color w:val="auto"/>
          <w:sz w:val="21"/>
          <w:szCs w:val="21"/>
          <w:highlight w:val="none"/>
          <w:lang w:eastAsia="zh-CN"/>
        </w:rPr>
        <w:t>分标</w:t>
      </w:r>
      <w:r>
        <w:rPr>
          <w:rStyle w:val="134"/>
          <w:rFonts w:hint="eastAsia" w:cs="宋体"/>
          <w:color w:val="auto"/>
          <w:sz w:val="21"/>
          <w:szCs w:val="21"/>
          <w:highlight w:val="none"/>
          <w:lang w:val="en-US" w:eastAsia="zh-CN"/>
        </w:rPr>
        <w:t>2：</w:t>
      </w:r>
      <w:r>
        <w:rPr>
          <w:rStyle w:val="134"/>
          <w:rFonts w:hint="eastAsia" w:cs="宋体"/>
          <w:color w:val="auto"/>
          <w:sz w:val="21"/>
          <w:szCs w:val="21"/>
          <w:highlight w:val="none"/>
          <w:u w:val="none"/>
          <w:lang w:val="en-US" w:eastAsia="zh-CN"/>
        </w:rPr>
        <w:t>2000.00元</w:t>
      </w:r>
      <w:r>
        <w:rPr>
          <w:rStyle w:val="134"/>
          <w:rFonts w:hint="eastAsia" w:ascii="宋体" w:hAnsi="宋体" w:eastAsia="宋体" w:cs="宋体"/>
          <w:color w:val="auto"/>
          <w:sz w:val="21"/>
          <w:szCs w:val="21"/>
          <w:highlight w:val="none"/>
        </w:rPr>
        <w:t>。</w:t>
      </w:r>
      <w:r>
        <w:rPr>
          <w:rStyle w:val="134"/>
          <w:rFonts w:hint="eastAsia" w:ascii="宋体" w:hAnsi="宋体" w:eastAsia="宋体" w:cs="宋体"/>
          <w:color w:val="auto"/>
          <w:sz w:val="21"/>
          <w:szCs w:val="21"/>
        </w:rPr>
        <w:t>(</w:t>
      </w:r>
      <w:r>
        <w:rPr>
          <w:rStyle w:val="134"/>
          <w:rFonts w:hint="eastAsia" w:cs="宋体"/>
          <w:color w:val="auto"/>
          <w:sz w:val="21"/>
          <w:szCs w:val="21"/>
          <w:lang w:val="en-US" w:eastAsia="zh-CN"/>
        </w:rPr>
        <w:t>所竞标各分标</w:t>
      </w:r>
      <w:r>
        <w:rPr>
          <w:rStyle w:val="134"/>
          <w:rFonts w:hint="eastAsia" w:ascii="宋体" w:hAnsi="宋体" w:eastAsia="宋体" w:cs="宋体"/>
          <w:color w:val="auto"/>
          <w:sz w:val="21"/>
          <w:szCs w:val="21"/>
        </w:rPr>
        <w:t>必须</w:t>
      </w:r>
      <w:r>
        <w:rPr>
          <w:rStyle w:val="134"/>
          <w:rFonts w:hint="eastAsia" w:cs="宋体"/>
          <w:color w:val="auto"/>
          <w:sz w:val="21"/>
          <w:szCs w:val="21"/>
          <w:lang w:val="en-US" w:eastAsia="zh-CN"/>
        </w:rPr>
        <w:t>分别</w:t>
      </w:r>
      <w:r>
        <w:rPr>
          <w:rStyle w:val="134"/>
          <w:rFonts w:hint="eastAsia" w:ascii="宋体" w:hAnsi="宋体" w:eastAsia="宋体" w:cs="宋体"/>
          <w:color w:val="auto"/>
          <w:sz w:val="21"/>
          <w:szCs w:val="21"/>
        </w:rPr>
        <w:t>足额交纳)</w:t>
      </w:r>
    </w:p>
    <w:p>
      <w:pPr>
        <w:pStyle w:val="33"/>
        <w:shd w:val="clear"/>
        <w:snapToGrid w:val="0"/>
        <w:spacing w:before="0" w:beforeAutospacing="0" w:after="0" w:afterAutospacing="0" w:line="360" w:lineRule="auto"/>
        <w:ind w:firstLine="420" w:firstLineChars="200"/>
        <w:rPr>
          <w:rStyle w:val="134"/>
          <w:color w:val="auto"/>
          <w:sz w:val="21"/>
          <w:szCs w:val="21"/>
          <w:highlight w:val="none"/>
        </w:rPr>
      </w:pPr>
      <w:r>
        <w:rPr>
          <w:rStyle w:val="134"/>
          <w:rFonts w:hint="eastAsia"/>
          <w:color w:val="auto"/>
          <w:sz w:val="21"/>
          <w:szCs w:val="21"/>
          <w:highlight w:val="none"/>
        </w:rPr>
        <w:t>（1）磋商保证金交纳形式：支票、汇票、本票、网上银行或者银行、保险机构出具的保函等非现金形式。（2）采用网上银行转账形式的，磋商供应商应于提交磋商响应文件截止时间前将磋商保证金交至以下账户。开户名称：华夏城投项目管理有限公司广西分公司；开户银行：中国建设银行股份有限公司南宁五象支行；银行账号：4505 0160 5001 0000 0030；（3）采用支票、汇票、本票或者保函等形式的，磋商供应商应于提交磋商响应文件截止时间前递交单独密封的支票、汇票、本票或者保函原件至我公司。</w:t>
      </w:r>
    </w:p>
    <w:p>
      <w:pPr>
        <w:pStyle w:val="33"/>
        <w:shd w:val="clear"/>
        <w:snapToGrid w:val="0"/>
        <w:spacing w:before="0" w:beforeAutospacing="0" w:after="0" w:afterAutospacing="0" w:line="360" w:lineRule="auto"/>
        <w:ind w:firstLine="420" w:firstLineChars="200"/>
        <w:rPr>
          <w:rStyle w:val="134"/>
          <w:color w:val="auto"/>
          <w:sz w:val="21"/>
          <w:szCs w:val="21"/>
          <w:highlight w:val="none"/>
        </w:rPr>
      </w:pPr>
      <w:r>
        <w:rPr>
          <w:rStyle w:val="134"/>
          <w:rFonts w:hint="eastAsia"/>
          <w:color w:val="auto"/>
          <w:sz w:val="21"/>
          <w:szCs w:val="21"/>
          <w:highlight w:val="none"/>
        </w:rPr>
        <w:t>2.本项目需要落实的政府采购政策：</w:t>
      </w:r>
    </w:p>
    <w:p>
      <w:pPr>
        <w:pStyle w:val="33"/>
        <w:shd w:val="clear"/>
        <w:snapToGrid w:val="0"/>
        <w:spacing w:before="0" w:beforeAutospacing="0" w:after="0" w:afterAutospacing="0" w:line="360" w:lineRule="auto"/>
        <w:ind w:firstLine="420" w:firstLineChars="200"/>
        <w:rPr>
          <w:rStyle w:val="134"/>
          <w:color w:val="auto"/>
          <w:sz w:val="21"/>
          <w:szCs w:val="21"/>
          <w:highlight w:val="none"/>
        </w:rPr>
      </w:pPr>
      <w:r>
        <w:rPr>
          <w:rStyle w:val="134"/>
          <w:rFonts w:hint="eastAsia"/>
          <w:color w:val="auto"/>
          <w:sz w:val="21"/>
          <w:szCs w:val="21"/>
          <w:highlight w:val="none"/>
        </w:rPr>
        <w:t>政府采购促进中小企业发展；</w:t>
      </w:r>
    </w:p>
    <w:p>
      <w:pPr>
        <w:pStyle w:val="33"/>
        <w:shd w:val="clear"/>
        <w:snapToGrid w:val="0"/>
        <w:spacing w:before="0" w:beforeAutospacing="0" w:after="0" w:afterAutospacing="0" w:line="360" w:lineRule="auto"/>
        <w:ind w:firstLine="420" w:firstLineChars="200"/>
        <w:rPr>
          <w:rStyle w:val="134"/>
          <w:color w:val="auto"/>
          <w:sz w:val="21"/>
          <w:szCs w:val="21"/>
          <w:highlight w:val="none"/>
        </w:rPr>
      </w:pPr>
      <w:r>
        <w:rPr>
          <w:rStyle w:val="134"/>
          <w:rFonts w:hint="eastAsia"/>
          <w:color w:val="auto"/>
          <w:sz w:val="21"/>
          <w:szCs w:val="21"/>
          <w:highlight w:val="none"/>
        </w:rPr>
        <w:t>政府采购支持采用本国产品的政策；</w:t>
      </w:r>
    </w:p>
    <w:p>
      <w:pPr>
        <w:pStyle w:val="33"/>
        <w:shd w:val="clear"/>
        <w:snapToGrid w:val="0"/>
        <w:spacing w:before="0" w:beforeAutospacing="0" w:after="0" w:afterAutospacing="0" w:line="360" w:lineRule="auto"/>
        <w:ind w:firstLine="420" w:firstLineChars="200"/>
        <w:rPr>
          <w:rStyle w:val="134"/>
          <w:color w:val="auto"/>
          <w:sz w:val="21"/>
          <w:szCs w:val="21"/>
          <w:highlight w:val="none"/>
        </w:rPr>
      </w:pPr>
      <w:r>
        <w:rPr>
          <w:rStyle w:val="134"/>
          <w:rFonts w:hint="eastAsia"/>
          <w:color w:val="auto"/>
          <w:sz w:val="21"/>
          <w:szCs w:val="21"/>
          <w:highlight w:val="none"/>
        </w:rPr>
        <w:t>强制采购节能产品；</w:t>
      </w:r>
    </w:p>
    <w:p>
      <w:pPr>
        <w:pStyle w:val="33"/>
        <w:shd w:val="clear"/>
        <w:snapToGrid w:val="0"/>
        <w:spacing w:before="0" w:beforeAutospacing="0" w:after="0" w:afterAutospacing="0" w:line="360" w:lineRule="auto"/>
        <w:ind w:firstLine="420" w:firstLineChars="200"/>
        <w:rPr>
          <w:rStyle w:val="134"/>
          <w:color w:val="auto"/>
          <w:sz w:val="21"/>
          <w:szCs w:val="21"/>
          <w:highlight w:val="none"/>
        </w:rPr>
      </w:pPr>
      <w:r>
        <w:rPr>
          <w:rStyle w:val="134"/>
          <w:rFonts w:hint="eastAsia"/>
          <w:color w:val="auto"/>
          <w:sz w:val="21"/>
          <w:szCs w:val="21"/>
          <w:highlight w:val="none"/>
        </w:rPr>
        <w:t>优先采购节能产品、环境标志产品；</w:t>
      </w:r>
    </w:p>
    <w:p>
      <w:pPr>
        <w:pStyle w:val="33"/>
        <w:shd w:val="clear"/>
        <w:snapToGrid w:val="0"/>
        <w:spacing w:before="0" w:beforeAutospacing="0" w:after="0" w:afterAutospacing="0" w:line="360" w:lineRule="auto"/>
        <w:ind w:firstLine="420" w:firstLineChars="200"/>
        <w:rPr>
          <w:rStyle w:val="134"/>
          <w:color w:val="auto"/>
          <w:sz w:val="21"/>
          <w:szCs w:val="21"/>
          <w:highlight w:val="none"/>
        </w:rPr>
      </w:pPr>
      <w:r>
        <w:rPr>
          <w:rStyle w:val="134"/>
          <w:rFonts w:hint="eastAsia"/>
          <w:color w:val="auto"/>
          <w:sz w:val="21"/>
          <w:szCs w:val="21"/>
          <w:highlight w:val="none"/>
        </w:rPr>
        <w:t>政府采购促进残疾人就业政策；</w:t>
      </w:r>
    </w:p>
    <w:p>
      <w:pPr>
        <w:pStyle w:val="33"/>
        <w:shd w:val="clear"/>
        <w:snapToGrid w:val="0"/>
        <w:spacing w:before="0" w:beforeAutospacing="0" w:after="0" w:afterAutospacing="0" w:line="360" w:lineRule="auto"/>
        <w:ind w:firstLine="420" w:firstLineChars="200"/>
        <w:rPr>
          <w:rStyle w:val="134"/>
          <w:color w:val="auto"/>
          <w:sz w:val="21"/>
          <w:szCs w:val="21"/>
          <w:highlight w:val="none"/>
        </w:rPr>
      </w:pPr>
      <w:r>
        <w:rPr>
          <w:rStyle w:val="134"/>
          <w:rFonts w:hint="eastAsia"/>
          <w:color w:val="auto"/>
          <w:sz w:val="21"/>
          <w:szCs w:val="21"/>
          <w:highlight w:val="none"/>
        </w:rPr>
        <w:t>政府采购支持监狱企业发展；</w:t>
      </w:r>
    </w:p>
    <w:p>
      <w:pPr>
        <w:pStyle w:val="33"/>
        <w:shd w:val="clear"/>
        <w:snapToGrid w:val="0"/>
        <w:spacing w:before="0" w:beforeAutospacing="0" w:after="0" w:afterAutospacing="0" w:line="360" w:lineRule="auto"/>
        <w:ind w:firstLine="420" w:firstLineChars="200"/>
        <w:rPr>
          <w:rStyle w:val="134"/>
          <w:color w:val="auto"/>
          <w:sz w:val="21"/>
          <w:szCs w:val="21"/>
          <w:highlight w:val="none"/>
        </w:rPr>
      </w:pPr>
      <w:r>
        <w:rPr>
          <w:rStyle w:val="134"/>
          <w:rFonts w:hint="eastAsia"/>
          <w:color w:val="auto"/>
          <w:sz w:val="21"/>
          <w:szCs w:val="21"/>
          <w:highlight w:val="none"/>
        </w:rPr>
        <w:t>政府采购扶持不发达地区和少数民族地区等。</w:t>
      </w:r>
    </w:p>
    <w:p>
      <w:pPr>
        <w:pStyle w:val="33"/>
        <w:shd w:val="clear"/>
        <w:snapToGrid w:val="0"/>
        <w:spacing w:before="0" w:beforeAutospacing="0" w:after="0" w:afterAutospacing="0" w:line="360" w:lineRule="auto"/>
        <w:ind w:firstLine="420" w:firstLineChars="200"/>
        <w:rPr>
          <w:rStyle w:val="134"/>
          <w:color w:val="auto"/>
          <w:sz w:val="21"/>
          <w:szCs w:val="21"/>
          <w:highlight w:val="none"/>
        </w:rPr>
      </w:pPr>
      <w:r>
        <w:rPr>
          <w:rStyle w:val="134"/>
          <w:rFonts w:hint="eastAsia"/>
          <w:color w:val="auto"/>
          <w:sz w:val="21"/>
          <w:szCs w:val="21"/>
          <w:highlight w:val="none"/>
        </w:rPr>
        <w:t>3.网上公告媒体查询：</w:t>
      </w:r>
    </w:p>
    <w:p>
      <w:pPr>
        <w:pStyle w:val="33"/>
        <w:shd w:val="clear"/>
        <w:snapToGrid w:val="0"/>
        <w:spacing w:before="0" w:beforeAutospacing="0" w:after="0" w:afterAutospacing="0" w:line="360" w:lineRule="auto"/>
        <w:ind w:firstLine="420" w:firstLineChars="200"/>
        <w:rPr>
          <w:rStyle w:val="134"/>
          <w:color w:val="auto"/>
          <w:sz w:val="21"/>
          <w:szCs w:val="21"/>
          <w:highlight w:val="none"/>
        </w:rPr>
      </w:pPr>
      <w:r>
        <w:rPr>
          <w:rStyle w:val="134"/>
          <w:rFonts w:hint="eastAsia"/>
          <w:color w:val="auto"/>
          <w:sz w:val="21"/>
          <w:szCs w:val="21"/>
          <w:highlight w:val="none"/>
        </w:rPr>
        <w:t>中国采购与招标网（http://www.chinabidding.com.cn/）、华夏城投项目管理有限公司官网（http://www.sxhx2001.com）</w:t>
      </w:r>
    </w:p>
    <w:p>
      <w:pPr>
        <w:pStyle w:val="33"/>
        <w:shd w:val="clear"/>
        <w:snapToGrid w:val="0"/>
        <w:spacing w:before="0" w:beforeAutospacing="0" w:after="0" w:afterAutospacing="0" w:line="360" w:lineRule="auto"/>
        <w:ind w:firstLine="420" w:firstLineChars="200"/>
        <w:rPr>
          <w:rStyle w:val="134"/>
          <w:color w:val="auto"/>
          <w:sz w:val="21"/>
          <w:szCs w:val="21"/>
          <w:highlight w:val="none"/>
        </w:rPr>
      </w:pPr>
      <w:r>
        <w:rPr>
          <w:rStyle w:val="134"/>
          <w:rFonts w:hint="eastAsia"/>
          <w:color w:val="auto"/>
          <w:sz w:val="21"/>
          <w:szCs w:val="21"/>
          <w:highlight w:val="none"/>
        </w:rPr>
        <w:t>4.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pPr>
        <w:pStyle w:val="33"/>
        <w:shd w:val="clear"/>
        <w:snapToGrid w:val="0"/>
        <w:spacing w:before="0" w:beforeAutospacing="0" w:after="0" w:afterAutospacing="0" w:line="360" w:lineRule="auto"/>
        <w:ind w:firstLine="420" w:firstLineChars="200"/>
        <w:rPr>
          <w:rStyle w:val="134"/>
          <w:color w:val="auto"/>
          <w:sz w:val="21"/>
          <w:szCs w:val="21"/>
          <w:highlight w:val="none"/>
        </w:rPr>
      </w:pPr>
      <w:r>
        <w:rPr>
          <w:rStyle w:val="134"/>
          <w:rFonts w:hint="eastAsia"/>
          <w:color w:val="auto"/>
          <w:sz w:val="21"/>
          <w:szCs w:val="21"/>
          <w:highlight w:val="none"/>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采购活动。</w:t>
      </w:r>
    </w:p>
    <w:p>
      <w:pPr>
        <w:pStyle w:val="33"/>
        <w:shd w:val="clear"/>
        <w:snapToGrid w:val="0"/>
        <w:spacing w:before="0" w:beforeAutospacing="0" w:after="0" w:afterAutospacing="0" w:line="360" w:lineRule="auto"/>
        <w:jc w:val="both"/>
        <w:rPr>
          <w:color w:val="auto"/>
          <w:sz w:val="21"/>
          <w:szCs w:val="21"/>
          <w:highlight w:val="none"/>
        </w:rPr>
      </w:pPr>
      <w:r>
        <w:rPr>
          <w:rStyle w:val="42"/>
          <w:rFonts w:hint="eastAsia"/>
          <w:color w:val="auto"/>
          <w:sz w:val="21"/>
          <w:szCs w:val="21"/>
          <w:highlight w:val="none"/>
        </w:rPr>
        <w:t>八、凡对本次招标提出询问，请按以下方式联系</w:t>
      </w:r>
    </w:p>
    <w:p>
      <w:pPr>
        <w:pStyle w:val="33"/>
        <w:shd w:val="clear"/>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1.采购人信息</w:t>
      </w:r>
    </w:p>
    <w:p>
      <w:pPr>
        <w:pStyle w:val="33"/>
        <w:shd w:val="clear"/>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名   称：</w:t>
      </w:r>
      <w:r>
        <w:rPr>
          <w:rStyle w:val="135"/>
          <w:rFonts w:hint="eastAsia"/>
          <w:color w:val="auto"/>
          <w:sz w:val="21"/>
          <w:szCs w:val="21"/>
          <w:highlight w:val="none"/>
        </w:rPr>
        <w:t>广西国际商务职业技术学院</w:t>
      </w:r>
    </w:p>
    <w:p>
      <w:pPr>
        <w:pStyle w:val="33"/>
        <w:shd w:val="clear"/>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地   址：广西南宁市大学东路168号</w:t>
      </w:r>
    </w:p>
    <w:p>
      <w:pPr>
        <w:pStyle w:val="33"/>
        <w:shd w:val="clear"/>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项目联系人：</w:t>
      </w:r>
      <w:r>
        <w:rPr>
          <w:rFonts w:hint="eastAsia"/>
          <w:color w:val="auto"/>
          <w:sz w:val="21"/>
          <w:szCs w:val="21"/>
          <w:highlight w:val="none"/>
          <w:lang w:eastAsia="zh-CN"/>
        </w:rPr>
        <w:t>韦</w:t>
      </w:r>
      <w:r>
        <w:rPr>
          <w:rFonts w:hint="eastAsia"/>
          <w:color w:val="auto"/>
          <w:sz w:val="21"/>
          <w:szCs w:val="21"/>
          <w:highlight w:val="none"/>
        </w:rPr>
        <w:t>老师</w:t>
      </w:r>
    </w:p>
    <w:p>
      <w:pPr>
        <w:pStyle w:val="33"/>
        <w:shd w:val="clear"/>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项目联系方式：0771-3224391</w:t>
      </w:r>
    </w:p>
    <w:p>
      <w:pPr>
        <w:pStyle w:val="33"/>
        <w:shd w:val="clear"/>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2.采购代理机构信息</w:t>
      </w:r>
    </w:p>
    <w:p>
      <w:pPr>
        <w:pStyle w:val="33"/>
        <w:shd w:val="clear"/>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名   称：</w:t>
      </w:r>
      <w:r>
        <w:rPr>
          <w:rStyle w:val="139"/>
          <w:rFonts w:hint="eastAsia"/>
          <w:color w:val="auto"/>
          <w:sz w:val="21"/>
          <w:szCs w:val="21"/>
          <w:highlight w:val="none"/>
        </w:rPr>
        <w:t>华夏城投项目管理有限公司</w:t>
      </w:r>
    </w:p>
    <w:p>
      <w:pPr>
        <w:pStyle w:val="33"/>
        <w:shd w:val="clear"/>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地   址：南宁市东葛路118号青秀万达写字楼银座8楼808室</w:t>
      </w:r>
    </w:p>
    <w:p>
      <w:pPr>
        <w:pStyle w:val="33"/>
        <w:shd w:val="clear"/>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项目联系人：</w:t>
      </w:r>
      <w:r>
        <w:rPr>
          <w:rStyle w:val="141"/>
          <w:rFonts w:hint="eastAsia"/>
          <w:color w:val="auto"/>
          <w:sz w:val="21"/>
          <w:szCs w:val="21"/>
          <w:highlight w:val="none"/>
        </w:rPr>
        <w:t>潘玉婷、吴小玉</w:t>
      </w:r>
    </w:p>
    <w:p>
      <w:pPr>
        <w:pStyle w:val="33"/>
        <w:shd w:val="clear"/>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项目联系方式：0771-5382528</w:t>
      </w:r>
    </w:p>
    <w:p>
      <w:pPr>
        <w:pStyle w:val="33"/>
        <w:shd w:val="clear"/>
        <w:adjustRightInd w:val="0"/>
        <w:snapToGrid w:val="0"/>
        <w:spacing w:before="0" w:beforeAutospacing="0" w:after="0" w:afterAutospacing="0" w:line="360" w:lineRule="auto"/>
        <w:rPr>
          <w:color w:val="auto"/>
          <w:sz w:val="21"/>
          <w:szCs w:val="21"/>
          <w:highlight w:val="none"/>
        </w:rPr>
      </w:pPr>
    </w:p>
    <w:p>
      <w:pPr>
        <w:pStyle w:val="85"/>
        <w:shd w:val="clear"/>
        <w:adjustRightInd w:val="0"/>
        <w:snapToGrid w:val="0"/>
        <w:spacing w:line="360" w:lineRule="auto"/>
        <w:rPr>
          <w:rFonts w:hAnsi="宋体"/>
          <w:snapToGrid w:val="0"/>
          <w:color w:val="auto"/>
          <w:highlight w:val="none"/>
        </w:rPr>
      </w:pPr>
    </w:p>
    <w:p>
      <w:pPr>
        <w:widowControl/>
        <w:shd w:val="clear"/>
        <w:adjustRightInd w:val="0"/>
        <w:snapToGrid w:val="0"/>
        <w:spacing w:line="360" w:lineRule="auto"/>
        <w:rPr>
          <w:rFonts w:ascii="宋体" w:hAnsi="宋体" w:cs="宋体"/>
          <w:color w:val="auto"/>
          <w:kern w:val="0"/>
          <w:highlight w:val="none"/>
        </w:rPr>
      </w:pPr>
    </w:p>
    <w:p>
      <w:pPr>
        <w:widowControl/>
        <w:shd w:val="clear"/>
        <w:adjustRightInd w:val="0"/>
        <w:snapToGrid w:val="0"/>
        <w:spacing w:line="360" w:lineRule="auto"/>
        <w:ind w:left="240"/>
        <w:jc w:val="right"/>
        <w:rPr>
          <w:rFonts w:ascii="宋体" w:hAnsi="宋体" w:cs="宋体"/>
          <w:color w:val="auto"/>
          <w:kern w:val="0"/>
          <w:highlight w:val="none"/>
        </w:rPr>
      </w:pPr>
      <w:r>
        <w:rPr>
          <w:rFonts w:hint="eastAsia" w:ascii="宋体" w:hAnsi="宋体" w:cs="宋体"/>
          <w:color w:val="auto"/>
          <w:kern w:val="0"/>
          <w:highlight w:val="none"/>
        </w:rPr>
        <w:t>华夏城投项目管理有限公司</w:t>
      </w:r>
    </w:p>
    <w:p>
      <w:pPr>
        <w:widowControl/>
        <w:shd w:val="clear"/>
        <w:snapToGrid w:val="0"/>
        <w:spacing w:line="360" w:lineRule="auto"/>
        <w:ind w:left="240"/>
        <w:jc w:val="center"/>
        <w:rPr>
          <w:rFonts w:ascii="宋体" w:hAnsi="宋体" w:cs="宋体"/>
          <w:color w:val="auto"/>
          <w:kern w:val="0"/>
          <w:highlight w:val="none"/>
          <w:lang w:val="en"/>
        </w:rPr>
      </w:pPr>
      <w:r>
        <w:rPr>
          <w:rStyle w:val="124"/>
          <w:rFonts w:hint="eastAsia" w:ascii="宋体" w:hAnsi="宋体" w:cs="宋体"/>
          <w:color w:val="auto"/>
          <w:highlight w:val="none"/>
        </w:rPr>
        <w:t xml:space="preserve">                                                                 </w:t>
      </w:r>
      <w:r>
        <w:rPr>
          <w:rStyle w:val="124"/>
          <w:rFonts w:hint="eastAsia" w:ascii="宋体" w:hAnsi="宋体" w:cs="宋体"/>
          <w:color w:val="auto"/>
          <w:highlight w:val="none"/>
          <w:lang w:val="en"/>
        </w:rPr>
        <w:t>2023年</w:t>
      </w:r>
      <w:r>
        <w:rPr>
          <w:rStyle w:val="113"/>
          <w:rFonts w:hint="eastAsia" w:ascii="宋体" w:hAnsi="宋体" w:cs="宋体"/>
          <w:color w:val="auto"/>
          <w:highlight w:val="none"/>
          <w:lang w:val="en-US" w:eastAsia="zh-CN"/>
        </w:rPr>
        <w:t>10</w:t>
      </w:r>
      <w:r>
        <w:rPr>
          <w:rStyle w:val="124"/>
          <w:rFonts w:hint="eastAsia" w:ascii="宋体" w:hAnsi="宋体" w:cs="宋体"/>
          <w:color w:val="auto"/>
          <w:highlight w:val="none"/>
          <w:lang w:val="en"/>
        </w:rPr>
        <w:t>月</w:t>
      </w:r>
      <w:r>
        <w:rPr>
          <w:rStyle w:val="124"/>
          <w:rFonts w:hint="eastAsia" w:ascii="宋体" w:hAnsi="宋体" w:cs="宋体"/>
          <w:color w:val="auto"/>
          <w:highlight w:val="none"/>
          <w:lang w:val="en-US" w:eastAsia="zh-CN"/>
        </w:rPr>
        <w:t>19</w:t>
      </w:r>
      <w:r>
        <w:rPr>
          <w:rStyle w:val="124"/>
          <w:rFonts w:hint="eastAsia" w:ascii="宋体" w:hAnsi="宋体" w:cs="宋体"/>
          <w:color w:val="auto"/>
          <w:highlight w:val="none"/>
          <w:lang w:val="en"/>
        </w:rPr>
        <w:t>日</w:t>
      </w:r>
    </w:p>
    <w:p>
      <w:pPr>
        <w:widowControl/>
        <w:shd w:val="clear"/>
        <w:spacing w:line="360" w:lineRule="exact"/>
        <w:ind w:left="240"/>
        <w:jc w:val="right"/>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shd w:val="clear"/>
        <w:rPr>
          <w:color w:val="auto"/>
          <w:highlight w:val="none"/>
        </w:rPr>
      </w:pPr>
      <w:bookmarkStart w:id="10" w:name="_Toc18481385"/>
      <w:bookmarkEnd w:id="10"/>
      <w:r>
        <w:rPr>
          <w:rFonts w:hint="eastAsia"/>
          <w:color w:val="auto"/>
          <w:highlight w:val="none"/>
        </w:rPr>
        <w:br w:type="page"/>
      </w:r>
    </w:p>
    <w:p>
      <w:pPr>
        <w:shd w:val="clear"/>
        <w:rPr>
          <w:color w:val="auto"/>
          <w:highlight w:val="none"/>
        </w:rPr>
      </w:pPr>
    </w:p>
    <w:p>
      <w:pPr>
        <w:shd w:val="clear"/>
        <w:rPr>
          <w:color w:val="auto"/>
          <w:highlight w:val="none"/>
        </w:rPr>
      </w:pPr>
    </w:p>
    <w:p>
      <w:pPr>
        <w:pStyle w:val="2"/>
        <w:shd w:val="clear"/>
        <w:rPr>
          <w:color w:val="auto"/>
          <w:highlight w:val="none"/>
        </w:rPr>
      </w:pPr>
    </w:p>
    <w:p>
      <w:pPr>
        <w:shd w:val="clear"/>
        <w:rPr>
          <w:color w:val="auto"/>
          <w:highlight w:val="none"/>
        </w:rPr>
      </w:pPr>
    </w:p>
    <w:p>
      <w:pPr>
        <w:pStyle w:val="2"/>
        <w:shd w:val="clear"/>
        <w:rPr>
          <w:color w:val="auto"/>
          <w:highlight w:val="none"/>
        </w:rPr>
      </w:pPr>
    </w:p>
    <w:p>
      <w:pPr>
        <w:shd w:val="clear"/>
        <w:rPr>
          <w:color w:val="auto"/>
          <w:highlight w:val="none"/>
        </w:rPr>
      </w:pPr>
    </w:p>
    <w:p>
      <w:pPr>
        <w:pStyle w:val="2"/>
        <w:shd w:val="clear"/>
        <w:rPr>
          <w:color w:val="auto"/>
          <w:highlight w:val="none"/>
        </w:rPr>
      </w:pPr>
    </w:p>
    <w:p>
      <w:pPr>
        <w:shd w:val="clear"/>
        <w:rPr>
          <w:color w:val="auto"/>
          <w:highlight w:val="none"/>
        </w:rPr>
      </w:pPr>
    </w:p>
    <w:p>
      <w:pPr>
        <w:pStyle w:val="2"/>
        <w:shd w:val="clear"/>
        <w:rPr>
          <w:color w:val="auto"/>
          <w:highlight w:val="none"/>
        </w:rPr>
      </w:pPr>
    </w:p>
    <w:p>
      <w:pPr>
        <w:shd w:val="clear"/>
        <w:rPr>
          <w:color w:val="auto"/>
          <w:highlight w:val="none"/>
        </w:rPr>
      </w:pPr>
    </w:p>
    <w:p>
      <w:pPr>
        <w:pStyle w:val="2"/>
        <w:shd w:val="clear"/>
        <w:rPr>
          <w:color w:val="auto"/>
          <w:highlight w:val="none"/>
        </w:rPr>
      </w:pPr>
    </w:p>
    <w:p>
      <w:pPr>
        <w:pStyle w:val="3"/>
        <w:shd w:val="clear"/>
        <w:jc w:val="center"/>
        <w:rPr>
          <w:rFonts w:ascii="宋体" w:hAnsi="宋体"/>
          <w:color w:val="auto"/>
          <w:highlight w:val="none"/>
        </w:rPr>
      </w:pPr>
      <w:bookmarkStart w:id="11" w:name="_Toc11816"/>
      <w:r>
        <w:rPr>
          <w:rFonts w:hint="eastAsia" w:ascii="宋体" w:hAnsi="宋体"/>
          <w:color w:val="auto"/>
          <w:highlight w:val="none"/>
        </w:rPr>
        <w:t>第二章  供应商须知</w:t>
      </w:r>
      <w:bookmarkEnd w:id="4"/>
      <w:bookmarkEnd w:id="5"/>
      <w:bookmarkEnd w:id="11"/>
    </w:p>
    <w:p>
      <w:pPr>
        <w:shd w:val="clear"/>
        <w:spacing w:line="400" w:lineRule="exact"/>
        <w:ind w:firstLine="3855" w:firstLineChars="1200"/>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shd w:val="clear"/>
        <w:spacing w:line="400" w:lineRule="exact"/>
        <w:ind w:firstLine="3855" w:firstLineChars="1200"/>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pageBreakBefore/>
        <w:shd w:val="clea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供应商须知前附表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Borders>
              <w:top w:val="single" w:color="auto" w:sz="4" w:space="0"/>
              <w:left w:val="single" w:color="auto" w:sz="4" w:space="0"/>
              <w:bottom w:val="single" w:color="auto" w:sz="4" w:space="0"/>
              <w:right w:val="single" w:color="auto" w:sz="4" w:space="0"/>
            </w:tcBorders>
          </w:tcPr>
          <w:p>
            <w:pPr>
              <w:pStyle w:val="85"/>
              <w:shd w:val="clear"/>
              <w:jc w:val="center"/>
              <w:rPr>
                <w:rFonts w:hAnsi="宋体" w:cs="Times New Roman"/>
                <w:color w:val="auto"/>
                <w:highlight w:val="none"/>
              </w:rPr>
            </w:pPr>
            <w:r>
              <w:rPr>
                <w:rFonts w:hint="eastAsia" w:hAnsi="宋体" w:cs="Times New Roman"/>
                <w:color w:val="auto"/>
                <w:highlight w:val="none"/>
              </w:rPr>
              <w:t>序号</w:t>
            </w:r>
          </w:p>
        </w:tc>
        <w:tc>
          <w:tcPr>
            <w:tcW w:w="8365" w:type="dxa"/>
            <w:tcBorders>
              <w:top w:val="single" w:color="auto" w:sz="4" w:space="0"/>
              <w:left w:val="nil"/>
              <w:bottom w:val="single" w:color="auto" w:sz="4" w:space="0"/>
              <w:right w:val="single" w:color="auto" w:sz="4" w:space="0"/>
            </w:tcBorders>
          </w:tcPr>
          <w:p>
            <w:pPr>
              <w:pStyle w:val="85"/>
              <w:shd w:val="clear"/>
              <w:jc w:val="center"/>
              <w:rPr>
                <w:rFonts w:hAnsi="宋体" w:cs="Times New Roman"/>
                <w:color w:val="auto"/>
                <w:highlight w:val="none"/>
              </w:rPr>
            </w:pPr>
            <w:r>
              <w:rPr>
                <w:rFonts w:hint="eastAsia" w:hAnsi="宋体" w:cs="Times New Roman"/>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5"/>
              <w:shd w:val="clear"/>
              <w:spacing w:line="400" w:lineRule="exact"/>
              <w:jc w:val="center"/>
              <w:rPr>
                <w:rFonts w:hAnsi="宋体" w:cs="Times New Roman"/>
                <w:color w:val="auto"/>
                <w:highlight w:val="none"/>
              </w:rPr>
            </w:pPr>
            <w:r>
              <w:rPr>
                <w:rFonts w:hint="eastAsia" w:hAnsi="宋体" w:cs="Times New Roman"/>
                <w:color w:val="auto"/>
                <w:highlight w:val="none"/>
              </w:rPr>
              <w:t>1</w:t>
            </w:r>
          </w:p>
        </w:tc>
        <w:tc>
          <w:tcPr>
            <w:tcW w:w="8365" w:type="dxa"/>
            <w:tcBorders>
              <w:top w:val="single" w:color="auto" w:sz="4" w:space="0"/>
              <w:left w:val="nil"/>
              <w:bottom w:val="single" w:color="auto" w:sz="4" w:space="0"/>
              <w:right w:val="single" w:color="auto" w:sz="4" w:space="0"/>
            </w:tcBorders>
            <w:vAlign w:val="center"/>
          </w:tcPr>
          <w:p>
            <w:pPr>
              <w:pStyle w:val="85"/>
              <w:shd w:val="clear"/>
              <w:spacing w:line="400" w:lineRule="exact"/>
              <w:rPr>
                <w:rFonts w:hint="eastAsia" w:hAnsi="宋体" w:eastAsia="宋体" w:cs="Times New Roman"/>
                <w:bCs/>
                <w:color w:val="auto"/>
                <w:highlight w:val="none"/>
                <w:lang w:eastAsia="zh-CN"/>
              </w:rPr>
            </w:pPr>
            <w:r>
              <w:rPr>
                <w:rFonts w:hint="eastAsia" w:hAnsi="宋体" w:cs="Times New Roman"/>
                <w:color w:val="auto"/>
                <w:highlight w:val="none"/>
              </w:rPr>
              <w:t>项目名称：</w:t>
            </w:r>
            <w:r>
              <w:rPr>
                <w:rFonts w:hint="eastAsia" w:hAnsi="宋体" w:cs="Times New Roman"/>
                <w:color w:val="auto"/>
                <w:highlight w:val="none"/>
                <w:u w:val="single"/>
                <w:lang w:eastAsia="zh-CN"/>
              </w:rPr>
              <w:t>智慧党建平台、社团活动管理系统建设项目</w:t>
            </w:r>
          </w:p>
          <w:p>
            <w:pPr>
              <w:pStyle w:val="85"/>
              <w:shd w:val="clear"/>
              <w:spacing w:line="400" w:lineRule="exact"/>
              <w:rPr>
                <w:rFonts w:hint="eastAsia" w:hAnsi="宋体" w:eastAsia="宋体" w:cs="Times New Roman"/>
                <w:bCs/>
                <w:color w:val="auto"/>
                <w:highlight w:val="none"/>
                <w:lang w:eastAsia="zh-CN"/>
              </w:rPr>
            </w:pPr>
            <w:r>
              <w:rPr>
                <w:rFonts w:hint="eastAsia" w:hAnsi="宋体" w:cs="Times New Roman"/>
                <w:color w:val="auto"/>
                <w:highlight w:val="none"/>
              </w:rPr>
              <w:t>项目编号：</w:t>
            </w:r>
            <w:r>
              <w:rPr>
                <w:rFonts w:hint="eastAsia" w:hAnsi="宋体" w:cs="Times New Roman"/>
                <w:color w:val="auto"/>
                <w:highlight w:val="none"/>
                <w:u w:val="single"/>
                <w:lang w:eastAsia="zh-CN"/>
              </w:rPr>
              <w:t>HXCTGX-CFZB-2023-025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5"/>
              <w:shd w:val="clear"/>
              <w:spacing w:line="400" w:lineRule="exact"/>
              <w:jc w:val="center"/>
              <w:rPr>
                <w:rFonts w:hAnsi="宋体" w:cs="Times New Roman"/>
                <w:color w:val="auto"/>
                <w:highlight w:val="none"/>
              </w:rPr>
            </w:pPr>
            <w:r>
              <w:rPr>
                <w:rFonts w:hint="eastAsia" w:hAnsi="宋体" w:cs="Times New Roman"/>
                <w:color w:val="auto"/>
                <w:highlight w:val="none"/>
              </w:rPr>
              <w:t>2</w:t>
            </w:r>
          </w:p>
        </w:tc>
        <w:tc>
          <w:tcPr>
            <w:tcW w:w="8365" w:type="dxa"/>
            <w:tcBorders>
              <w:top w:val="single" w:color="auto" w:sz="4" w:space="0"/>
              <w:left w:val="nil"/>
              <w:bottom w:val="single" w:color="auto" w:sz="4" w:space="0"/>
              <w:right w:val="single" w:color="auto" w:sz="4" w:space="0"/>
            </w:tcBorders>
            <w:vAlign w:val="center"/>
          </w:tcPr>
          <w:p>
            <w:pPr>
              <w:pStyle w:val="85"/>
              <w:shd w:val="clear"/>
              <w:spacing w:line="400" w:lineRule="exact"/>
              <w:ind w:left="-36" w:firstLine="36"/>
              <w:rPr>
                <w:color w:val="auto"/>
                <w:highlight w:val="none"/>
              </w:rPr>
            </w:pPr>
            <w:r>
              <w:rPr>
                <w:rFonts w:hint="eastAsia"/>
                <w:color w:val="auto"/>
                <w:highlight w:val="none"/>
              </w:rPr>
              <w:t>供应商资格：</w:t>
            </w:r>
            <w:r>
              <w:rPr>
                <w:rFonts w:hint="eastAsia" w:hAnsi="宋体"/>
                <w:color w:val="auto"/>
                <w:highlight w:val="none"/>
              </w:rPr>
              <w:t>见竞争性磋商公告</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5"/>
              <w:shd w:val="clear"/>
              <w:spacing w:line="400" w:lineRule="exact"/>
              <w:jc w:val="center"/>
              <w:rPr>
                <w:rFonts w:hAnsi="宋体" w:cs="Times New Roman"/>
                <w:color w:val="auto"/>
                <w:highlight w:val="none"/>
              </w:rPr>
            </w:pPr>
            <w:r>
              <w:rPr>
                <w:rFonts w:hint="eastAsia" w:hAnsi="宋体" w:cs="Times New Roman"/>
                <w:color w:val="auto"/>
                <w:highlight w:val="none"/>
              </w:rPr>
              <w:t>3</w:t>
            </w:r>
          </w:p>
        </w:tc>
        <w:tc>
          <w:tcPr>
            <w:tcW w:w="8365" w:type="dxa"/>
            <w:tcBorders>
              <w:top w:val="single" w:color="auto" w:sz="4" w:space="0"/>
              <w:left w:val="nil"/>
              <w:bottom w:val="single" w:color="auto" w:sz="4" w:space="0"/>
              <w:right w:val="single" w:color="auto" w:sz="4" w:space="0"/>
            </w:tcBorders>
            <w:vAlign w:val="center"/>
          </w:tcPr>
          <w:p>
            <w:pPr>
              <w:shd w:val="clear"/>
              <w:spacing w:line="400" w:lineRule="exact"/>
              <w:rPr>
                <w:rFonts w:ascii="宋体" w:hAnsi="宋体"/>
                <w:color w:val="auto"/>
                <w:highlight w:val="none"/>
              </w:rPr>
            </w:pPr>
            <w:r>
              <w:rPr>
                <w:rFonts w:hint="eastAsia" w:ascii="宋体" w:hAnsi="宋体"/>
                <w:color w:val="auto"/>
                <w:highlight w:val="none"/>
              </w:rPr>
              <w:t>报价：磋商供应商就</w:t>
            </w:r>
            <w:r>
              <w:rPr>
                <w:rFonts w:hint="eastAsia" w:ascii="宋体" w:hAnsi="宋体" w:cs="宋体"/>
                <w:color w:val="auto"/>
                <w:highlight w:val="none"/>
              </w:rPr>
              <w:t>所参与分标</w:t>
            </w:r>
            <w:r>
              <w:rPr>
                <w:rFonts w:hint="eastAsia" w:ascii="宋体" w:hAnsi="宋体"/>
                <w:color w:val="auto"/>
                <w:highlight w:val="none"/>
              </w:rPr>
              <w:t>《采购需求》中的服务内容作完整唯一报价。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5"/>
              <w:shd w:val="clear"/>
              <w:spacing w:line="400" w:lineRule="exact"/>
              <w:jc w:val="center"/>
              <w:rPr>
                <w:rFonts w:hAnsi="宋体" w:cs="Times New Roman"/>
                <w:color w:val="auto"/>
                <w:highlight w:val="none"/>
              </w:rPr>
            </w:pPr>
            <w:r>
              <w:rPr>
                <w:rFonts w:hint="eastAsia" w:hAnsi="宋体" w:cs="Times New Roman"/>
                <w:color w:val="auto"/>
                <w:highlight w:val="none"/>
              </w:rPr>
              <w:t>4</w:t>
            </w:r>
          </w:p>
        </w:tc>
        <w:tc>
          <w:tcPr>
            <w:tcW w:w="8365" w:type="dxa"/>
            <w:tcBorders>
              <w:top w:val="single" w:color="auto" w:sz="4" w:space="0"/>
              <w:left w:val="nil"/>
              <w:bottom w:val="single" w:color="auto" w:sz="4" w:space="0"/>
              <w:right w:val="single" w:color="auto" w:sz="4" w:space="0"/>
            </w:tcBorders>
            <w:vAlign w:val="center"/>
          </w:tcPr>
          <w:p>
            <w:pPr>
              <w:pStyle w:val="21"/>
              <w:shd w:val="clear"/>
              <w:rPr>
                <w:rFonts w:hAnsi="宋体"/>
                <w:color w:val="auto"/>
                <w:highlight w:val="none"/>
              </w:rPr>
            </w:pPr>
            <w:r>
              <w:rPr>
                <w:rFonts w:hint="eastAsia" w:hAnsi="宋体"/>
                <w:color w:val="auto"/>
                <w:highlight w:val="none"/>
              </w:rPr>
              <w:t>响应文件的提交：</w:t>
            </w:r>
          </w:p>
          <w:p>
            <w:pPr>
              <w:pStyle w:val="21"/>
              <w:shd w:val="clear"/>
              <w:rPr>
                <w:rFonts w:hAnsi="宋体" w:cs="宋体"/>
                <w:color w:val="auto"/>
                <w:szCs w:val="21"/>
                <w:highlight w:val="none"/>
              </w:rPr>
            </w:pPr>
            <w:r>
              <w:rPr>
                <w:rFonts w:hint="eastAsia" w:hAnsi="宋体" w:cs="宋体"/>
                <w:color w:val="auto"/>
                <w:szCs w:val="21"/>
                <w:highlight w:val="none"/>
              </w:rPr>
              <w:t>截止时间：2023年</w:t>
            </w:r>
            <w:r>
              <w:rPr>
                <w:rFonts w:hint="eastAsia" w:hAnsi="宋体" w:cs="宋体"/>
                <w:color w:val="auto"/>
                <w:szCs w:val="21"/>
                <w:highlight w:val="none"/>
                <w:lang w:val="en-US" w:eastAsia="zh-CN"/>
              </w:rPr>
              <w:t>10</w:t>
            </w:r>
            <w:r>
              <w:rPr>
                <w:rFonts w:hint="eastAsia" w:hAnsi="宋体" w:cs="宋体"/>
                <w:color w:val="auto"/>
                <w:szCs w:val="21"/>
                <w:highlight w:val="none"/>
              </w:rPr>
              <w:t>月</w:t>
            </w:r>
            <w:r>
              <w:rPr>
                <w:rFonts w:hint="eastAsia" w:hAnsi="宋体" w:cs="宋体"/>
                <w:color w:val="auto"/>
                <w:szCs w:val="21"/>
                <w:highlight w:val="none"/>
                <w:lang w:val="en-US" w:eastAsia="zh-CN"/>
              </w:rPr>
              <w:t>31</w:t>
            </w:r>
            <w:r>
              <w:rPr>
                <w:rFonts w:hint="eastAsia" w:hAnsi="宋体" w:cs="宋体"/>
                <w:color w:val="auto"/>
                <w:szCs w:val="21"/>
                <w:highlight w:val="none"/>
              </w:rPr>
              <w:t>日</w:t>
            </w:r>
            <w:r>
              <w:rPr>
                <w:rFonts w:hint="eastAsia" w:hAnsi="宋体" w:cs="宋体"/>
                <w:color w:val="auto"/>
                <w:szCs w:val="21"/>
                <w:highlight w:val="none"/>
                <w:lang w:val="en-US" w:eastAsia="zh-CN"/>
              </w:rPr>
              <w:t>09</w:t>
            </w:r>
            <w:r>
              <w:rPr>
                <w:rFonts w:hint="eastAsia" w:hAnsi="宋体" w:cs="宋体"/>
                <w:color w:val="auto"/>
                <w:szCs w:val="21"/>
                <w:highlight w:val="none"/>
              </w:rPr>
              <w:t>:</w:t>
            </w:r>
            <w:r>
              <w:rPr>
                <w:rFonts w:hint="eastAsia" w:hAnsi="宋体" w:cs="宋体"/>
                <w:color w:val="auto"/>
                <w:szCs w:val="21"/>
                <w:highlight w:val="none"/>
                <w:lang w:val="en-US" w:eastAsia="zh-CN"/>
              </w:rPr>
              <w:t>30</w:t>
            </w:r>
            <w:r>
              <w:rPr>
                <w:rFonts w:hint="eastAsia" w:hAnsi="宋体" w:cs="宋体"/>
                <w:color w:val="auto"/>
                <w:szCs w:val="21"/>
                <w:highlight w:val="none"/>
              </w:rPr>
              <w:t>（北京时间）</w:t>
            </w:r>
          </w:p>
          <w:p>
            <w:pPr>
              <w:pStyle w:val="21"/>
              <w:shd w:val="clear"/>
              <w:rPr>
                <w:rFonts w:hAnsi="宋体"/>
                <w:color w:val="auto"/>
                <w:highlight w:val="none"/>
              </w:rPr>
            </w:pPr>
            <w:r>
              <w:rPr>
                <w:rFonts w:hint="eastAsia" w:hAnsi="宋体" w:cs="宋体"/>
                <w:color w:val="auto"/>
                <w:szCs w:val="21"/>
                <w:highlight w:val="none"/>
              </w:rPr>
              <w:t>地点：华夏城投项目管理有限公司（南宁市东葛路118号青秀万达写字楼银座8楼808室）开标室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5"/>
              <w:shd w:val="clear"/>
              <w:spacing w:line="400" w:lineRule="exact"/>
              <w:jc w:val="center"/>
              <w:rPr>
                <w:rFonts w:hAnsi="宋体" w:cs="Times New Roman"/>
                <w:color w:val="auto"/>
                <w:highlight w:val="none"/>
              </w:rPr>
            </w:pPr>
            <w:r>
              <w:rPr>
                <w:rFonts w:hint="eastAsia" w:hAnsi="宋体" w:cs="Times New Roman"/>
                <w:color w:val="auto"/>
                <w:highlight w:val="none"/>
              </w:rPr>
              <w:t>5</w:t>
            </w:r>
          </w:p>
        </w:tc>
        <w:tc>
          <w:tcPr>
            <w:tcW w:w="8365" w:type="dxa"/>
            <w:tcBorders>
              <w:top w:val="single" w:color="auto" w:sz="4" w:space="0"/>
              <w:left w:val="nil"/>
              <w:bottom w:val="single" w:color="auto" w:sz="4" w:space="0"/>
              <w:right w:val="single" w:color="auto" w:sz="4" w:space="0"/>
            </w:tcBorders>
            <w:vAlign w:val="center"/>
          </w:tcPr>
          <w:p>
            <w:pPr>
              <w:pStyle w:val="85"/>
              <w:shd w:val="clear"/>
              <w:spacing w:line="400" w:lineRule="exact"/>
              <w:rPr>
                <w:color w:val="auto"/>
                <w:highlight w:val="none"/>
              </w:rPr>
            </w:pPr>
            <w:r>
              <w:rPr>
                <w:rFonts w:hint="eastAsia"/>
                <w:color w:val="auto"/>
                <w:highlight w:val="none"/>
              </w:rPr>
              <w:t>提交响应文件截止时间：见竞争性磋商公告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5"/>
              <w:shd w:val="clear"/>
              <w:spacing w:line="400" w:lineRule="exact"/>
              <w:jc w:val="center"/>
              <w:rPr>
                <w:rFonts w:hAnsi="宋体" w:cs="Times New Roman"/>
                <w:color w:val="auto"/>
                <w:highlight w:val="none"/>
              </w:rPr>
            </w:pPr>
            <w:r>
              <w:rPr>
                <w:rFonts w:hint="eastAsia" w:hAnsi="宋体" w:cs="Times New Roman"/>
                <w:color w:val="auto"/>
                <w:highlight w:val="none"/>
              </w:rPr>
              <w:t>6</w:t>
            </w:r>
          </w:p>
        </w:tc>
        <w:tc>
          <w:tcPr>
            <w:tcW w:w="8365" w:type="dxa"/>
            <w:tcBorders>
              <w:top w:val="single" w:color="auto" w:sz="4" w:space="0"/>
              <w:left w:val="nil"/>
              <w:bottom w:val="single" w:color="auto" w:sz="4" w:space="0"/>
              <w:right w:val="single" w:color="auto" w:sz="4" w:space="0"/>
            </w:tcBorders>
            <w:vAlign w:val="center"/>
          </w:tcPr>
          <w:p>
            <w:pPr>
              <w:pStyle w:val="85"/>
              <w:shd w:val="clear"/>
              <w:spacing w:line="400" w:lineRule="exact"/>
              <w:rPr>
                <w:rFonts w:hAnsi="宋体" w:cs="Times New Roman"/>
                <w:color w:val="auto"/>
                <w:highlight w:val="none"/>
              </w:rPr>
            </w:pPr>
            <w:r>
              <w:rPr>
                <w:rFonts w:hint="eastAsia" w:hAnsi="宋体" w:cs="Times New Roman"/>
                <w:color w:val="auto"/>
                <w:highlight w:val="none"/>
              </w:rPr>
              <w:t>响应文件有效期：响应文件提交截止日期后六十日。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5"/>
              <w:shd w:val="clear"/>
              <w:spacing w:line="400" w:lineRule="exact"/>
              <w:jc w:val="center"/>
              <w:rPr>
                <w:rFonts w:hAnsi="宋体" w:cs="Times New Roman"/>
                <w:color w:val="auto"/>
                <w:highlight w:val="none"/>
              </w:rPr>
            </w:pPr>
            <w:r>
              <w:rPr>
                <w:rFonts w:hint="eastAsia" w:hAnsi="宋体" w:cs="Times New Roman"/>
                <w:color w:val="auto"/>
                <w:highlight w:val="none"/>
              </w:rPr>
              <w:t>7</w:t>
            </w:r>
          </w:p>
        </w:tc>
        <w:tc>
          <w:tcPr>
            <w:tcW w:w="8365" w:type="dxa"/>
            <w:tcBorders>
              <w:top w:val="single" w:color="auto" w:sz="4" w:space="0"/>
              <w:left w:val="nil"/>
              <w:bottom w:val="single" w:color="auto" w:sz="4" w:space="0"/>
              <w:right w:val="single" w:color="auto" w:sz="4" w:space="0"/>
            </w:tcBorders>
            <w:vAlign w:val="center"/>
          </w:tcPr>
          <w:p>
            <w:pPr>
              <w:pStyle w:val="21"/>
              <w:shd w:val="clear"/>
              <w:rPr>
                <w:rFonts w:hAnsi="宋体"/>
                <w:color w:val="auto"/>
                <w:highlight w:val="none"/>
              </w:rPr>
            </w:pPr>
            <w:r>
              <w:rPr>
                <w:rFonts w:hint="eastAsia" w:hAnsi="宋体"/>
                <w:color w:val="auto"/>
                <w:highlight w:val="none"/>
              </w:rPr>
              <w:t>保证金：见竞争性磋商公告。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5"/>
              <w:shd w:val="clear"/>
              <w:spacing w:line="400" w:lineRule="exact"/>
              <w:jc w:val="center"/>
              <w:rPr>
                <w:rFonts w:hAnsi="宋体" w:cs="Times New Roman"/>
                <w:color w:val="auto"/>
                <w:highlight w:val="none"/>
              </w:rPr>
            </w:pPr>
            <w:r>
              <w:rPr>
                <w:rFonts w:hint="eastAsia" w:hAnsi="宋体" w:cs="Times New Roman"/>
                <w:color w:val="auto"/>
                <w:highlight w:val="none"/>
              </w:rPr>
              <w:t>8</w:t>
            </w:r>
          </w:p>
        </w:tc>
        <w:tc>
          <w:tcPr>
            <w:tcW w:w="8365" w:type="dxa"/>
            <w:tcBorders>
              <w:top w:val="single" w:color="auto" w:sz="4" w:space="0"/>
              <w:left w:val="nil"/>
              <w:bottom w:val="single" w:color="auto" w:sz="4" w:space="0"/>
              <w:right w:val="single" w:color="auto" w:sz="4" w:space="0"/>
            </w:tcBorders>
            <w:vAlign w:val="center"/>
          </w:tcPr>
          <w:p>
            <w:pPr>
              <w:pStyle w:val="85"/>
              <w:shd w:val="clear"/>
              <w:spacing w:line="400" w:lineRule="exact"/>
              <w:rPr>
                <w:rFonts w:hAnsi="宋体" w:cs="Times New Roman"/>
                <w:b/>
                <w:bCs/>
                <w:color w:val="auto"/>
                <w:highlight w:val="none"/>
              </w:rPr>
            </w:pPr>
            <w:r>
              <w:rPr>
                <w:rFonts w:hint="eastAsia" w:hAnsi="宋体" w:cs="Times New Roman"/>
                <w:b/>
                <w:bCs/>
                <w:color w:val="auto"/>
                <w:highlight w:val="none"/>
              </w:rPr>
              <w:t>磋商时间：2023年</w:t>
            </w:r>
            <w:r>
              <w:rPr>
                <w:rFonts w:hint="eastAsia" w:hAnsi="宋体" w:cs="Times New Roman"/>
                <w:b/>
                <w:bCs/>
                <w:color w:val="auto"/>
                <w:highlight w:val="none"/>
                <w:lang w:val="en-US" w:eastAsia="zh-CN"/>
              </w:rPr>
              <w:t>10</w:t>
            </w:r>
            <w:r>
              <w:rPr>
                <w:rFonts w:hint="eastAsia" w:hAnsi="宋体" w:cs="Times New Roman"/>
                <w:b/>
                <w:bCs/>
                <w:color w:val="auto"/>
                <w:highlight w:val="none"/>
              </w:rPr>
              <w:t>月</w:t>
            </w:r>
            <w:r>
              <w:rPr>
                <w:rFonts w:hint="eastAsia" w:hAnsi="宋体" w:cs="Times New Roman"/>
                <w:b/>
                <w:bCs/>
                <w:color w:val="auto"/>
                <w:highlight w:val="none"/>
                <w:lang w:val="en-US" w:eastAsia="zh-CN"/>
              </w:rPr>
              <w:t>31</w:t>
            </w:r>
            <w:r>
              <w:rPr>
                <w:rFonts w:hint="eastAsia" w:hAnsi="宋体" w:cs="Times New Roman"/>
                <w:b/>
                <w:bCs/>
                <w:color w:val="auto"/>
                <w:highlight w:val="none"/>
              </w:rPr>
              <w:t>日</w:t>
            </w:r>
            <w:r>
              <w:rPr>
                <w:rFonts w:hint="eastAsia" w:hAnsi="宋体" w:cs="Times New Roman"/>
                <w:b/>
                <w:bCs/>
                <w:color w:val="auto"/>
                <w:highlight w:val="none"/>
                <w:lang w:val="en-US" w:eastAsia="zh-CN"/>
              </w:rPr>
              <w:t>09</w:t>
            </w:r>
            <w:r>
              <w:rPr>
                <w:rFonts w:hint="eastAsia" w:hAnsi="宋体" w:cs="Times New Roman"/>
                <w:b/>
                <w:bCs/>
                <w:color w:val="auto"/>
                <w:highlight w:val="none"/>
              </w:rPr>
              <w:t>:</w:t>
            </w:r>
            <w:r>
              <w:rPr>
                <w:rFonts w:hint="eastAsia" w:hAnsi="宋体" w:cs="Times New Roman"/>
                <w:b/>
                <w:bCs/>
                <w:color w:val="auto"/>
                <w:highlight w:val="none"/>
                <w:lang w:val="en-US" w:eastAsia="zh-CN"/>
              </w:rPr>
              <w:t>30</w:t>
            </w:r>
            <w:r>
              <w:rPr>
                <w:rFonts w:hint="eastAsia" w:hAnsi="宋体" w:cs="Times New Roman"/>
                <w:b/>
                <w:bCs/>
                <w:color w:val="auto"/>
                <w:highlight w:val="none"/>
              </w:rPr>
              <w:t>分截标后（如有变动，具体时间由采购代理机构另行通知）</w:t>
            </w:r>
          </w:p>
          <w:p>
            <w:pPr>
              <w:pStyle w:val="85"/>
              <w:shd w:val="clear"/>
              <w:spacing w:line="400" w:lineRule="exact"/>
              <w:rPr>
                <w:rFonts w:hAnsi="宋体"/>
                <w:color w:val="auto"/>
                <w:highlight w:val="none"/>
              </w:rPr>
            </w:pPr>
            <w:r>
              <w:rPr>
                <w:rFonts w:hint="eastAsia" w:hAnsi="宋体" w:cs="Times New Roman"/>
                <w:b/>
                <w:bCs/>
                <w:color w:val="auto"/>
                <w:highlight w:val="none"/>
              </w:rPr>
              <w:t>磋商地点：</w:t>
            </w:r>
            <w:r>
              <w:rPr>
                <w:rFonts w:hint="eastAsia" w:hAnsi="宋体"/>
                <w:color w:val="auto"/>
                <w:highlight w:val="none"/>
              </w:rPr>
              <w:t>华夏城投项目管理有限公司评标室</w:t>
            </w:r>
          </w:p>
          <w:p>
            <w:pPr>
              <w:pStyle w:val="85"/>
              <w:shd w:val="clear"/>
              <w:spacing w:line="400" w:lineRule="exact"/>
              <w:rPr>
                <w:rFonts w:hAnsi="宋体" w:cs="Times New Roman"/>
                <w:color w:val="auto"/>
                <w:kern w:val="0"/>
                <w:highlight w:val="none"/>
              </w:rPr>
            </w:pPr>
            <w:r>
              <w:rPr>
                <w:rFonts w:hint="eastAsia" w:hAnsi="宋体"/>
                <w:color w:val="auto"/>
                <w:highlight w:val="none"/>
              </w:rPr>
              <w:t>参加磋商的法定代表人(负责人)或委托代理人必须持有效证件[法定代表人(负责人)凭身份证原件或委托代理人凭法人授权委托书原件和身份证原件]依时到达指定地点等候当面磋商。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5"/>
              <w:shd w:val="clear"/>
              <w:spacing w:line="400" w:lineRule="exact"/>
              <w:jc w:val="center"/>
              <w:rPr>
                <w:rFonts w:hAnsi="宋体" w:cs="Times New Roman"/>
                <w:color w:val="auto"/>
                <w:highlight w:val="none"/>
              </w:rPr>
            </w:pPr>
            <w:r>
              <w:rPr>
                <w:rFonts w:hint="eastAsia" w:hAnsi="宋体" w:cs="Times New Roman"/>
                <w:color w:val="auto"/>
                <w:highlight w:val="none"/>
              </w:rPr>
              <w:t>9</w:t>
            </w:r>
          </w:p>
        </w:tc>
        <w:tc>
          <w:tcPr>
            <w:tcW w:w="8365" w:type="dxa"/>
            <w:tcBorders>
              <w:top w:val="single" w:color="auto" w:sz="4" w:space="0"/>
              <w:left w:val="nil"/>
              <w:bottom w:val="single" w:color="auto" w:sz="4" w:space="0"/>
              <w:right w:val="single" w:color="auto" w:sz="4" w:space="0"/>
            </w:tcBorders>
            <w:vAlign w:val="center"/>
          </w:tcPr>
          <w:p>
            <w:pPr>
              <w:pStyle w:val="85"/>
              <w:shd w:val="clear"/>
              <w:spacing w:line="400" w:lineRule="exact"/>
              <w:rPr>
                <w:rFonts w:hAnsi="宋体" w:cs="Times New Roman"/>
                <w:color w:val="auto"/>
                <w:highlight w:val="none"/>
              </w:rPr>
            </w:pPr>
            <w:r>
              <w:rPr>
                <w:rFonts w:hint="eastAsia" w:hAnsi="宋体" w:cs="Times New Roman"/>
                <w:color w:val="auto"/>
                <w:highlight w:val="none"/>
              </w:rPr>
              <w:t>评审方法：综合评分法（详细见第六章）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5"/>
              <w:shd w:val="clear"/>
              <w:spacing w:line="400" w:lineRule="exact"/>
              <w:jc w:val="center"/>
              <w:rPr>
                <w:rFonts w:hAnsi="宋体" w:cs="Times New Roman"/>
                <w:color w:val="auto"/>
                <w:highlight w:val="none"/>
              </w:rPr>
            </w:pPr>
            <w:r>
              <w:rPr>
                <w:rFonts w:hint="eastAsia" w:hAnsi="宋体" w:cs="Times New Roman"/>
                <w:color w:val="auto"/>
                <w:highlight w:val="none"/>
              </w:rPr>
              <w:t>10</w:t>
            </w:r>
          </w:p>
        </w:tc>
        <w:tc>
          <w:tcPr>
            <w:tcW w:w="8365" w:type="dxa"/>
            <w:tcBorders>
              <w:top w:val="single" w:color="auto" w:sz="4" w:space="0"/>
              <w:left w:val="nil"/>
              <w:bottom w:val="single" w:color="auto" w:sz="4" w:space="0"/>
              <w:right w:val="single" w:color="auto" w:sz="4" w:space="0"/>
            </w:tcBorders>
            <w:vAlign w:val="center"/>
          </w:tcPr>
          <w:p>
            <w:pPr>
              <w:shd w:val="clear"/>
              <w:spacing w:line="300" w:lineRule="exact"/>
              <w:rPr>
                <w:rFonts w:hAnsi="宋体"/>
                <w:color w:val="auto"/>
                <w:highlight w:val="none"/>
              </w:rPr>
            </w:pPr>
            <w:r>
              <w:rPr>
                <w:rFonts w:hint="eastAsia" w:ascii="宋体" w:hAnsi="宋体"/>
                <w:color w:val="auto"/>
                <w:highlight w:val="none"/>
              </w:rPr>
              <w:t>响应文件形式：</w:t>
            </w:r>
            <w:r>
              <w:rPr>
                <w:rFonts w:hint="eastAsia" w:ascii="宋体"/>
                <w:snapToGrid w:val="0"/>
                <w:color w:val="auto"/>
                <w:highlight w:val="none"/>
              </w:rPr>
              <w:t>磋商供应商应提交纸质响应文件。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5"/>
              <w:shd w:val="clear"/>
              <w:spacing w:line="400" w:lineRule="exact"/>
              <w:jc w:val="center"/>
              <w:rPr>
                <w:rFonts w:hAnsi="宋体" w:cs="Times New Roman"/>
                <w:color w:val="auto"/>
                <w:highlight w:val="none"/>
              </w:rPr>
            </w:pPr>
            <w:r>
              <w:rPr>
                <w:rFonts w:hint="eastAsia" w:hAnsi="宋体" w:cs="Times New Roman"/>
                <w:color w:val="auto"/>
                <w:highlight w:val="none"/>
              </w:rPr>
              <w:t>11</w:t>
            </w:r>
          </w:p>
        </w:tc>
        <w:tc>
          <w:tcPr>
            <w:tcW w:w="8365" w:type="dxa"/>
            <w:tcBorders>
              <w:top w:val="single" w:color="auto" w:sz="4" w:space="0"/>
              <w:left w:val="nil"/>
              <w:bottom w:val="single" w:color="auto" w:sz="4" w:space="0"/>
              <w:right w:val="single" w:color="auto" w:sz="4" w:space="0"/>
            </w:tcBorders>
            <w:vAlign w:val="center"/>
          </w:tcPr>
          <w:p>
            <w:pPr>
              <w:pStyle w:val="85"/>
              <w:shd w:val="clear"/>
              <w:spacing w:line="400" w:lineRule="exact"/>
              <w:rPr>
                <w:rFonts w:hAnsi="宋体"/>
                <w:color w:val="auto"/>
                <w:highlight w:val="none"/>
              </w:rPr>
            </w:pPr>
            <w:r>
              <w:rPr>
                <w:rFonts w:hint="eastAsia"/>
                <w:snapToGrid w:val="0"/>
                <w:color w:val="auto"/>
                <w:highlight w:val="none"/>
              </w:rPr>
              <w:t>响应文件的编制：</w:t>
            </w:r>
            <w:r>
              <w:rPr>
                <w:rFonts w:hint="eastAsia" w:hAnsi="宋体"/>
                <w:snapToGrid w:val="0"/>
                <w:color w:val="auto"/>
                <w:highlight w:val="none"/>
              </w:rPr>
              <w:t>供应商必须按照磋商文件的要求编制响应文件,并对其提交的响应文件的真实性、合法性承担法律责任。响应文件必须对磋商文件作出实质性响应。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5"/>
              <w:shd w:val="clear"/>
              <w:spacing w:line="400" w:lineRule="exact"/>
              <w:jc w:val="center"/>
              <w:rPr>
                <w:rFonts w:hAnsi="宋体" w:cs="Times New Roman"/>
                <w:color w:val="auto"/>
                <w:highlight w:val="none"/>
              </w:rPr>
            </w:pPr>
            <w:r>
              <w:rPr>
                <w:rFonts w:hint="eastAsia" w:hAnsi="宋体" w:cs="Times New Roman"/>
                <w:color w:val="auto"/>
                <w:highlight w:val="none"/>
              </w:rPr>
              <w:t>12</w:t>
            </w:r>
          </w:p>
        </w:tc>
        <w:tc>
          <w:tcPr>
            <w:tcW w:w="8365" w:type="dxa"/>
            <w:tcBorders>
              <w:top w:val="single" w:color="auto" w:sz="4" w:space="0"/>
              <w:left w:val="nil"/>
              <w:bottom w:val="single" w:color="auto" w:sz="4" w:space="0"/>
              <w:right w:val="single" w:color="auto" w:sz="4" w:space="0"/>
            </w:tcBorders>
            <w:vAlign w:val="center"/>
          </w:tcPr>
          <w:p>
            <w:pPr>
              <w:pStyle w:val="85"/>
              <w:shd w:val="clear"/>
              <w:spacing w:line="400" w:lineRule="exact"/>
              <w:rPr>
                <w:rFonts w:hAnsi="宋体"/>
                <w:color w:val="auto"/>
                <w:highlight w:val="none"/>
              </w:rPr>
            </w:pPr>
            <w:r>
              <w:rPr>
                <w:rFonts w:hint="eastAsia"/>
                <w:snapToGrid w:val="0"/>
                <w:color w:val="auto"/>
                <w:highlight w:val="none"/>
              </w:rPr>
              <w:t>响应文件的盖章：响应文件中所涉及的加盖公章均加盖供应商公章。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5"/>
              <w:shd w:val="clear"/>
              <w:spacing w:line="400" w:lineRule="exact"/>
              <w:jc w:val="center"/>
              <w:rPr>
                <w:rFonts w:hAnsi="宋体" w:cs="Times New Roman"/>
                <w:color w:val="auto"/>
                <w:highlight w:val="none"/>
              </w:rPr>
            </w:pPr>
            <w:r>
              <w:rPr>
                <w:rFonts w:hint="eastAsia" w:hAnsi="宋体" w:cs="Times New Roman"/>
                <w:color w:val="auto"/>
                <w:highlight w:val="none"/>
              </w:rPr>
              <w:t>13</w:t>
            </w:r>
          </w:p>
        </w:tc>
        <w:tc>
          <w:tcPr>
            <w:tcW w:w="8365" w:type="dxa"/>
            <w:tcBorders>
              <w:top w:val="single" w:color="auto" w:sz="4" w:space="0"/>
              <w:left w:val="nil"/>
              <w:bottom w:val="single" w:color="auto" w:sz="4" w:space="0"/>
              <w:right w:val="single" w:color="auto" w:sz="4" w:space="0"/>
            </w:tcBorders>
            <w:vAlign w:val="center"/>
          </w:tcPr>
          <w:p>
            <w:pPr>
              <w:pStyle w:val="85"/>
              <w:shd w:val="clear"/>
              <w:spacing w:line="400" w:lineRule="exact"/>
              <w:rPr>
                <w:snapToGrid w:val="0"/>
                <w:color w:val="auto"/>
                <w:highlight w:val="none"/>
              </w:rPr>
            </w:pPr>
            <w:r>
              <w:rPr>
                <w:rFonts w:hint="eastAsia"/>
                <w:snapToGrid w:val="0"/>
                <w:color w:val="auto"/>
                <w:highlight w:val="none"/>
              </w:rPr>
              <w:t>1.本文件中描述供应商的“公章”是指根据我国对公章的管理规定，用供应商法定主体行为名称制作的印章，除本文件有特殊规定外，供应商的财务章、部门章、工会章、合同章、投标专用章、业务专用章及银行的转账章、现金收讫章、现金付讫章等其它形式印章均不能代替公章。</w:t>
            </w:r>
          </w:p>
          <w:p>
            <w:pPr>
              <w:pStyle w:val="85"/>
              <w:shd w:val="clear"/>
              <w:spacing w:line="400" w:lineRule="exact"/>
              <w:rPr>
                <w:rFonts w:hAnsi="宋体"/>
                <w:color w:val="auto"/>
                <w:highlight w:val="none"/>
              </w:rPr>
            </w:pPr>
            <w:r>
              <w:rPr>
                <w:rFonts w:hint="eastAsia"/>
                <w:snapToGrid w:val="0"/>
                <w:color w:val="auto"/>
                <w:highlight w:val="none"/>
              </w:rPr>
              <w:t>2.本文件中描述供应商的“签字”是指供应商的法定代表人（或负责人）或被授权人亲自在磋商文件规定签署处亲笔写上个人的名字的行为，私章、签字章、印鉴、影印等其它形式均不能代替亲笔签字。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85"/>
              <w:shd w:val="clear"/>
              <w:spacing w:line="400" w:lineRule="exact"/>
              <w:jc w:val="center"/>
              <w:rPr>
                <w:rFonts w:hAnsi="宋体" w:cs="Times New Roman"/>
                <w:color w:val="auto"/>
                <w:highlight w:val="none"/>
              </w:rPr>
            </w:pPr>
            <w:r>
              <w:rPr>
                <w:rFonts w:hint="eastAsia" w:hAnsi="宋体" w:cs="Times New Roman"/>
                <w:color w:val="auto"/>
                <w:highlight w:val="none"/>
              </w:rPr>
              <w:t>14</w:t>
            </w:r>
          </w:p>
        </w:tc>
        <w:tc>
          <w:tcPr>
            <w:tcW w:w="8365" w:type="dxa"/>
            <w:tcBorders>
              <w:top w:val="single" w:color="auto" w:sz="4" w:space="0"/>
              <w:left w:val="nil"/>
              <w:bottom w:val="single" w:color="auto" w:sz="4" w:space="0"/>
              <w:right w:val="single" w:color="auto" w:sz="4" w:space="0"/>
            </w:tcBorders>
            <w:vAlign w:val="center"/>
          </w:tcPr>
          <w:p>
            <w:pPr>
              <w:pStyle w:val="21"/>
              <w:shd w:val="clear"/>
              <w:spacing w:line="360" w:lineRule="exact"/>
              <w:rPr>
                <w:rFonts w:hAnsi="宋体"/>
                <w:color w:val="auto"/>
                <w:highlight w:val="none"/>
              </w:rPr>
            </w:pPr>
            <w:r>
              <w:rPr>
                <w:rFonts w:hint="eastAsia" w:hAnsi="宋体" w:cs="宋体"/>
                <w:snapToGrid w:val="0"/>
                <w:color w:val="auto"/>
                <w:highlight w:val="none"/>
              </w:rPr>
              <w:t>响应文件份数：</w:t>
            </w:r>
            <w:r>
              <w:rPr>
                <w:rFonts w:hint="eastAsia" w:hAnsi="宋体" w:cs="宋体"/>
                <w:color w:val="auto"/>
                <w:highlight w:val="none"/>
              </w:rPr>
              <w:t>响应文件：</w:t>
            </w:r>
            <w:r>
              <w:rPr>
                <w:rFonts w:hint="eastAsia" w:hAnsi="宋体" w:cs="宋体"/>
                <w:b w:val="0"/>
                <w:bCs w:val="0"/>
                <w:color w:val="auto"/>
                <w:highlight w:val="none"/>
              </w:rPr>
              <w:t>正本一份副本四份</w:t>
            </w:r>
            <w:r>
              <w:rPr>
                <w:rFonts w:hint="eastAsia" w:hAnsi="宋体" w:cs="宋体"/>
                <w:color w:val="auto"/>
                <w:highlight w:val="none"/>
              </w:rPr>
              <w:t>，竞争性磋商响应文件电子版U盘1份(U盘封面请注明项目名称、项目编号</w:t>
            </w:r>
            <w:r>
              <w:rPr>
                <w:rFonts w:hint="eastAsia" w:hAnsi="宋体" w:cs="宋体"/>
                <w:color w:val="auto"/>
                <w:highlight w:val="none"/>
                <w:lang w:eastAsia="zh-CN"/>
              </w:rPr>
              <w:t>、分标号</w:t>
            </w:r>
            <w:r>
              <w:rPr>
                <w:rFonts w:hint="eastAsia" w:hAnsi="宋体" w:cs="宋体"/>
                <w:color w:val="auto"/>
                <w:highlight w:val="none"/>
              </w:rPr>
              <w:t>及磋商供应商名称)。各供应商可就本采购项目所有分标进行竞标，并就各分标单独提供整套磋商响应文件，并在外层响应文件密封袋标注清楚分标号。</w:t>
            </w:r>
          </w:p>
        </w:tc>
      </w:tr>
    </w:tbl>
    <w:p>
      <w:pPr>
        <w:pageBreakBefore/>
        <w:shd w:val="clea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供应商须知</w:t>
      </w:r>
    </w:p>
    <w:p>
      <w:pPr>
        <w:shd w:val="clear"/>
        <w:spacing w:line="440" w:lineRule="exact"/>
        <w:ind w:firstLine="422" w:firstLineChars="200"/>
        <w:rPr>
          <w:rFonts w:ascii="宋体" w:hAnsi="宋体"/>
          <w:b/>
          <w:bCs/>
          <w:color w:val="auto"/>
          <w:highlight w:val="none"/>
        </w:rPr>
      </w:pPr>
      <w:r>
        <w:rPr>
          <w:rFonts w:hint="eastAsia" w:ascii="宋体" w:hAnsi="宋体"/>
          <w:b/>
          <w:bCs/>
          <w:color w:val="auto"/>
          <w:highlight w:val="none"/>
        </w:rPr>
        <w:t>一、总 则</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1. 适用范围</w:t>
      </w:r>
    </w:p>
    <w:p>
      <w:pPr>
        <w:pStyle w:val="21"/>
        <w:shd w:val="clear"/>
        <w:spacing w:line="440" w:lineRule="exact"/>
        <w:ind w:firstLine="411" w:firstLineChars="196"/>
        <w:rPr>
          <w:rFonts w:hint="eastAsia" w:hAnsi="宋体" w:eastAsia="宋体"/>
          <w:bCs/>
          <w:color w:val="auto"/>
          <w:highlight w:val="none"/>
          <w:lang w:eastAsia="zh-CN"/>
        </w:rPr>
      </w:pPr>
      <w:r>
        <w:rPr>
          <w:rFonts w:hint="eastAsia" w:hAnsi="宋体"/>
          <w:color w:val="auto"/>
          <w:highlight w:val="none"/>
        </w:rPr>
        <w:t>1.1项目名称：</w:t>
      </w:r>
      <w:r>
        <w:rPr>
          <w:rFonts w:hint="eastAsia" w:hAnsi="宋体"/>
          <w:color w:val="auto"/>
          <w:highlight w:val="none"/>
          <w:lang w:eastAsia="zh-CN"/>
        </w:rPr>
        <w:t>智慧党建平台、社团活动管理系统建设项目</w:t>
      </w:r>
    </w:p>
    <w:p>
      <w:pPr>
        <w:shd w:val="clear"/>
        <w:spacing w:line="440" w:lineRule="exact"/>
        <w:ind w:firstLine="840" w:firstLineChars="400"/>
        <w:rPr>
          <w:rFonts w:ascii="宋体" w:hAnsi="宋体"/>
          <w:color w:val="auto"/>
          <w:highlight w:val="none"/>
        </w:rPr>
      </w:pPr>
      <w:r>
        <w:rPr>
          <w:rFonts w:hint="eastAsia" w:ascii="宋体" w:hAnsi="宋体"/>
          <w:color w:val="auto"/>
          <w:highlight w:val="none"/>
        </w:rPr>
        <w:t>本文件仅适用于本文件中所叙述的服务类采购项目。</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2. 定义</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2.1“采购人”是指：</w:t>
      </w:r>
      <w:r>
        <w:rPr>
          <w:rFonts w:hint="eastAsia" w:ascii="宋体" w:hAnsi="宋体"/>
          <w:color w:val="auto"/>
          <w:highlight w:val="none"/>
          <w:u w:val="single"/>
        </w:rPr>
        <w:t>广西国际商务职业技术学院</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2.2“采购代理机构”是指：华夏城投项目管理有限公司(以下简称“采购代理机构”)。</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2.3“供应商”是指响应本文件要求，参加磋商的法人或者其他组织和自然人。如果该供应商在本次磋商中成交,即成为“成交供应商”。</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2.4“货物”是指各种形态和种类的物品，包括原材料、燃料、设备、产品等。</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2.5“服务”是指除货物和工程以外的其他政府采购对象。</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2.6“竞争性磋商响应文件”是指：供应商根据本文件要求，编制包含报价、技术和服务等所有内容的文件。</w:t>
      </w:r>
    </w:p>
    <w:p>
      <w:pPr>
        <w:shd w:val="clear"/>
        <w:spacing w:line="440" w:lineRule="exact"/>
        <w:ind w:firstLine="422" w:firstLineChars="200"/>
        <w:rPr>
          <w:rFonts w:ascii="宋体" w:hAnsi="宋体"/>
          <w:b/>
          <w:bCs/>
          <w:color w:val="auto"/>
          <w:highlight w:val="none"/>
        </w:rPr>
      </w:pPr>
      <w:r>
        <w:rPr>
          <w:rFonts w:hint="eastAsia" w:ascii="宋体" w:hAnsi="宋体"/>
          <w:b/>
          <w:bCs/>
          <w:color w:val="auto"/>
          <w:highlight w:val="none"/>
        </w:rPr>
        <w:t>3. 供应商的基本条件</w:t>
      </w:r>
    </w:p>
    <w:p>
      <w:pPr>
        <w:shd w:val="clear"/>
        <w:spacing w:line="440" w:lineRule="exact"/>
        <w:ind w:firstLine="424" w:firstLineChars="202"/>
        <w:rPr>
          <w:rFonts w:ascii="宋体" w:hAnsi="宋体"/>
          <w:color w:val="auto"/>
          <w:highlight w:val="none"/>
        </w:rPr>
      </w:pPr>
      <w:r>
        <w:rPr>
          <w:rFonts w:hint="eastAsia" w:ascii="宋体" w:hAnsi="宋体"/>
          <w:color w:val="auto"/>
          <w:highlight w:val="none"/>
        </w:rPr>
        <w:t>3.1供应商资格：</w:t>
      </w:r>
      <w:r>
        <w:rPr>
          <w:rFonts w:hint="eastAsia" w:ascii="宋体" w:hAnsi="宋体" w:cs="宋体"/>
          <w:color w:val="auto"/>
          <w:highlight w:val="none"/>
        </w:rPr>
        <w:t>详见竞争性磋商公告</w:t>
      </w:r>
      <w:r>
        <w:rPr>
          <w:rFonts w:hint="eastAsia" w:ascii="宋体" w:hAnsi="宋体"/>
          <w:color w:val="auto"/>
          <w:highlight w:val="none"/>
        </w:rPr>
        <w:t>。</w:t>
      </w:r>
    </w:p>
    <w:p>
      <w:pPr>
        <w:shd w:val="clear"/>
        <w:spacing w:line="440" w:lineRule="exact"/>
        <w:ind w:firstLine="424" w:firstLineChars="202"/>
        <w:rPr>
          <w:rFonts w:ascii="宋体" w:hAnsi="宋体"/>
          <w:color w:val="auto"/>
          <w:highlight w:val="none"/>
        </w:rPr>
      </w:pPr>
      <w:r>
        <w:rPr>
          <w:rFonts w:hint="eastAsia" w:ascii="宋体" w:hAnsi="宋体"/>
          <w:color w:val="auto"/>
          <w:highlight w:val="none"/>
        </w:rPr>
        <w:t>3.2参加政府采购活动前三年内，在经营活动中没有重大违法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hd w:val="clear"/>
        <w:spacing w:line="440" w:lineRule="exact"/>
        <w:ind w:firstLine="424" w:firstLineChars="201"/>
        <w:rPr>
          <w:rFonts w:ascii="宋体" w:hAnsi="宋体"/>
          <w:b/>
          <w:bCs/>
          <w:color w:val="auto"/>
          <w:highlight w:val="none"/>
        </w:rPr>
      </w:pPr>
      <w:r>
        <w:rPr>
          <w:rFonts w:hint="eastAsia" w:ascii="宋体" w:hAnsi="宋体"/>
          <w:b/>
          <w:bCs/>
          <w:color w:val="auto"/>
          <w:highlight w:val="none"/>
        </w:rPr>
        <w:t>4. 磋商费用、竞争性磋商公告、竞争性磋商文件的澄清和修改</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4.1磋商费用：供应商应自行承担所有与编写和提交竞争性磋商响应文件有关的费用，不论磋商结果如何，采购人和采购代理机构在任何情况下无义务和责任承担此类费用。</w:t>
      </w:r>
    </w:p>
    <w:p>
      <w:pPr>
        <w:pStyle w:val="21"/>
        <w:shd w:val="clear"/>
        <w:spacing w:line="440" w:lineRule="exact"/>
        <w:ind w:firstLine="420"/>
        <w:rPr>
          <w:rFonts w:hAnsi="宋体"/>
          <w:color w:val="auto"/>
          <w:highlight w:val="none"/>
        </w:rPr>
      </w:pPr>
      <w:r>
        <w:rPr>
          <w:rFonts w:hint="eastAsia" w:hAnsi="宋体"/>
          <w:color w:val="auto"/>
          <w:highlight w:val="none"/>
        </w:rPr>
        <w:t>4.2</w:t>
      </w:r>
      <w:r>
        <w:rPr>
          <w:rFonts w:hint="eastAsia" w:hAnsi="宋体"/>
          <w:b/>
          <w:bCs/>
          <w:color w:val="auto"/>
          <w:highlight w:val="none"/>
        </w:rPr>
        <w:t>竞争性磋商公告</w:t>
      </w:r>
      <w:r>
        <w:rPr>
          <w:rFonts w:hint="eastAsia" w:hAnsi="宋体"/>
          <w:color w:val="auto"/>
          <w:highlight w:val="none"/>
        </w:rPr>
        <w:t>：见中国采购与招标网（http://www.chinabidding.com.cn/）、华夏城投项目管理有限公司官网（http://www.sxhx2001.com）。</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4.3竞争性磋商文件的澄清和修改：</w:t>
      </w:r>
    </w:p>
    <w:p>
      <w:pPr>
        <w:pStyle w:val="21"/>
        <w:shd w:val="clear"/>
        <w:spacing w:line="440" w:lineRule="exact"/>
        <w:ind w:firstLine="420"/>
        <w:rPr>
          <w:rFonts w:hAnsi="宋体"/>
          <w:color w:val="auto"/>
          <w:highlight w:val="none"/>
        </w:rPr>
      </w:pPr>
      <w:r>
        <w:rPr>
          <w:rFonts w:hint="eastAsia" w:hAnsi="宋体"/>
          <w:color w:val="auto"/>
          <w:highlight w:val="none"/>
        </w:rPr>
        <w:t>4.3.1供应商应认真审核《采购需求》中的技术参数、配置及要求，如发现采购需求中技术参数、配置有误或要求不合理的，供应商必须在规定的时间前要求澄清，否则，由此产生的后果由供应商负责。</w:t>
      </w:r>
    </w:p>
    <w:p>
      <w:pPr>
        <w:pStyle w:val="21"/>
        <w:shd w:val="clear"/>
        <w:spacing w:line="440" w:lineRule="exact"/>
        <w:ind w:firstLine="420"/>
        <w:rPr>
          <w:rFonts w:hAnsi="宋体"/>
          <w:color w:val="auto"/>
          <w:highlight w:val="none"/>
        </w:rPr>
      </w:pPr>
      <w:r>
        <w:rPr>
          <w:rFonts w:hint="eastAsia" w:hAnsi="宋体"/>
          <w:color w:val="auto"/>
          <w:highlight w:val="none"/>
        </w:rPr>
        <w:t>4.3.2任何要求澄清竞争性磋商文件的供应商，均应在响应文件递交截止日期三日前的正常工作时间以传真等书面形式通知采购代理机构，同时认定其他澄清方式为无效。采购代理机构将以书面形式予以答复。</w:t>
      </w:r>
    </w:p>
    <w:p>
      <w:pPr>
        <w:widowControl/>
        <w:shd w:val="clear"/>
        <w:spacing w:line="440" w:lineRule="exact"/>
        <w:ind w:firstLine="420"/>
        <w:jc w:val="left"/>
        <w:rPr>
          <w:rFonts w:ascii="宋体" w:hAnsi="宋体"/>
          <w:color w:val="auto"/>
          <w:highlight w:val="none"/>
        </w:rPr>
      </w:pPr>
      <w:r>
        <w:rPr>
          <w:rFonts w:hint="eastAsia" w:ascii="宋体" w:hAnsi="宋体"/>
          <w:color w:val="auto"/>
          <w:highlight w:val="none"/>
        </w:rPr>
        <w:t>4.3.3采购代理机构对已发出的磋商文件进行必要澄清或者修改的，澄清和修改对供应商编制响应文件造成实质影响的，在竞争性磋商文件要求提交竞争性磋商响应文件截止时间五日前（不足五日顺延），在</w:t>
      </w:r>
      <w:r>
        <w:rPr>
          <w:rFonts w:hint="eastAsia" w:ascii="宋体" w:hAnsi="宋体" w:cs="Arial"/>
          <w:color w:val="auto"/>
          <w:highlight w:val="none"/>
        </w:rPr>
        <w:t>中国采购与招标网（http://www.chinabidding.com.cn/）、华夏城投项目管理有限公司官网（http://www.sxhx2001.com）</w:t>
      </w:r>
      <w:r>
        <w:rPr>
          <w:rFonts w:hint="eastAsia" w:ascii="宋体" w:hAnsi="宋体"/>
          <w:color w:val="auto"/>
          <w:highlight w:val="none"/>
        </w:rPr>
        <w:t>上发布更正公告，并通知所有竞争性磋商文件收受人。该澄清或者修改的内容为竞争性磋商文件的组成部分。</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4.3.4采购代理机构可视具体情况，延长响应文件递交截止时间和开标时间。采购代理机构至少在竞争性磋商文件要求提交竞争性磋商响应文件的截止时间一日前，将变更时间通知所有竞争性磋商文件收受人，并在</w:t>
      </w:r>
      <w:r>
        <w:rPr>
          <w:rFonts w:hint="eastAsia" w:ascii="宋体" w:hAnsi="宋体" w:cs="Arial"/>
          <w:color w:val="auto"/>
          <w:highlight w:val="none"/>
        </w:rPr>
        <w:t>中国采购与招标网（http://www.chinabidding.com.cn/）、华夏城投项目管理有限公司官网（http://www.sxhx2001.com）</w:t>
      </w:r>
      <w:r>
        <w:rPr>
          <w:rFonts w:hint="eastAsia" w:ascii="宋体" w:hAnsi="宋体"/>
          <w:color w:val="auto"/>
          <w:highlight w:val="none"/>
        </w:rPr>
        <w:t>上发布变更公告。</w:t>
      </w:r>
    </w:p>
    <w:p>
      <w:pPr>
        <w:shd w:val="clear"/>
        <w:spacing w:line="440" w:lineRule="exact"/>
        <w:ind w:firstLine="422" w:firstLineChars="200"/>
        <w:rPr>
          <w:rFonts w:ascii="宋体" w:hAnsi="宋体"/>
          <w:b/>
          <w:bCs/>
          <w:color w:val="auto"/>
          <w:highlight w:val="none"/>
        </w:rPr>
      </w:pPr>
      <w:r>
        <w:rPr>
          <w:rFonts w:hint="eastAsia" w:ascii="宋体" w:hAnsi="宋体"/>
          <w:b/>
          <w:bCs/>
          <w:color w:val="auto"/>
          <w:highlight w:val="none"/>
        </w:rPr>
        <w:t>二、竞争性磋商响应文件的编制</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5. 竞争性磋商响应文件编制基本要求</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5.1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5.2响应文件须由磋商供应商在规定位置盖章并由法定代表人或法定代表人的授权委托人签署，磋商供应商应写全称。</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5.3响应文件不得涂改，若有修改错漏处，须加盖单位公章或者法定代表人或授权委托人签字或盖章。响应文件因扫描不清晰或乱码或表达不清所引起的后果由磋商供应商负责。</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5.4竞争性磋商响应文件的组成：竞争性磋商响应文件应分为价格文件、资格证明文件和商务技术文件三个部分组成（要求装订成一本）。</w:t>
      </w:r>
    </w:p>
    <w:p>
      <w:pPr>
        <w:shd w:val="clear"/>
        <w:spacing w:line="440" w:lineRule="exact"/>
        <w:ind w:firstLine="422" w:firstLineChars="200"/>
        <w:rPr>
          <w:rFonts w:ascii="宋体" w:hAnsi="宋体"/>
          <w:b/>
          <w:color w:val="auto"/>
          <w:highlight w:val="none"/>
        </w:rPr>
      </w:pPr>
      <w:r>
        <w:rPr>
          <w:rFonts w:hint="eastAsia" w:ascii="宋体" w:hAnsi="宋体"/>
          <w:b/>
          <w:color w:val="auto"/>
          <w:highlight w:val="none"/>
        </w:rPr>
        <w:t>5.5.1价格文件</w:t>
      </w:r>
    </w:p>
    <w:p>
      <w:pPr>
        <w:shd w:val="clear"/>
        <w:spacing w:line="440" w:lineRule="exact"/>
        <w:ind w:firstLine="420" w:firstLineChars="200"/>
        <w:rPr>
          <w:rFonts w:ascii="宋体" w:hAnsi="宋体"/>
          <w:b/>
          <w:color w:val="auto"/>
          <w:highlight w:val="none"/>
        </w:rPr>
      </w:pPr>
      <w:r>
        <w:rPr>
          <w:rFonts w:hint="eastAsia" w:ascii="宋体" w:hAnsi="宋体"/>
          <w:bCs/>
          <w:color w:val="auto"/>
          <w:highlight w:val="none"/>
        </w:rPr>
        <w:t>1）磋商响应函；（附件一）</w:t>
      </w:r>
      <w:r>
        <w:rPr>
          <w:rFonts w:hint="eastAsia" w:ascii="宋体" w:hAnsi="宋体"/>
          <w:b/>
          <w:color w:val="auto"/>
          <w:highlight w:val="none"/>
        </w:rPr>
        <w:t>[必须提供]</w:t>
      </w:r>
    </w:p>
    <w:p>
      <w:pPr>
        <w:shd w:val="clear"/>
        <w:spacing w:line="440" w:lineRule="exact"/>
        <w:ind w:firstLine="420" w:firstLineChars="200"/>
        <w:rPr>
          <w:rFonts w:hint="eastAsia" w:ascii="宋体" w:hAnsi="宋体"/>
          <w:b/>
          <w:color w:val="auto"/>
          <w:highlight w:val="none"/>
        </w:rPr>
      </w:pPr>
      <w:r>
        <w:rPr>
          <w:rFonts w:hint="eastAsia" w:ascii="宋体" w:hAnsi="宋体"/>
          <w:bCs/>
          <w:color w:val="auto"/>
          <w:highlight w:val="none"/>
        </w:rPr>
        <w:t>2）报价表；（附件二）</w:t>
      </w:r>
      <w:r>
        <w:rPr>
          <w:rFonts w:hint="eastAsia" w:ascii="宋体" w:hAnsi="宋体"/>
          <w:b/>
          <w:color w:val="auto"/>
          <w:highlight w:val="none"/>
        </w:rPr>
        <w:t>[必须提供]</w:t>
      </w:r>
    </w:p>
    <w:p>
      <w:pPr>
        <w:shd w:val="clear"/>
        <w:snapToGrid w:val="0"/>
        <w:spacing w:line="440" w:lineRule="exact"/>
        <w:ind w:firstLine="424" w:firstLineChars="202"/>
        <w:jc w:val="left"/>
        <w:rPr>
          <w:color w:val="auto"/>
        </w:rPr>
      </w:pPr>
      <w:r>
        <w:rPr>
          <w:rFonts w:hint="eastAsia"/>
          <w:color w:val="auto"/>
          <w:highlight w:val="none"/>
          <w:lang w:val="en-US" w:eastAsia="zh-CN"/>
        </w:rPr>
        <w:t>3</w:t>
      </w:r>
      <w:r>
        <w:rPr>
          <w:rFonts w:hint="eastAsia"/>
          <w:color w:val="auto"/>
          <w:highlight w:val="none"/>
        </w:rPr>
        <w:t>）</w:t>
      </w:r>
      <w:r>
        <w:rPr>
          <w:rFonts w:hint="eastAsia" w:ascii="宋体" w:hAnsi="宋体" w:cs="宋体"/>
          <w:color w:val="auto"/>
          <w:highlight w:val="none"/>
        </w:rPr>
        <w:t>中小企业声明函或残疾人福利性单位声明函或省级以上监狱管理局（或戒毒管理局（含新疆生产建设兵团））出具的属于监狱企业证明文件；</w:t>
      </w:r>
      <w:r>
        <w:rPr>
          <w:rFonts w:hint="eastAsia" w:ascii="宋体" w:hAnsi="宋体"/>
          <w:color w:val="auto"/>
          <w:kern w:val="0"/>
          <w:highlight w:val="none"/>
        </w:rPr>
        <w:t>（附件三）</w:t>
      </w:r>
    </w:p>
    <w:p>
      <w:pPr>
        <w:shd w:val="clear"/>
        <w:spacing w:line="440" w:lineRule="exact"/>
        <w:ind w:firstLine="422" w:firstLineChars="200"/>
        <w:rPr>
          <w:rFonts w:ascii="宋体" w:hAnsi="宋体" w:cs="宋体"/>
          <w:b/>
          <w:bCs/>
          <w:color w:val="auto"/>
          <w:highlight w:val="none"/>
        </w:rPr>
      </w:pPr>
      <w:r>
        <w:rPr>
          <w:rFonts w:hint="eastAsia" w:ascii="宋体" w:hAnsi="宋体" w:cs="宋体"/>
          <w:b/>
          <w:bCs/>
          <w:color w:val="auto"/>
          <w:highlight w:val="none"/>
        </w:rPr>
        <w:t>5.5.</w:t>
      </w:r>
      <w:r>
        <w:rPr>
          <w:rFonts w:hint="eastAsia" w:ascii="宋体" w:hAnsi="宋体" w:cs="宋体"/>
          <w:b/>
          <w:bCs/>
          <w:color w:val="auto"/>
          <w:highlight w:val="none"/>
          <w:lang w:val="en-US" w:eastAsia="zh-CN"/>
        </w:rPr>
        <w:t>2</w:t>
      </w:r>
      <w:r>
        <w:rPr>
          <w:rFonts w:hint="eastAsia" w:ascii="宋体" w:hAnsi="宋体" w:cs="宋体"/>
          <w:b/>
          <w:bCs/>
          <w:color w:val="auto"/>
          <w:highlight w:val="none"/>
        </w:rPr>
        <w:t xml:space="preserve"> 资格证明文件（应该有的必须提供,如未提供,磋商小组有权拒绝其竞争性磋商响应文件）</w:t>
      </w:r>
    </w:p>
    <w:p>
      <w:pPr>
        <w:shd w:val="clear"/>
        <w:spacing w:line="440" w:lineRule="exact"/>
        <w:ind w:firstLine="420" w:firstLineChars="200"/>
        <w:rPr>
          <w:rFonts w:ascii="宋体" w:hAnsi="宋体"/>
          <w:b/>
          <w:color w:val="auto"/>
          <w:highlight w:val="none"/>
        </w:rPr>
      </w:pPr>
      <w:r>
        <w:rPr>
          <w:rFonts w:hint="eastAsia" w:ascii="宋体" w:hAnsi="宋体" w:cs="宋体"/>
          <w:color w:val="auto"/>
          <w:highlight w:val="none"/>
        </w:rPr>
        <w:t>1）供应商法人或者其他组织的提供其营业执照等证明文件复印件（如营业执照或者事业单位法人证书或者执业许可证等），供应商为自然人的提供其有效身份证正反面复印件；</w:t>
      </w:r>
      <w:r>
        <w:rPr>
          <w:rFonts w:hint="eastAsia" w:ascii="宋体" w:hAnsi="宋体"/>
          <w:b/>
          <w:color w:val="auto"/>
          <w:highlight w:val="none"/>
        </w:rPr>
        <w:t>[必须提供]</w:t>
      </w:r>
    </w:p>
    <w:p>
      <w:pPr>
        <w:shd w:val="clear"/>
        <w:spacing w:line="440" w:lineRule="exact"/>
        <w:ind w:firstLine="420" w:firstLineChars="200"/>
        <w:rPr>
          <w:rFonts w:ascii="宋体" w:hAnsi="宋体" w:cs="宋体"/>
          <w:b/>
          <w:bCs/>
          <w:color w:val="auto"/>
          <w:highlight w:val="none"/>
        </w:rPr>
      </w:pPr>
      <w:r>
        <w:rPr>
          <w:rFonts w:hint="eastAsia" w:ascii="宋体" w:hAnsi="宋体" w:cs="宋体"/>
          <w:color w:val="auto"/>
          <w:highlight w:val="none"/>
        </w:rPr>
        <w:t>2</w:t>
      </w:r>
      <w:r>
        <w:rPr>
          <w:rFonts w:hint="eastAsia" w:ascii="宋体" w:hAnsi="宋体"/>
          <w:color w:val="auto"/>
          <w:highlight w:val="none"/>
        </w:rPr>
        <w:t>）</w:t>
      </w:r>
      <w:r>
        <w:rPr>
          <w:rFonts w:hint="eastAsia" w:ascii="宋体" w:hAnsi="宋体" w:cs="宋体"/>
          <w:color w:val="auto"/>
          <w:highlight w:val="none"/>
        </w:rPr>
        <w:t>供应商依法缴纳税收的相关材料（</w:t>
      </w:r>
      <w:r>
        <w:rPr>
          <w:rFonts w:hint="eastAsia" w:ascii="宋体" w:hAnsi="宋体" w:cs="宋体"/>
          <w:bCs/>
          <w:color w:val="auto"/>
          <w:highlight w:val="none"/>
        </w:rPr>
        <w:t>202</w:t>
      </w:r>
      <w:r>
        <w:rPr>
          <w:rFonts w:hint="eastAsia" w:ascii="宋体" w:hAnsi="宋体" w:cs="宋体"/>
          <w:bCs/>
          <w:color w:val="auto"/>
          <w:highlight w:val="none"/>
          <w:lang w:val="en-US" w:eastAsia="zh-CN"/>
        </w:rPr>
        <w:t>3</w:t>
      </w:r>
      <w:r>
        <w:rPr>
          <w:rFonts w:hint="eastAsia" w:ascii="宋体" w:hAnsi="宋体" w:cs="宋体"/>
          <w:bCs/>
          <w:color w:val="auto"/>
          <w:highlight w:val="none"/>
        </w:rPr>
        <w:t>年</w:t>
      </w:r>
      <w:r>
        <w:rPr>
          <w:rFonts w:hint="eastAsia" w:ascii="宋体" w:hAnsi="宋体" w:cs="宋体"/>
          <w:bCs/>
          <w:color w:val="auto"/>
          <w:highlight w:val="none"/>
          <w:lang w:val="en-US" w:eastAsia="zh-CN"/>
        </w:rPr>
        <w:t>3</w:t>
      </w:r>
      <w:r>
        <w:rPr>
          <w:rFonts w:hint="eastAsia" w:ascii="宋体" w:hAnsi="宋体" w:cs="宋体"/>
          <w:bCs/>
          <w:color w:val="auto"/>
          <w:highlight w:val="none"/>
        </w:rPr>
        <w:t>月至2023年</w:t>
      </w:r>
      <w:r>
        <w:rPr>
          <w:rFonts w:hint="eastAsia" w:ascii="宋体" w:hAnsi="宋体" w:cs="宋体"/>
          <w:bCs/>
          <w:color w:val="auto"/>
          <w:highlight w:val="none"/>
          <w:lang w:val="en-US" w:eastAsia="zh-CN"/>
        </w:rPr>
        <w:t>8</w:t>
      </w:r>
      <w:r>
        <w:rPr>
          <w:rFonts w:hint="eastAsia" w:ascii="宋体" w:hAnsi="宋体" w:cs="宋体"/>
          <w:bCs/>
          <w:color w:val="auto"/>
          <w:highlight w:val="none"/>
        </w:rPr>
        <w:t>月</w:t>
      </w:r>
      <w:r>
        <w:rPr>
          <w:rFonts w:hint="eastAsia" w:ascii="宋体" w:hAnsi="宋体" w:cs="宋体"/>
          <w:color w:val="auto"/>
          <w:highlight w:val="none"/>
        </w:rPr>
        <w:t>期间连续3个月的依法缴纳税收的凭据复印件；</w:t>
      </w:r>
      <w:r>
        <w:rPr>
          <w:rFonts w:hint="eastAsia"/>
          <w:color w:val="auto"/>
          <w:highlight w:val="none"/>
        </w:rPr>
        <w:t>依法免税的，必须提供相应文件证明其依法免税。</w:t>
      </w:r>
      <w:r>
        <w:rPr>
          <w:rFonts w:hint="eastAsia" w:ascii="宋体" w:hAnsi="宋体" w:cs="宋体"/>
          <w:color w:val="auto"/>
          <w:highlight w:val="none"/>
        </w:rPr>
        <w:t>从</w:t>
      </w:r>
      <w:r>
        <w:rPr>
          <w:color w:val="auto"/>
          <w:highlight w:val="none"/>
        </w:rPr>
        <w:t>成立</w:t>
      </w:r>
      <w:r>
        <w:rPr>
          <w:rFonts w:hint="eastAsia"/>
          <w:color w:val="auto"/>
          <w:highlight w:val="none"/>
        </w:rPr>
        <w:t>之日起</w:t>
      </w:r>
      <w:r>
        <w:rPr>
          <w:rFonts w:hint="eastAsia" w:ascii="宋体" w:hAnsi="宋体" w:cs="宋体"/>
          <w:color w:val="auto"/>
          <w:highlight w:val="none"/>
        </w:rPr>
        <w:t>到响应文件提交截止时间止不足要求月数的，只需提供从</w:t>
      </w:r>
      <w:r>
        <w:rPr>
          <w:color w:val="auto"/>
          <w:highlight w:val="none"/>
        </w:rPr>
        <w:t>成立</w:t>
      </w:r>
      <w:r>
        <w:rPr>
          <w:rFonts w:hint="eastAsia"/>
          <w:color w:val="auto"/>
          <w:highlight w:val="none"/>
        </w:rPr>
        <w:t>之日起</w:t>
      </w:r>
      <w:r>
        <w:rPr>
          <w:rFonts w:hint="eastAsia" w:ascii="宋体" w:hAnsi="宋体" w:cs="宋体"/>
          <w:color w:val="auto"/>
          <w:highlight w:val="none"/>
        </w:rPr>
        <w:t>的依法缴纳税收</w:t>
      </w:r>
      <w:r>
        <w:rPr>
          <w:rFonts w:hint="eastAsia"/>
          <w:color w:val="auto"/>
          <w:highlight w:val="none"/>
        </w:rPr>
        <w:t>相应证明文件</w:t>
      </w:r>
      <w:r>
        <w:rPr>
          <w:rFonts w:hint="eastAsia" w:ascii="宋体" w:hAnsi="宋体" w:cs="宋体"/>
          <w:color w:val="auto"/>
          <w:highlight w:val="none"/>
        </w:rPr>
        <w:t>）；</w:t>
      </w:r>
      <w:r>
        <w:rPr>
          <w:rFonts w:hint="eastAsia" w:ascii="宋体" w:hAnsi="宋体"/>
          <w:b/>
          <w:color w:val="auto"/>
          <w:highlight w:val="none"/>
        </w:rPr>
        <w:t>[必须提供]</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olor w:val="auto"/>
          <w:highlight w:val="none"/>
        </w:rPr>
        <w:t>）</w:t>
      </w:r>
      <w:r>
        <w:rPr>
          <w:rFonts w:hint="eastAsia" w:ascii="宋体" w:hAnsi="宋体" w:cs="宋体"/>
          <w:color w:val="auto"/>
          <w:highlight w:val="none"/>
        </w:rPr>
        <w:t>供应商依法缴纳社会保障资金的相关材料（</w:t>
      </w:r>
      <w:r>
        <w:rPr>
          <w:rFonts w:hint="eastAsia" w:ascii="宋体" w:hAnsi="宋体" w:cs="宋体"/>
          <w:bCs/>
          <w:color w:val="auto"/>
          <w:highlight w:val="none"/>
        </w:rPr>
        <w:t>202</w:t>
      </w:r>
      <w:r>
        <w:rPr>
          <w:rFonts w:hint="eastAsia" w:ascii="宋体" w:hAnsi="宋体" w:cs="宋体"/>
          <w:bCs/>
          <w:color w:val="auto"/>
          <w:highlight w:val="none"/>
          <w:lang w:val="en-US" w:eastAsia="zh-CN"/>
        </w:rPr>
        <w:t>3</w:t>
      </w:r>
      <w:r>
        <w:rPr>
          <w:rFonts w:hint="eastAsia" w:ascii="宋体" w:hAnsi="宋体" w:cs="宋体"/>
          <w:bCs/>
          <w:color w:val="auto"/>
          <w:highlight w:val="none"/>
        </w:rPr>
        <w:t>年</w:t>
      </w:r>
      <w:r>
        <w:rPr>
          <w:rFonts w:hint="eastAsia" w:ascii="宋体" w:hAnsi="宋体" w:cs="宋体"/>
          <w:bCs/>
          <w:color w:val="auto"/>
          <w:highlight w:val="none"/>
          <w:lang w:val="en-US" w:eastAsia="zh-CN"/>
        </w:rPr>
        <w:t>3</w:t>
      </w:r>
      <w:r>
        <w:rPr>
          <w:rFonts w:hint="eastAsia" w:ascii="宋体" w:hAnsi="宋体" w:cs="宋体"/>
          <w:bCs/>
          <w:color w:val="auto"/>
          <w:highlight w:val="none"/>
        </w:rPr>
        <w:t>月至2023年</w:t>
      </w:r>
      <w:r>
        <w:rPr>
          <w:rFonts w:hint="eastAsia" w:ascii="宋体" w:hAnsi="宋体" w:cs="宋体"/>
          <w:bCs/>
          <w:color w:val="auto"/>
          <w:highlight w:val="none"/>
          <w:lang w:val="en-US" w:eastAsia="zh-CN"/>
        </w:rPr>
        <w:t>8</w:t>
      </w:r>
      <w:r>
        <w:rPr>
          <w:rFonts w:hint="eastAsia" w:ascii="宋体" w:hAnsi="宋体" w:cs="宋体"/>
          <w:bCs/>
          <w:color w:val="auto"/>
          <w:highlight w:val="none"/>
        </w:rPr>
        <w:t>月</w:t>
      </w:r>
      <w:r>
        <w:rPr>
          <w:rFonts w:hint="eastAsia" w:ascii="宋体" w:hAnsi="宋体" w:cs="宋体"/>
          <w:color w:val="auto"/>
          <w:highlight w:val="none"/>
        </w:rPr>
        <w:t>期间连续3个月的依法缴纳社会保障资金的缴费凭证（专用收据或者社会保险缴纳清单）复印件；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highlight w:val="none"/>
        </w:rPr>
        <w:t>从</w:t>
      </w:r>
      <w:r>
        <w:rPr>
          <w:color w:val="auto"/>
          <w:highlight w:val="none"/>
        </w:rPr>
        <w:t>成立</w:t>
      </w:r>
      <w:r>
        <w:rPr>
          <w:rFonts w:hint="eastAsia"/>
          <w:color w:val="auto"/>
          <w:highlight w:val="none"/>
        </w:rPr>
        <w:t>之日起</w:t>
      </w:r>
      <w:r>
        <w:rPr>
          <w:rFonts w:hint="eastAsia" w:ascii="宋体" w:hAnsi="宋体" w:cs="宋体"/>
          <w:color w:val="auto"/>
          <w:highlight w:val="none"/>
        </w:rPr>
        <w:t>到响应文件提交截止时间止不足要求月数的只需提供从</w:t>
      </w:r>
      <w:r>
        <w:rPr>
          <w:color w:val="auto"/>
          <w:highlight w:val="none"/>
        </w:rPr>
        <w:t>成立</w:t>
      </w:r>
      <w:r>
        <w:rPr>
          <w:rFonts w:hint="eastAsia"/>
          <w:color w:val="auto"/>
          <w:highlight w:val="none"/>
        </w:rPr>
        <w:t>之日起</w:t>
      </w:r>
      <w:r>
        <w:rPr>
          <w:rFonts w:hint="eastAsia" w:ascii="宋体" w:hAnsi="宋体" w:cs="宋体"/>
          <w:color w:val="auto"/>
          <w:highlight w:val="none"/>
        </w:rPr>
        <w:t>的依法缴纳社会保障资金的</w:t>
      </w:r>
      <w:r>
        <w:rPr>
          <w:rFonts w:hint="eastAsia"/>
          <w:color w:val="auto"/>
          <w:highlight w:val="none"/>
        </w:rPr>
        <w:t>相应证明文件</w:t>
      </w:r>
      <w:r>
        <w:rPr>
          <w:rFonts w:hint="eastAsia" w:ascii="宋体" w:hAnsi="宋体" w:cs="宋体"/>
          <w:color w:val="auto"/>
          <w:highlight w:val="none"/>
        </w:rPr>
        <w:t>）；</w:t>
      </w:r>
      <w:r>
        <w:rPr>
          <w:rFonts w:hint="eastAsia" w:ascii="宋体" w:hAnsi="宋体"/>
          <w:b/>
          <w:color w:val="auto"/>
          <w:highlight w:val="none"/>
        </w:rPr>
        <w:t>[必须提供]</w:t>
      </w:r>
    </w:p>
    <w:p>
      <w:pPr>
        <w:shd w:val="clear"/>
        <w:spacing w:line="440" w:lineRule="exact"/>
        <w:ind w:firstLine="420" w:firstLineChars="200"/>
        <w:rPr>
          <w:rFonts w:ascii="宋体" w:hAnsi="宋体"/>
          <w:b/>
          <w:color w:val="auto"/>
          <w:highlight w:val="none"/>
        </w:rPr>
      </w:pPr>
      <w:r>
        <w:rPr>
          <w:rFonts w:hint="eastAsia" w:ascii="宋体" w:hAnsi="宋体" w:cs="宋体"/>
          <w:color w:val="auto"/>
          <w:highlight w:val="none"/>
        </w:rPr>
        <w:t>4</w:t>
      </w:r>
      <w:r>
        <w:rPr>
          <w:rFonts w:hint="eastAsia" w:ascii="宋体" w:hAnsi="宋体"/>
          <w:color w:val="auto"/>
          <w:highlight w:val="none"/>
        </w:rPr>
        <w:t>）</w:t>
      </w:r>
      <w:r>
        <w:rPr>
          <w:rFonts w:hint="eastAsia" w:ascii="宋体" w:hAnsi="宋体"/>
          <w:bCs/>
          <w:color w:val="auto"/>
          <w:highlight w:val="none"/>
        </w:rPr>
        <w:t>财务状况证明材料</w:t>
      </w:r>
      <w:r>
        <w:rPr>
          <w:rFonts w:hint="eastAsia" w:ascii="宋体" w:hAnsi="宋体"/>
          <w:b/>
          <w:color w:val="auto"/>
          <w:highlight w:val="none"/>
        </w:rPr>
        <w:t>[</w:t>
      </w:r>
      <w:r>
        <w:rPr>
          <w:rFonts w:hint="eastAsia" w:ascii="宋体" w:hAnsi="宋体" w:cs="宋体"/>
          <w:b/>
          <w:color w:val="auto"/>
          <w:highlight w:val="none"/>
        </w:rPr>
        <w:t>2022年度财务报表复印件或者银行出具的资信证明；供应商属于成立时间在规定年度之后的法人或其他组织，需提供成立之日起至响应文件提交截止时间前的月报表或银行出具的资信证明</w:t>
      </w:r>
      <w:r>
        <w:rPr>
          <w:rFonts w:hint="eastAsia" w:ascii="宋体" w:hAnsi="宋体" w:cs="宋体"/>
          <w:b/>
          <w:color w:val="auto"/>
          <w:highlight w:val="none"/>
          <w:lang w:eastAsia="zh-CN"/>
        </w:rPr>
        <w:t>；资信证明应在有效期内，未注明有效期的，银行出具时间至响应文件提交截止时间不超过一年；</w:t>
      </w:r>
      <w:r>
        <w:rPr>
          <w:rFonts w:hint="eastAsia" w:ascii="宋体" w:hAnsi="宋体"/>
          <w:b/>
          <w:color w:val="auto"/>
          <w:highlight w:val="none"/>
        </w:rPr>
        <w:t>格式自拟，必须提供]</w:t>
      </w:r>
    </w:p>
    <w:p>
      <w:pPr>
        <w:shd w:val="clear"/>
        <w:spacing w:line="440" w:lineRule="exact"/>
        <w:ind w:firstLine="420" w:firstLineChars="200"/>
        <w:rPr>
          <w:rFonts w:ascii="宋体" w:hAnsi="宋体" w:cs="宋体"/>
          <w:b/>
          <w:bCs/>
          <w:color w:val="auto"/>
          <w:highlight w:val="none"/>
        </w:rPr>
      </w:pPr>
      <w:r>
        <w:rPr>
          <w:rFonts w:hint="eastAsia" w:ascii="宋体" w:hAnsi="宋体" w:cs="宋体"/>
          <w:color w:val="auto"/>
          <w:highlight w:val="none"/>
        </w:rPr>
        <w:t>5</w:t>
      </w:r>
      <w:r>
        <w:rPr>
          <w:rFonts w:hint="eastAsia" w:ascii="宋体" w:hAnsi="宋体"/>
          <w:color w:val="auto"/>
          <w:highlight w:val="none"/>
        </w:rPr>
        <w:t>）</w:t>
      </w:r>
      <w:r>
        <w:rPr>
          <w:rFonts w:hint="eastAsia" w:ascii="宋体" w:hAnsi="宋体" w:cs="宋体"/>
          <w:color w:val="auto"/>
          <w:highlight w:val="none"/>
        </w:rPr>
        <w:t>供应商直接控股、管理关系信息表；</w:t>
      </w:r>
      <w:r>
        <w:rPr>
          <w:rFonts w:hint="eastAsia" w:ascii="宋体" w:hAnsi="宋体"/>
          <w:b/>
          <w:bCs/>
          <w:color w:val="auto"/>
          <w:kern w:val="0"/>
          <w:highlight w:val="none"/>
        </w:rPr>
        <w:t>（附件</w:t>
      </w:r>
      <w:r>
        <w:rPr>
          <w:rFonts w:hint="eastAsia" w:ascii="宋体" w:hAnsi="宋体"/>
          <w:b/>
          <w:bCs/>
          <w:color w:val="auto"/>
          <w:kern w:val="0"/>
          <w:highlight w:val="none"/>
          <w:lang w:eastAsia="zh-CN"/>
        </w:rPr>
        <w:t>六</w:t>
      </w:r>
      <w:r>
        <w:rPr>
          <w:rFonts w:hint="eastAsia" w:ascii="宋体" w:hAnsi="宋体"/>
          <w:b/>
          <w:bCs/>
          <w:color w:val="auto"/>
          <w:kern w:val="0"/>
          <w:highlight w:val="none"/>
        </w:rPr>
        <w:t>）</w:t>
      </w:r>
      <w:r>
        <w:rPr>
          <w:rFonts w:hint="eastAsia" w:ascii="宋体" w:hAnsi="宋体"/>
          <w:b/>
          <w:color w:val="auto"/>
          <w:highlight w:val="none"/>
        </w:rPr>
        <w:t>[必须提供]</w:t>
      </w:r>
    </w:p>
    <w:p>
      <w:pPr>
        <w:shd w:val="clear"/>
        <w:snapToGrid w:val="0"/>
        <w:spacing w:line="440" w:lineRule="exact"/>
        <w:ind w:firstLine="424" w:firstLineChars="202"/>
        <w:jc w:val="left"/>
        <w:rPr>
          <w:rFonts w:hint="eastAsia" w:ascii="宋体" w:hAnsi="宋体"/>
          <w:b/>
          <w:color w:val="auto"/>
          <w:highlight w:val="none"/>
        </w:rPr>
      </w:pPr>
      <w:r>
        <w:rPr>
          <w:rFonts w:hint="eastAsia" w:ascii="宋体" w:hAnsi="宋体" w:cs="宋体"/>
          <w:color w:val="auto"/>
          <w:highlight w:val="none"/>
        </w:rPr>
        <w:t>6</w:t>
      </w:r>
      <w:r>
        <w:rPr>
          <w:rFonts w:hint="eastAsia" w:ascii="宋体" w:hAnsi="宋体"/>
          <w:color w:val="auto"/>
          <w:highlight w:val="none"/>
        </w:rPr>
        <w:t>）竞标声明</w:t>
      </w:r>
      <w:r>
        <w:rPr>
          <w:rFonts w:hint="eastAsia" w:ascii="宋体" w:hAnsi="宋体"/>
          <w:color w:val="auto"/>
          <w:kern w:val="0"/>
          <w:highlight w:val="none"/>
        </w:rPr>
        <w:t>；</w:t>
      </w:r>
      <w:r>
        <w:rPr>
          <w:rFonts w:hint="eastAsia" w:ascii="宋体" w:hAnsi="宋体"/>
          <w:b/>
          <w:bCs/>
          <w:color w:val="auto"/>
          <w:kern w:val="0"/>
          <w:highlight w:val="none"/>
        </w:rPr>
        <w:t>（附件</w:t>
      </w:r>
      <w:r>
        <w:rPr>
          <w:rFonts w:hint="eastAsia" w:ascii="宋体" w:hAnsi="宋体"/>
          <w:b/>
          <w:bCs/>
          <w:color w:val="auto"/>
          <w:kern w:val="0"/>
          <w:highlight w:val="none"/>
          <w:lang w:eastAsia="zh-CN"/>
        </w:rPr>
        <w:t>七</w:t>
      </w:r>
      <w:r>
        <w:rPr>
          <w:rFonts w:hint="eastAsia" w:ascii="宋体" w:hAnsi="宋体"/>
          <w:b/>
          <w:bCs/>
          <w:color w:val="auto"/>
          <w:kern w:val="0"/>
          <w:highlight w:val="none"/>
        </w:rPr>
        <w:t>）</w:t>
      </w:r>
      <w:r>
        <w:rPr>
          <w:rFonts w:hint="eastAsia" w:ascii="宋体" w:hAnsi="宋体"/>
          <w:b/>
          <w:color w:val="auto"/>
          <w:highlight w:val="none"/>
        </w:rPr>
        <w:t>【必须提供】</w:t>
      </w:r>
    </w:p>
    <w:p>
      <w:pPr>
        <w:shd w:val="clear"/>
        <w:spacing w:line="4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（供应商可在“信用中国”网站（www.creditchina.gov.cn）、中国政府采购网（www.ccgp.gov.cn）查询相关供应商主体信用记录。 </w:t>
      </w:r>
    </w:p>
    <w:p>
      <w:pPr>
        <w:shd w:val="clear"/>
        <w:spacing w:line="4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“信用中国”网站查询方法：供应商在本项目磋商截止时间前10日内,进入供应商基本信息页面，点击“下载信用报告”后点击“下载”。</w:t>
      </w:r>
    </w:p>
    <w:p>
      <w:pPr>
        <w:shd w:val="clear"/>
        <w:spacing w:line="4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中国政府采购网”的查询方法：点击“政府采购严重违法失信行为记录名单”进行查询。页面中的处罚日期不设置起始时间，只设置截止时间，截止时间为本项目磋商截止时间前10日至磋商截止时间中任意一天。</w:t>
      </w:r>
    </w:p>
    <w:p>
      <w:pPr>
        <w:shd w:val="clear"/>
        <w:snapToGrid w:val="0"/>
        <w:spacing w:line="440" w:lineRule="exact"/>
        <w:ind w:firstLine="424" w:firstLineChars="202"/>
        <w:jc w:val="left"/>
        <w:rPr>
          <w:rFonts w:hint="eastAsia" w:ascii="宋体" w:hAnsi="宋体" w:cs="宋体"/>
          <w:color w:val="auto"/>
          <w:kern w:val="0"/>
          <w:highlight w:val="none"/>
        </w:rPr>
      </w:pPr>
      <w:r>
        <w:rPr>
          <w:rFonts w:hint="eastAsia" w:ascii="宋体" w:hAnsi="宋体" w:cs="宋体"/>
          <w:color w:val="auto"/>
          <w:kern w:val="0"/>
          <w:highlight w:val="none"/>
        </w:rPr>
        <w:t>采购人或者采购代理机构</w:t>
      </w:r>
      <w:r>
        <w:rPr>
          <w:rFonts w:hint="eastAsia" w:ascii="宋体" w:hAnsi="宋体" w:cs="宋体"/>
          <w:color w:val="auto"/>
          <w:highlight w:val="none"/>
        </w:rPr>
        <w:t>在资格审查结束前，对供应商进行信用查询，</w:t>
      </w:r>
      <w:r>
        <w:rPr>
          <w:rFonts w:hint="eastAsia" w:ascii="宋体" w:hAnsi="宋体" w:cs="宋体"/>
          <w:color w:val="auto"/>
          <w:kern w:val="0"/>
          <w:highlight w:val="none"/>
        </w:rPr>
        <w:t>并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pPr>
        <w:shd w:val="clear"/>
        <w:snapToGrid w:val="0"/>
        <w:spacing w:line="440" w:lineRule="exact"/>
        <w:ind w:firstLine="424" w:firstLineChars="202"/>
        <w:jc w:val="left"/>
        <w:rPr>
          <w:rFonts w:ascii="宋体" w:hAnsi="宋体" w:cs="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w:t>
      </w:r>
      <w:r>
        <w:rPr>
          <w:rFonts w:hint="eastAsia" w:ascii="宋体" w:hAnsi="宋体" w:cs="宋体"/>
          <w:color w:val="auto"/>
          <w:highlight w:val="none"/>
        </w:rPr>
        <w:t>除竞争性磋商文件规定必须提供以外，供应商认为需要提供的其他证明材料（如有请提供，格式自拟）。</w:t>
      </w:r>
    </w:p>
    <w:p>
      <w:pPr>
        <w:shd w:val="clear"/>
        <w:spacing w:line="440" w:lineRule="exact"/>
        <w:ind w:firstLine="422" w:firstLineChars="200"/>
        <w:rPr>
          <w:rFonts w:ascii="宋体" w:hAnsi="宋体"/>
          <w:bCs/>
          <w:color w:val="auto"/>
          <w:highlight w:val="none"/>
        </w:rPr>
      </w:pPr>
      <w:r>
        <w:rPr>
          <w:rFonts w:hint="eastAsia" w:ascii="宋体" w:hAnsi="宋体"/>
          <w:b/>
          <w:color w:val="auto"/>
          <w:highlight w:val="none"/>
        </w:rPr>
        <w:t>5.5.</w:t>
      </w:r>
      <w:r>
        <w:rPr>
          <w:rFonts w:hint="eastAsia" w:ascii="宋体" w:hAnsi="宋体"/>
          <w:b/>
          <w:color w:val="auto"/>
          <w:highlight w:val="none"/>
          <w:lang w:val="en-US" w:eastAsia="zh-CN"/>
        </w:rPr>
        <w:t>3</w:t>
      </w:r>
      <w:r>
        <w:rPr>
          <w:rFonts w:hint="eastAsia" w:ascii="宋体" w:hAnsi="宋体"/>
          <w:b/>
          <w:color w:val="auto"/>
          <w:highlight w:val="none"/>
        </w:rPr>
        <w:t xml:space="preserve"> 商务技术文件（应该有的必须提供,如未提供,磋商小组有权拒绝其竞争性磋商响应文件） </w:t>
      </w:r>
    </w:p>
    <w:p>
      <w:pPr>
        <w:shd w:val="clear"/>
        <w:snapToGrid w:val="0"/>
        <w:spacing w:line="360" w:lineRule="auto"/>
        <w:ind w:firstLine="420" w:firstLineChars="200"/>
        <w:rPr>
          <w:rFonts w:ascii="宋体" w:hAnsi="宋体"/>
          <w:b/>
          <w:color w:val="auto"/>
          <w:highlight w:val="none"/>
        </w:rPr>
      </w:pPr>
      <w:r>
        <w:rPr>
          <w:rFonts w:hint="eastAsia" w:ascii="宋体" w:hAnsi="宋体"/>
          <w:bCs/>
          <w:color w:val="auto"/>
          <w:highlight w:val="none"/>
        </w:rPr>
        <w:t>1）商务、技术响应、偏离情况说明表（附件四）；</w:t>
      </w:r>
      <w:r>
        <w:rPr>
          <w:rFonts w:hint="eastAsia" w:ascii="宋体" w:hAnsi="宋体"/>
          <w:b/>
          <w:color w:val="auto"/>
          <w:highlight w:val="none"/>
        </w:rPr>
        <w:t>[必须提供]</w:t>
      </w:r>
    </w:p>
    <w:p>
      <w:pPr>
        <w:pStyle w:val="26"/>
        <w:shd w:val="clear"/>
        <w:spacing w:line="360" w:lineRule="auto"/>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①商务响应、偏离情况说明表</w:t>
      </w:r>
    </w:p>
    <w:p>
      <w:pPr>
        <w:shd w:val="clear"/>
        <w:snapToGrid w:val="0"/>
        <w:spacing w:line="360" w:lineRule="auto"/>
        <w:ind w:firstLine="630" w:firstLineChars="300"/>
        <w:rPr>
          <w:rFonts w:ascii="宋体" w:hAnsi="宋体"/>
          <w:bCs/>
          <w:color w:val="auto"/>
          <w:highlight w:val="none"/>
        </w:rPr>
      </w:pPr>
      <w:r>
        <w:rPr>
          <w:rFonts w:hint="eastAsia" w:ascii="宋体" w:hAnsi="宋体"/>
          <w:bCs/>
          <w:color w:val="auto"/>
          <w:highlight w:val="none"/>
        </w:rPr>
        <w:t>②技术响应、偏离情况说明表</w:t>
      </w:r>
    </w:p>
    <w:p>
      <w:pPr>
        <w:shd w:val="clear"/>
        <w:snapToGrid w:val="0"/>
        <w:spacing w:line="360" w:lineRule="auto"/>
        <w:ind w:firstLine="420" w:firstLineChars="200"/>
        <w:rPr>
          <w:rFonts w:ascii="宋体" w:hAnsi="宋体"/>
          <w:bCs/>
          <w:color w:val="auto"/>
          <w:highlight w:val="none"/>
        </w:rPr>
      </w:pPr>
      <w:r>
        <w:rPr>
          <w:rFonts w:hint="eastAsia" w:ascii="宋体" w:hAnsi="宋体"/>
          <w:bCs/>
          <w:color w:val="auto"/>
          <w:highlight w:val="none"/>
        </w:rPr>
        <w:t>2）法定代表人(负责人)授权委托书原件和委托代理人身份证</w:t>
      </w:r>
      <w:r>
        <w:rPr>
          <w:rFonts w:hint="eastAsia" w:ascii="宋体" w:hAnsi="宋体"/>
          <w:color w:val="auto"/>
          <w:highlight w:val="none"/>
        </w:rPr>
        <w:t>复印件</w:t>
      </w:r>
      <w:r>
        <w:rPr>
          <w:rFonts w:hint="eastAsia" w:ascii="宋体" w:hAnsi="宋体"/>
          <w:bCs/>
          <w:color w:val="auto"/>
          <w:highlight w:val="none"/>
        </w:rPr>
        <w:t>；（附件五）</w:t>
      </w:r>
      <w:r>
        <w:rPr>
          <w:rFonts w:hint="eastAsia" w:ascii="宋体" w:hAnsi="宋体"/>
          <w:b/>
          <w:color w:val="auto"/>
          <w:highlight w:val="none"/>
        </w:rPr>
        <w:t>[委托代理时必须提供]；</w:t>
      </w:r>
    </w:p>
    <w:p>
      <w:pPr>
        <w:shd w:val="clear"/>
        <w:snapToGrid w:val="0"/>
        <w:spacing w:line="360" w:lineRule="auto"/>
        <w:ind w:firstLine="420" w:firstLineChars="200"/>
        <w:rPr>
          <w:rFonts w:ascii="宋体" w:hAnsi="宋体"/>
          <w:bCs/>
          <w:color w:val="auto"/>
          <w:highlight w:val="none"/>
        </w:rPr>
      </w:pPr>
      <w:r>
        <w:rPr>
          <w:rFonts w:hint="eastAsia" w:ascii="宋体" w:hAnsi="宋体"/>
          <w:bCs/>
          <w:color w:val="auto"/>
          <w:highlight w:val="none"/>
        </w:rPr>
        <w:t>3）法定代表人(负责人)身份证</w:t>
      </w:r>
      <w:r>
        <w:rPr>
          <w:rFonts w:hint="eastAsia" w:ascii="宋体" w:hAnsi="宋体"/>
          <w:color w:val="auto"/>
          <w:highlight w:val="none"/>
        </w:rPr>
        <w:t>复印件</w:t>
      </w:r>
      <w:r>
        <w:rPr>
          <w:rFonts w:hint="eastAsia" w:ascii="宋体" w:hAnsi="宋体"/>
          <w:bCs/>
          <w:color w:val="auto"/>
          <w:highlight w:val="none"/>
        </w:rPr>
        <w:t>；</w:t>
      </w:r>
      <w:r>
        <w:rPr>
          <w:rFonts w:hint="eastAsia" w:ascii="宋体" w:hAnsi="宋体"/>
          <w:b/>
          <w:color w:val="auto"/>
          <w:highlight w:val="none"/>
        </w:rPr>
        <w:t>[必须提供]</w:t>
      </w:r>
    </w:p>
    <w:p>
      <w:pPr>
        <w:shd w:val="clear"/>
        <w:snapToGrid w:val="0"/>
        <w:spacing w:line="360" w:lineRule="auto"/>
        <w:ind w:firstLine="420" w:firstLineChars="200"/>
        <w:rPr>
          <w:rFonts w:ascii="宋体" w:hAnsi="宋体"/>
          <w:b/>
          <w:color w:val="auto"/>
          <w:highlight w:val="none"/>
        </w:rPr>
      </w:pPr>
      <w:r>
        <w:rPr>
          <w:rFonts w:hint="eastAsia" w:ascii="宋体" w:hAnsi="宋体"/>
          <w:color w:val="auto"/>
          <w:highlight w:val="none"/>
        </w:rPr>
        <w:t>4）售后服务承诺书；（内容可以是提供的切实可行的服务和承诺）</w:t>
      </w:r>
      <w:r>
        <w:rPr>
          <w:rFonts w:hint="eastAsia" w:ascii="宋体" w:hAnsi="宋体"/>
          <w:b/>
          <w:color w:val="auto"/>
          <w:highlight w:val="none"/>
        </w:rPr>
        <w:t>[格式自拟，必须提供]</w:t>
      </w:r>
    </w:p>
    <w:p>
      <w:pPr>
        <w:shd w:val="clear"/>
        <w:snapToGrid w:val="0"/>
        <w:spacing w:line="360" w:lineRule="auto"/>
        <w:ind w:firstLine="420" w:firstLineChars="200"/>
        <w:rPr>
          <w:rFonts w:ascii="宋体" w:hAnsi="宋体"/>
          <w:bCs/>
          <w:color w:val="auto"/>
          <w:highlight w:val="none"/>
        </w:rPr>
      </w:pPr>
      <w:r>
        <w:rPr>
          <w:rFonts w:hint="eastAsia"/>
          <w:color w:val="auto"/>
          <w:highlight w:val="none"/>
        </w:rPr>
        <w:t>5）服务检验、测试、验收执行的标准；</w:t>
      </w:r>
    </w:p>
    <w:p>
      <w:pPr>
        <w:shd w:val="clear"/>
        <w:snapToGrid w:val="0"/>
        <w:spacing w:line="360" w:lineRule="auto"/>
        <w:ind w:firstLine="420" w:firstLineChars="200"/>
        <w:rPr>
          <w:rFonts w:ascii="宋体" w:hAnsi="宋体"/>
          <w:color w:val="auto"/>
          <w:highlight w:val="none"/>
        </w:rPr>
      </w:pPr>
      <w:r>
        <w:rPr>
          <w:rFonts w:hint="eastAsia" w:ascii="宋体" w:hAnsi="宋体"/>
          <w:color w:val="auto"/>
          <w:highlight w:val="none"/>
        </w:rPr>
        <w:t>6）</w:t>
      </w:r>
      <w:r>
        <w:rPr>
          <w:rFonts w:hint="eastAsia" w:ascii="宋体" w:hAnsi="宋体" w:eastAsia="宋体" w:cs="Times New Roman"/>
          <w:color w:val="auto"/>
          <w:highlight w:val="none"/>
        </w:rPr>
        <w:t>服务</w:t>
      </w:r>
      <w:r>
        <w:rPr>
          <w:rFonts w:hint="eastAsia" w:ascii="宋体" w:hAnsi="宋体" w:cs="Times New Roman"/>
          <w:color w:val="auto"/>
          <w:highlight w:val="none"/>
          <w:lang w:eastAsia="zh-CN"/>
        </w:rPr>
        <w:t>方案</w:t>
      </w:r>
      <w:r>
        <w:rPr>
          <w:rFonts w:hint="eastAsia" w:ascii="宋体" w:hAnsi="宋体" w:eastAsia="宋体" w:cs="Times New Roman"/>
          <w:color w:val="auto"/>
          <w:highlight w:val="none"/>
        </w:rPr>
        <w:t>；</w:t>
      </w:r>
    </w:p>
    <w:p>
      <w:pPr>
        <w:shd w:val="clear"/>
        <w:snapToGrid w:val="0"/>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7）服务保证措施；</w:t>
      </w:r>
    </w:p>
    <w:p>
      <w:pPr>
        <w:shd w:val="clear"/>
        <w:snapToGrid w:val="0"/>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8）供应商认为需要提供的有关资料。</w:t>
      </w:r>
    </w:p>
    <w:p>
      <w:pPr>
        <w:shd w:val="clear"/>
        <w:snapToGrid w:val="0"/>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9）磋商保证金提交凭证</w:t>
      </w:r>
      <w:r>
        <w:rPr>
          <w:rFonts w:hint="eastAsia" w:ascii="宋体" w:hAnsi="宋体" w:eastAsia="宋体" w:cs="Times New Roman"/>
          <w:b/>
          <w:bCs/>
          <w:color w:val="auto"/>
          <w:highlight w:val="none"/>
        </w:rPr>
        <w:t>[必须提供]。</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6. 计量单位</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6.1除技术要求中另有规定外，本文件所要求使用的计量单位均应采用国家法定计量单位。</w:t>
      </w:r>
    </w:p>
    <w:p>
      <w:pPr>
        <w:shd w:val="clear"/>
        <w:spacing w:line="440" w:lineRule="exact"/>
        <w:ind w:firstLine="422" w:firstLineChars="200"/>
        <w:rPr>
          <w:rFonts w:ascii="宋体" w:hAnsi="宋体"/>
          <w:b/>
          <w:bCs/>
          <w:color w:val="auto"/>
          <w:highlight w:val="none"/>
        </w:rPr>
      </w:pPr>
      <w:r>
        <w:rPr>
          <w:rFonts w:hint="eastAsia" w:ascii="宋体" w:hAnsi="宋体"/>
          <w:b/>
          <w:bCs/>
          <w:color w:val="auto"/>
          <w:highlight w:val="none"/>
        </w:rPr>
        <w:t>三、报价要求</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7.1对于本文件中未列明，而供应商认为必需的费用也需列入竞标报价。在合同实施时，采购人将不予支付成交供应商没有列入的项目费用，并认为此项目的费用已包括在竞标报价中。</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7.2成交供应商负责本项目</w:t>
      </w:r>
      <w:r>
        <w:rPr>
          <w:rFonts w:hint="eastAsia" w:ascii="宋体" w:hAnsi="宋体" w:cs="宋体"/>
          <w:color w:val="auto"/>
          <w:highlight w:val="none"/>
        </w:rPr>
        <w:t>所成交分标</w:t>
      </w:r>
      <w:r>
        <w:rPr>
          <w:rFonts w:hint="eastAsia" w:ascii="宋体" w:hAnsi="宋体"/>
          <w:color w:val="auto"/>
          <w:highlight w:val="none"/>
        </w:rPr>
        <w:t>所需服务的全部工作。</w:t>
      </w:r>
    </w:p>
    <w:p>
      <w:pPr>
        <w:pStyle w:val="21"/>
        <w:shd w:val="clear"/>
        <w:spacing w:line="440" w:lineRule="exact"/>
        <w:ind w:firstLine="420"/>
        <w:rPr>
          <w:rFonts w:hAnsi="宋体"/>
          <w:color w:val="auto"/>
          <w:highlight w:val="none"/>
        </w:rPr>
      </w:pPr>
      <w:r>
        <w:rPr>
          <w:rFonts w:hint="eastAsia" w:hAnsi="宋体"/>
          <w:color w:val="auto"/>
          <w:highlight w:val="none"/>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7.4报价：供应商就</w:t>
      </w:r>
      <w:r>
        <w:rPr>
          <w:rFonts w:hint="eastAsia" w:ascii="宋体" w:hAnsi="宋体" w:cs="宋体"/>
          <w:color w:val="auto"/>
          <w:highlight w:val="none"/>
        </w:rPr>
        <w:t>所参与分标</w:t>
      </w:r>
      <w:r>
        <w:rPr>
          <w:rFonts w:hint="eastAsia" w:ascii="宋体" w:hAnsi="宋体"/>
          <w:color w:val="auto"/>
          <w:highlight w:val="none"/>
        </w:rPr>
        <w:t>《采购需求》中的服务内容作完整唯一报价。</w:t>
      </w:r>
    </w:p>
    <w:p>
      <w:pPr>
        <w:widowControl/>
        <w:shd w:val="clear"/>
        <w:spacing w:line="440" w:lineRule="exact"/>
        <w:ind w:firstLine="422" w:firstLineChars="200"/>
        <w:jc w:val="left"/>
        <w:rPr>
          <w:rFonts w:ascii="宋体" w:hAnsi="宋体"/>
          <w:b/>
          <w:bCs/>
          <w:color w:val="auto"/>
          <w:highlight w:val="none"/>
        </w:rPr>
      </w:pPr>
      <w:r>
        <w:rPr>
          <w:rFonts w:hint="eastAsia" w:ascii="宋体" w:hAnsi="宋体"/>
          <w:b/>
          <w:bCs/>
          <w:color w:val="auto"/>
          <w:highlight w:val="none"/>
        </w:rPr>
        <w:t>四、</w:t>
      </w:r>
      <w:r>
        <w:rPr>
          <w:rFonts w:hint="eastAsia" w:ascii="宋体" w:hAnsi="宋体"/>
          <w:b/>
          <w:color w:val="auto"/>
          <w:highlight w:val="none"/>
        </w:rPr>
        <w:t>竞争性磋商响应文件的份数、封装和递交</w:t>
      </w:r>
    </w:p>
    <w:p>
      <w:pPr>
        <w:shd w:val="clear"/>
        <w:spacing w:line="440" w:lineRule="exact"/>
        <w:ind w:firstLine="420" w:firstLineChars="200"/>
        <w:rPr>
          <w:rFonts w:ascii="宋体" w:hAnsi="宋体"/>
          <w:color w:val="auto"/>
          <w:highlight w:val="none"/>
        </w:rPr>
      </w:pPr>
      <w:r>
        <w:rPr>
          <w:rFonts w:hint="eastAsia" w:ascii="宋体" w:hAnsi="宋体"/>
          <w:color w:val="auto"/>
          <w:highlight w:val="none"/>
        </w:rPr>
        <w:t>8. 竞争性磋商响应文件的份数和封装</w:t>
      </w:r>
    </w:p>
    <w:p>
      <w:pPr>
        <w:pStyle w:val="21"/>
        <w:shd w:val="clear"/>
        <w:spacing w:line="440" w:lineRule="exact"/>
        <w:ind w:firstLine="420"/>
        <w:rPr>
          <w:rFonts w:hAnsi="宋体"/>
          <w:color w:val="auto"/>
          <w:highlight w:val="none"/>
        </w:rPr>
      </w:pPr>
      <w:r>
        <w:rPr>
          <w:rFonts w:hint="eastAsia" w:hAnsi="宋体"/>
          <w:color w:val="auto"/>
          <w:highlight w:val="none"/>
        </w:rPr>
        <w:t>8.1供应商应将竞争性磋商响应文件中“价格文件”和“资格证明文件”、“商务技术文件”装订成一本（三文件相隔之间用封面标识，封面写明“价格文件”、“资格证明文件”、“商务技术文件”字样）。</w:t>
      </w:r>
    </w:p>
    <w:p>
      <w:pPr>
        <w:pStyle w:val="21"/>
        <w:shd w:val="clear"/>
        <w:spacing w:line="440" w:lineRule="exact"/>
        <w:ind w:firstLine="420"/>
        <w:rPr>
          <w:rFonts w:hAnsi="宋体"/>
          <w:color w:val="auto"/>
          <w:highlight w:val="none"/>
        </w:rPr>
      </w:pPr>
      <w:r>
        <w:rPr>
          <w:rFonts w:hint="eastAsia" w:hAnsi="宋体"/>
          <w:color w:val="auto"/>
          <w:highlight w:val="none"/>
        </w:rPr>
        <w:t>供应商将竞争性磋商响应文件按正、副本分别装订成册，在每个正、副本封面上标明“正本”或“副本”，以及项目名称、项目编号、供应商名称、供应商地址</w:t>
      </w:r>
      <w:r>
        <w:rPr>
          <w:rFonts w:hint="eastAsia" w:hAnsi="宋体"/>
          <w:color w:val="auto"/>
          <w:highlight w:val="none"/>
          <w:lang w:eastAsia="zh-CN"/>
        </w:rPr>
        <w:t>、分标号</w:t>
      </w:r>
      <w:r>
        <w:rPr>
          <w:rFonts w:hint="eastAsia" w:hAnsi="宋体"/>
          <w:color w:val="auto"/>
          <w:highlight w:val="none"/>
        </w:rPr>
        <w:t xml:space="preserve">等内容。 </w:t>
      </w:r>
    </w:p>
    <w:p>
      <w:pPr>
        <w:pStyle w:val="21"/>
        <w:shd w:val="clear"/>
        <w:spacing w:line="440" w:lineRule="exact"/>
        <w:ind w:firstLine="420"/>
        <w:rPr>
          <w:rFonts w:hAnsi="宋体"/>
          <w:color w:val="auto"/>
          <w:highlight w:val="none"/>
        </w:rPr>
      </w:pPr>
      <w:r>
        <w:rPr>
          <w:rFonts w:hint="eastAsia" w:hAnsi="宋体"/>
          <w:color w:val="auto"/>
          <w:highlight w:val="none"/>
        </w:rPr>
        <w:t>8.2供应商应将竞争性磋商响应文件正、副本（正本一份，副本四份）并附竞争性磋商响应文件电子版U盘1份(U盘封面请注明项目名称、项目编号</w:t>
      </w:r>
      <w:r>
        <w:rPr>
          <w:rFonts w:hint="eastAsia" w:hAnsi="宋体"/>
          <w:color w:val="auto"/>
          <w:highlight w:val="none"/>
          <w:lang w:eastAsia="zh-CN"/>
        </w:rPr>
        <w:t>、分标号</w:t>
      </w:r>
      <w:r>
        <w:rPr>
          <w:rFonts w:hint="eastAsia" w:hAnsi="宋体"/>
          <w:color w:val="auto"/>
          <w:highlight w:val="none"/>
        </w:rPr>
        <w:t>及磋商供应商名称)装入到一个竞争性磋商响应文件袋内，封装并加以密封（要求竞争性磋商响应文件袋无明显缝隙露出袋内文件）；</w:t>
      </w:r>
    </w:p>
    <w:p>
      <w:pPr>
        <w:pStyle w:val="21"/>
        <w:shd w:val="clear"/>
        <w:spacing w:line="440" w:lineRule="exact"/>
        <w:ind w:firstLine="420"/>
        <w:rPr>
          <w:rFonts w:hAnsi="宋体"/>
          <w:color w:val="auto"/>
          <w:highlight w:val="none"/>
        </w:rPr>
      </w:pPr>
      <w:r>
        <w:rPr>
          <w:rFonts w:hint="eastAsia" w:hAnsi="宋体"/>
          <w:color w:val="auto"/>
          <w:highlight w:val="none"/>
        </w:rPr>
        <w:t>文件袋外层封面上应写明：</w:t>
      </w:r>
    </w:p>
    <w:p>
      <w:pPr>
        <w:pStyle w:val="21"/>
        <w:shd w:val="clear"/>
        <w:spacing w:line="440" w:lineRule="exact"/>
        <w:ind w:firstLine="420"/>
        <w:rPr>
          <w:rFonts w:hAnsi="宋体"/>
          <w:color w:val="auto"/>
          <w:highlight w:val="none"/>
        </w:rPr>
      </w:pPr>
      <w:r>
        <w:rPr>
          <w:rFonts w:hint="eastAsia" w:hAnsi="宋体"/>
          <w:color w:val="auto"/>
          <w:highlight w:val="none"/>
        </w:rPr>
        <w:t>1）项目名称：</w:t>
      </w:r>
    </w:p>
    <w:p>
      <w:pPr>
        <w:pStyle w:val="21"/>
        <w:shd w:val="clear"/>
        <w:spacing w:line="440" w:lineRule="exact"/>
        <w:ind w:firstLine="420"/>
        <w:rPr>
          <w:rFonts w:hAnsi="宋体"/>
          <w:color w:val="auto"/>
          <w:highlight w:val="none"/>
        </w:rPr>
      </w:pPr>
      <w:r>
        <w:rPr>
          <w:rFonts w:hint="eastAsia" w:hAnsi="宋体"/>
          <w:color w:val="auto"/>
          <w:highlight w:val="none"/>
        </w:rPr>
        <w:t>2）项目编号：</w:t>
      </w:r>
    </w:p>
    <w:p>
      <w:pPr>
        <w:pStyle w:val="21"/>
        <w:shd w:val="clear"/>
        <w:spacing w:line="440" w:lineRule="exact"/>
        <w:ind w:firstLine="420"/>
        <w:rPr>
          <w:rFonts w:hAnsi="宋体"/>
          <w:color w:val="auto"/>
          <w:highlight w:val="none"/>
        </w:rPr>
      </w:pPr>
      <w:r>
        <w:rPr>
          <w:rFonts w:hint="eastAsia" w:hAnsi="宋体"/>
          <w:color w:val="auto"/>
          <w:highlight w:val="none"/>
        </w:rPr>
        <w:t>3）分标号：</w:t>
      </w:r>
    </w:p>
    <w:p>
      <w:pPr>
        <w:pStyle w:val="21"/>
        <w:shd w:val="clear"/>
        <w:spacing w:line="440" w:lineRule="exact"/>
        <w:ind w:firstLine="420"/>
        <w:rPr>
          <w:rFonts w:hAnsi="宋体"/>
          <w:color w:val="auto"/>
          <w:highlight w:val="none"/>
        </w:rPr>
      </w:pPr>
      <w:r>
        <w:rPr>
          <w:rFonts w:hint="eastAsia" w:hAnsi="宋体"/>
          <w:color w:val="auto"/>
          <w:highlight w:val="none"/>
        </w:rPr>
        <w:t>4）供应商名称：</w:t>
      </w:r>
    </w:p>
    <w:p>
      <w:pPr>
        <w:pStyle w:val="21"/>
        <w:shd w:val="clear"/>
        <w:spacing w:line="440" w:lineRule="exact"/>
        <w:ind w:firstLine="420"/>
        <w:rPr>
          <w:rFonts w:hAnsi="宋体"/>
          <w:bCs/>
          <w:color w:val="auto"/>
          <w:highlight w:val="none"/>
        </w:rPr>
      </w:pPr>
      <w:r>
        <w:rPr>
          <w:rFonts w:hint="eastAsia" w:hAnsi="宋体"/>
          <w:color w:val="auto"/>
          <w:highlight w:val="none"/>
        </w:rPr>
        <w:t>5）（截标时才能启封）</w:t>
      </w:r>
    </w:p>
    <w:p>
      <w:pPr>
        <w:widowControl/>
        <w:shd w:val="clear"/>
        <w:spacing w:line="440" w:lineRule="exact"/>
        <w:ind w:firstLine="420" w:firstLineChars="200"/>
        <w:jc w:val="left"/>
        <w:rPr>
          <w:rFonts w:ascii="宋体" w:hAnsi="宋体"/>
          <w:bCs/>
          <w:color w:val="auto"/>
          <w:highlight w:val="none"/>
        </w:rPr>
      </w:pPr>
      <w:r>
        <w:rPr>
          <w:rFonts w:hint="eastAsia" w:ascii="宋体" w:hAnsi="宋体"/>
          <w:bCs/>
          <w:color w:val="auto"/>
          <w:highlight w:val="none"/>
        </w:rPr>
        <w:t>9. 磋商响应文件的修改、撤回：供应商应当在截止时间前完成响应文件的提交，并可以补充、修改或者撤回响应文件。补充或者修改响应文件的，应当先行撤回原文件，补充、修改后重新递交。截止时间前未递交的，视为撤回响应文件。截止时间后递交的响应文件，采购代理机构将予以拒收。截止时间后，供应商不得撤回、修改响应文件。</w:t>
      </w:r>
    </w:p>
    <w:p>
      <w:pPr>
        <w:widowControl/>
        <w:shd w:val="clear"/>
        <w:spacing w:line="440" w:lineRule="exact"/>
        <w:ind w:firstLine="420" w:firstLineChars="200"/>
        <w:jc w:val="left"/>
        <w:rPr>
          <w:rFonts w:ascii="宋体" w:hAnsi="宋体"/>
          <w:bCs/>
          <w:color w:val="auto"/>
          <w:highlight w:val="none"/>
        </w:rPr>
      </w:pPr>
      <w:r>
        <w:rPr>
          <w:rFonts w:hint="eastAsia" w:ascii="宋体" w:hAnsi="宋体"/>
          <w:bCs/>
          <w:color w:val="auto"/>
          <w:highlight w:val="none"/>
        </w:rPr>
        <w:t>10.保证金说明及要求</w:t>
      </w:r>
    </w:p>
    <w:p>
      <w:pPr>
        <w:widowControl/>
        <w:shd w:val="clear"/>
        <w:spacing w:line="440" w:lineRule="exact"/>
        <w:ind w:firstLine="420" w:firstLineChars="200"/>
        <w:jc w:val="left"/>
        <w:rPr>
          <w:rFonts w:ascii="宋体" w:hAnsi="宋体"/>
          <w:bCs/>
          <w:color w:val="auto"/>
          <w:highlight w:val="none"/>
        </w:rPr>
      </w:pPr>
      <w:r>
        <w:rPr>
          <w:rFonts w:hint="eastAsia" w:ascii="宋体" w:hAnsi="宋体"/>
          <w:bCs/>
          <w:color w:val="auto"/>
          <w:highlight w:val="none"/>
        </w:rPr>
        <w:t>10.1保证金应用人民币：具体金额详见采购公告。</w:t>
      </w:r>
    </w:p>
    <w:p>
      <w:pPr>
        <w:widowControl/>
        <w:shd w:val="clear"/>
        <w:spacing w:line="440" w:lineRule="exact"/>
        <w:ind w:firstLine="420" w:firstLineChars="200"/>
        <w:jc w:val="left"/>
        <w:rPr>
          <w:rFonts w:ascii="宋体" w:hAnsi="宋体"/>
          <w:bCs/>
          <w:color w:val="auto"/>
          <w:highlight w:val="none"/>
        </w:rPr>
      </w:pPr>
      <w:r>
        <w:rPr>
          <w:rFonts w:hint="eastAsia" w:ascii="宋体" w:hAnsi="宋体"/>
          <w:bCs/>
          <w:color w:val="auto"/>
          <w:highlight w:val="none"/>
        </w:rPr>
        <w:t>10.2 保证金交纳方式：支票、汇票、本票、网上银行或者银行、保险机构出具的保函等非现金形式交纳。</w:t>
      </w:r>
    </w:p>
    <w:p>
      <w:pPr>
        <w:widowControl/>
        <w:shd w:val="clear"/>
        <w:spacing w:line="440" w:lineRule="exact"/>
        <w:ind w:firstLine="420" w:firstLineChars="200"/>
        <w:jc w:val="left"/>
        <w:rPr>
          <w:rFonts w:ascii="宋体" w:hAnsi="宋体"/>
          <w:bCs/>
          <w:color w:val="auto"/>
          <w:highlight w:val="none"/>
        </w:rPr>
      </w:pPr>
      <w:r>
        <w:rPr>
          <w:rFonts w:hint="eastAsia" w:ascii="宋体" w:hAnsi="宋体"/>
          <w:bCs/>
          <w:color w:val="auto"/>
          <w:highlight w:val="none"/>
        </w:rPr>
        <w:t>10.3办理保证金手续时，请务必在银行相关票据（非现金）或凭证的用途或空白栏上注明项目名称及项目编号，以免耽误竞争性磋商。</w:t>
      </w:r>
    </w:p>
    <w:p>
      <w:pPr>
        <w:widowControl/>
        <w:shd w:val="clear"/>
        <w:spacing w:line="440" w:lineRule="exact"/>
        <w:ind w:firstLine="420" w:firstLineChars="200"/>
        <w:jc w:val="left"/>
        <w:rPr>
          <w:rFonts w:ascii="宋体" w:hAnsi="宋体"/>
          <w:bCs/>
          <w:color w:val="auto"/>
          <w:highlight w:val="none"/>
        </w:rPr>
      </w:pPr>
      <w:r>
        <w:rPr>
          <w:rFonts w:hint="eastAsia" w:ascii="宋体" w:hAnsi="宋体"/>
          <w:bCs/>
          <w:color w:val="auto"/>
          <w:highlight w:val="none"/>
        </w:rPr>
        <w:t>10.4保证金相关事宜：电话：</w:t>
      </w:r>
      <w:r>
        <w:rPr>
          <w:rFonts w:hint="eastAsia" w:ascii="宋体" w:hAnsi="宋体"/>
          <w:color w:val="auto"/>
          <w:kern w:val="0"/>
          <w:highlight w:val="none"/>
        </w:rPr>
        <w:t>0771-5382528</w:t>
      </w:r>
      <w:r>
        <w:rPr>
          <w:rFonts w:hint="eastAsia" w:ascii="宋体" w:hAnsi="宋体"/>
          <w:bCs/>
          <w:color w:val="auto"/>
          <w:highlight w:val="none"/>
        </w:rPr>
        <w:t>，地址：南宁市东葛路118号青秀万达写字楼银座8楼808室。</w:t>
      </w:r>
    </w:p>
    <w:p>
      <w:pPr>
        <w:widowControl/>
        <w:shd w:val="clear"/>
        <w:spacing w:line="440" w:lineRule="exact"/>
        <w:ind w:firstLine="420" w:firstLineChars="200"/>
        <w:jc w:val="left"/>
        <w:rPr>
          <w:rFonts w:ascii="宋体" w:hAnsi="宋体"/>
          <w:bCs/>
          <w:color w:val="auto"/>
          <w:highlight w:val="none"/>
        </w:rPr>
      </w:pPr>
      <w:r>
        <w:rPr>
          <w:rFonts w:hint="eastAsia" w:ascii="宋体" w:hAnsi="宋体"/>
          <w:bCs/>
          <w:color w:val="auto"/>
          <w:highlight w:val="none"/>
        </w:rPr>
        <w:t>10.5未成交供应商的保证金，将在成交通知书发出后五个工作日内予以退还，不计利息。</w:t>
      </w:r>
    </w:p>
    <w:p>
      <w:pPr>
        <w:widowControl/>
        <w:shd w:val="clear"/>
        <w:spacing w:line="440" w:lineRule="exact"/>
        <w:ind w:firstLine="420" w:firstLineChars="200"/>
        <w:jc w:val="left"/>
        <w:rPr>
          <w:rFonts w:ascii="宋体" w:hAnsi="宋体"/>
          <w:bCs/>
          <w:color w:val="auto"/>
          <w:highlight w:val="none"/>
        </w:rPr>
      </w:pPr>
      <w:r>
        <w:rPr>
          <w:rFonts w:hint="eastAsia" w:ascii="宋体" w:hAnsi="宋体"/>
          <w:bCs/>
          <w:color w:val="auto"/>
          <w:highlight w:val="none"/>
        </w:rPr>
        <w:t>成交人的保证金在合同签订后五个工作日内退还（合同签订后送达采购代理机构），不计利息。</w:t>
      </w:r>
    </w:p>
    <w:p>
      <w:pPr>
        <w:widowControl/>
        <w:shd w:val="clear"/>
        <w:spacing w:line="440" w:lineRule="exact"/>
        <w:ind w:firstLine="420" w:firstLineChars="200"/>
        <w:jc w:val="left"/>
        <w:rPr>
          <w:rFonts w:ascii="宋体" w:hAnsi="宋体"/>
          <w:color w:val="auto"/>
          <w:highlight w:val="none"/>
        </w:rPr>
      </w:pPr>
      <w:r>
        <w:rPr>
          <w:rFonts w:hint="eastAsia" w:ascii="宋体" w:hAnsi="宋体"/>
          <w:bCs/>
          <w:color w:val="auto"/>
          <w:highlight w:val="none"/>
        </w:rPr>
        <w:t>10.6对应交未交保证金的竞争性磋商响应文件，将会在评审中按照无效竞争性磋商响应文件处理。</w:t>
      </w:r>
    </w:p>
    <w:p>
      <w:pPr>
        <w:shd w:val="clear"/>
        <w:snapToGrid w:val="0"/>
        <w:spacing w:line="440" w:lineRule="exact"/>
        <w:ind w:firstLine="413" w:firstLineChars="196"/>
        <w:jc w:val="left"/>
        <w:rPr>
          <w:rFonts w:ascii="宋体" w:hAnsi="宋体"/>
          <w:b/>
          <w:bCs/>
          <w:color w:val="auto"/>
          <w:highlight w:val="none"/>
        </w:rPr>
      </w:pPr>
      <w:r>
        <w:rPr>
          <w:rFonts w:hint="eastAsia" w:ascii="宋体" w:hAnsi="宋体"/>
          <w:b/>
          <w:bCs/>
          <w:color w:val="auto"/>
          <w:highlight w:val="none"/>
        </w:rPr>
        <w:t>（说明：评审时，磋商小组将以采购代理机构编制的《竞争性磋商保证金收缴情况表》作为评审依据）。</w:t>
      </w:r>
    </w:p>
    <w:p>
      <w:pPr>
        <w:shd w:val="clear"/>
        <w:snapToGrid w:val="0"/>
        <w:spacing w:line="440" w:lineRule="exact"/>
        <w:ind w:firstLine="413" w:firstLineChars="196"/>
        <w:jc w:val="left"/>
        <w:rPr>
          <w:rFonts w:ascii="宋体" w:hAnsi="宋体"/>
          <w:b/>
          <w:bCs/>
          <w:color w:val="auto"/>
          <w:highlight w:val="none"/>
        </w:rPr>
      </w:pPr>
      <w:r>
        <w:rPr>
          <w:rFonts w:hint="eastAsia" w:ascii="宋体" w:hAnsi="宋体"/>
          <w:b/>
          <w:bCs/>
          <w:color w:val="auto"/>
          <w:highlight w:val="none"/>
        </w:rPr>
        <w:t>10.7供应商有下列情形之一的，保证金将不予退还：</w:t>
      </w:r>
    </w:p>
    <w:p>
      <w:pPr>
        <w:shd w:val="clear"/>
        <w:snapToGrid w:val="0"/>
        <w:spacing w:line="440" w:lineRule="exact"/>
        <w:ind w:firstLine="411" w:firstLineChars="196"/>
        <w:jc w:val="left"/>
        <w:rPr>
          <w:rFonts w:ascii="宋体" w:hAnsi="宋体"/>
          <w:color w:val="auto"/>
          <w:highlight w:val="none"/>
        </w:rPr>
      </w:pPr>
      <w:r>
        <w:rPr>
          <w:rFonts w:hint="eastAsia" w:ascii="宋体" w:hAnsi="宋体"/>
          <w:color w:val="auto"/>
          <w:highlight w:val="none"/>
        </w:rPr>
        <w:t>（1）供应商在竞争性磋商有效期内撤回竞争性磋商响应文件的；</w:t>
      </w:r>
    </w:p>
    <w:p>
      <w:pPr>
        <w:shd w:val="clear"/>
        <w:snapToGrid w:val="0"/>
        <w:spacing w:line="440" w:lineRule="exact"/>
        <w:ind w:firstLine="411" w:firstLineChars="196"/>
        <w:jc w:val="left"/>
        <w:rPr>
          <w:rFonts w:ascii="宋体" w:hAnsi="宋体"/>
          <w:color w:val="auto"/>
          <w:highlight w:val="none"/>
        </w:rPr>
      </w:pPr>
      <w:r>
        <w:rPr>
          <w:rFonts w:hint="eastAsia" w:ascii="宋体" w:hAnsi="宋体"/>
          <w:color w:val="auto"/>
          <w:highlight w:val="none"/>
        </w:rPr>
        <w:t>（2）供应商在竞争性磋商响应文件中提供虚假材料的；</w:t>
      </w:r>
    </w:p>
    <w:p>
      <w:pPr>
        <w:shd w:val="clear"/>
        <w:snapToGrid w:val="0"/>
        <w:spacing w:line="440" w:lineRule="exact"/>
        <w:ind w:firstLine="411" w:firstLineChars="196"/>
        <w:jc w:val="left"/>
        <w:rPr>
          <w:rFonts w:ascii="宋体" w:hAnsi="宋体"/>
          <w:color w:val="auto"/>
          <w:highlight w:val="none"/>
        </w:rPr>
      </w:pPr>
      <w:r>
        <w:rPr>
          <w:rFonts w:hint="eastAsia" w:ascii="宋体" w:hAnsi="宋体"/>
          <w:color w:val="auto"/>
          <w:highlight w:val="none"/>
        </w:rPr>
        <w:t>（3）除因不可抗力或竞争性磋商文件认可的情形以外，成交供应商不与采购人签订合同的；</w:t>
      </w:r>
    </w:p>
    <w:p>
      <w:pPr>
        <w:shd w:val="clear"/>
        <w:snapToGrid w:val="0"/>
        <w:spacing w:line="440" w:lineRule="exact"/>
        <w:ind w:firstLine="411" w:firstLineChars="196"/>
        <w:jc w:val="left"/>
        <w:rPr>
          <w:rFonts w:ascii="宋体" w:hAnsi="宋体"/>
          <w:color w:val="auto"/>
          <w:highlight w:val="none"/>
        </w:rPr>
      </w:pPr>
      <w:r>
        <w:rPr>
          <w:rFonts w:hint="eastAsia" w:ascii="宋体" w:hAnsi="宋体"/>
          <w:color w:val="auto"/>
          <w:highlight w:val="none"/>
        </w:rPr>
        <w:t>（4）供应商与采购人、其他供应商或者采购代理机构恶意串通的；</w:t>
      </w:r>
    </w:p>
    <w:p>
      <w:pPr>
        <w:shd w:val="clear"/>
        <w:snapToGrid w:val="0"/>
        <w:spacing w:line="440" w:lineRule="exact"/>
        <w:ind w:firstLine="411" w:firstLineChars="196"/>
        <w:jc w:val="left"/>
        <w:rPr>
          <w:rFonts w:ascii="宋体" w:hAnsi="宋体"/>
          <w:color w:val="auto"/>
          <w:highlight w:val="none"/>
        </w:rPr>
      </w:pPr>
      <w:r>
        <w:rPr>
          <w:rFonts w:hint="eastAsia" w:ascii="宋体" w:hAnsi="宋体"/>
          <w:color w:val="auto"/>
          <w:highlight w:val="none"/>
        </w:rPr>
        <w:t>（5） 磋商文件规定的其他情形。</w:t>
      </w:r>
    </w:p>
    <w:p>
      <w:pPr>
        <w:shd w:val="clear"/>
        <w:snapToGrid w:val="0"/>
        <w:spacing w:line="440" w:lineRule="exact"/>
        <w:ind w:firstLine="411" w:firstLineChars="196"/>
        <w:jc w:val="left"/>
        <w:rPr>
          <w:rFonts w:ascii="宋体" w:hAnsi="宋体"/>
          <w:color w:val="auto"/>
          <w:highlight w:val="none"/>
        </w:rPr>
      </w:pPr>
      <w:r>
        <w:rPr>
          <w:rFonts w:hint="eastAsia" w:ascii="宋体" w:hAnsi="宋体"/>
          <w:color w:val="auto"/>
          <w:highlight w:val="none"/>
        </w:rPr>
        <w:t>注：供应商已经被推荐为第一成交候选供应商后撤回竞争性磋商响应文件或拒绝签订政府采购合同的，其保证金将不予退还，并上缴国库，给采购人造成其损失的，还应当赔偿损失，并作为不良行为记录在案。</w:t>
      </w:r>
    </w:p>
    <w:p>
      <w:pPr>
        <w:shd w:val="clear"/>
        <w:spacing w:line="440" w:lineRule="exact"/>
        <w:ind w:firstLine="422" w:firstLineChars="200"/>
        <w:rPr>
          <w:rFonts w:ascii="宋体" w:hAnsi="宋体"/>
          <w:b/>
          <w:bCs/>
          <w:color w:val="auto"/>
          <w:highlight w:val="none"/>
        </w:rPr>
      </w:pPr>
      <w:r>
        <w:rPr>
          <w:rFonts w:hint="eastAsia" w:ascii="宋体" w:hAnsi="宋体"/>
          <w:b/>
          <w:bCs/>
          <w:color w:val="auto"/>
          <w:highlight w:val="none"/>
        </w:rPr>
        <w:t>五</w:t>
      </w:r>
      <w:r>
        <w:rPr>
          <w:rFonts w:hint="eastAsia" w:ascii="宋体" w:hAnsi="宋体"/>
          <w:color w:val="auto"/>
          <w:highlight w:val="none"/>
        </w:rPr>
        <w:t>、磋商程序及评审方法</w:t>
      </w:r>
    </w:p>
    <w:p>
      <w:pPr>
        <w:widowControl/>
        <w:shd w:val="clea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1、未实质性响应竞争性磋商文件的竞争性磋商响应文件按无效处理。</w:t>
      </w:r>
    </w:p>
    <w:p>
      <w:pPr>
        <w:widowControl/>
        <w:shd w:val="clea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2、有下列情形之一的视为供应商相互串通参与磋商活动，竞争性磋商响应文件将被视为无效：</w:t>
      </w:r>
    </w:p>
    <w:p>
      <w:pPr>
        <w:widowControl/>
        <w:shd w:val="clea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（1）不同供应商的竞争性磋商响应文件由同一单位或者个人编制；或不同供应商报名的IP地址一致的；</w:t>
      </w:r>
    </w:p>
    <w:p>
      <w:pPr>
        <w:widowControl/>
        <w:shd w:val="clea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（2）不同供应商委托同一单位或者个人办理磋商活动事宜；</w:t>
      </w:r>
    </w:p>
    <w:p>
      <w:pPr>
        <w:widowControl/>
        <w:shd w:val="clea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（3）不同的供应商的竞争性磋商响应文件载明的项目管理员为同一个人；</w:t>
      </w:r>
    </w:p>
    <w:p>
      <w:pPr>
        <w:widowControl/>
        <w:shd w:val="clea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（4）不同供应商的竞争性磋商响应文件异常一致或磋商报价呈规律性差异；</w:t>
      </w:r>
    </w:p>
    <w:p>
      <w:pPr>
        <w:widowControl/>
        <w:shd w:val="clea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（5）不同供应商的竞争性磋商响应文件相互混装；</w:t>
      </w:r>
    </w:p>
    <w:p>
      <w:pPr>
        <w:widowControl/>
        <w:shd w:val="clea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（6）不同供应商的保证金从同一单位或者个人账户转出。</w:t>
      </w:r>
    </w:p>
    <w:p>
      <w:pPr>
        <w:widowControl/>
        <w:shd w:val="clea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3、有下列情形之一的视为关联供应商参加同一合同项下政府采购活动，竞争性磋商响应文件将被视为无效：单位负责人为同一人或者存在直接控股、管理关系的不同供应商，参加同一合同项下政府采购活动；</w:t>
      </w:r>
    </w:p>
    <w:p>
      <w:pPr>
        <w:widowControl/>
        <w:shd w:val="clear"/>
        <w:spacing w:line="400" w:lineRule="exact"/>
        <w:ind w:firstLine="420" w:firstLineChars="200"/>
        <w:jc w:val="left"/>
        <w:rPr>
          <w:rFonts w:ascii="宋体" w:hAnsi="宋体"/>
          <w:bCs/>
          <w:color w:val="auto"/>
          <w:kern w:val="0"/>
          <w:highlight w:val="none"/>
        </w:rPr>
      </w:pPr>
      <w:r>
        <w:rPr>
          <w:rFonts w:hint="eastAsia" w:ascii="宋体" w:hAnsi="宋体"/>
          <w:bCs/>
          <w:color w:val="auto"/>
          <w:kern w:val="0"/>
          <w:highlight w:val="none"/>
        </w:rPr>
        <w:t>4.其他投标无效的情形：</w:t>
      </w:r>
    </w:p>
    <w:p>
      <w:pPr>
        <w:widowControl/>
        <w:shd w:val="clear"/>
        <w:spacing w:line="400" w:lineRule="exact"/>
        <w:ind w:firstLine="422" w:firstLineChars="200"/>
        <w:jc w:val="left"/>
        <w:rPr>
          <w:rFonts w:ascii="宋体" w:hAnsi="宋体"/>
          <w:b/>
          <w:bCs/>
          <w:color w:val="auto"/>
          <w:kern w:val="0"/>
          <w:highlight w:val="none"/>
        </w:rPr>
      </w:pPr>
      <w:r>
        <w:rPr>
          <w:rFonts w:hint="eastAsia" w:ascii="宋体" w:hAnsi="宋体"/>
          <w:b/>
          <w:bCs/>
          <w:color w:val="auto"/>
          <w:kern w:val="0"/>
          <w:highlight w:val="none"/>
        </w:rPr>
        <w:t>（1）竞争性磋商响应文件未按竞争性磋商文件要求签署的；</w:t>
      </w:r>
    </w:p>
    <w:p>
      <w:pPr>
        <w:widowControl/>
        <w:shd w:val="clear"/>
        <w:spacing w:line="400" w:lineRule="exact"/>
        <w:ind w:firstLine="422" w:firstLineChars="200"/>
        <w:jc w:val="left"/>
        <w:rPr>
          <w:rFonts w:ascii="宋体" w:hAnsi="宋体"/>
          <w:b/>
          <w:bCs/>
          <w:color w:val="auto"/>
          <w:kern w:val="0"/>
          <w:highlight w:val="none"/>
        </w:rPr>
      </w:pPr>
      <w:r>
        <w:rPr>
          <w:rFonts w:hint="eastAsia" w:ascii="宋体" w:hAnsi="宋体"/>
          <w:b/>
          <w:bCs/>
          <w:color w:val="auto"/>
          <w:kern w:val="0"/>
          <w:highlight w:val="none"/>
        </w:rPr>
        <w:t>（2）供应商提交两份或两份以上内容不同的竞争性磋商响应文件的；</w:t>
      </w:r>
    </w:p>
    <w:p>
      <w:pPr>
        <w:widowControl/>
        <w:shd w:val="clear"/>
        <w:spacing w:line="400" w:lineRule="exact"/>
        <w:ind w:firstLine="422" w:firstLineChars="200"/>
        <w:jc w:val="left"/>
        <w:rPr>
          <w:rFonts w:ascii="宋体" w:hAnsi="宋体"/>
          <w:color w:val="auto"/>
          <w:kern w:val="0"/>
          <w:highlight w:val="none"/>
        </w:rPr>
      </w:pPr>
      <w:r>
        <w:rPr>
          <w:rFonts w:hint="eastAsia" w:ascii="宋体" w:hAnsi="宋体"/>
          <w:b/>
          <w:bCs/>
          <w:color w:val="auto"/>
          <w:kern w:val="0"/>
          <w:highlight w:val="none"/>
        </w:rPr>
        <w:t>（3）</w:t>
      </w:r>
      <w:r>
        <w:rPr>
          <w:rFonts w:ascii="宋体" w:hAnsi="宋体"/>
          <w:b/>
          <w:bCs/>
          <w:color w:val="auto"/>
          <w:kern w:val="0"/>
          <w:highlight w:val="none"/>
        </w:rPr>
        <w:t>法律、法规和招标文件规定的其他无效情形（或出现重大偏差）。</w:t>
      </w:r>
    </w:p>
    <w:p>
      <w:pPr>
        <w:widowControl/>
        <w:shd w:val="clea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5、被拒绝的响应文件为无效。</w:t>
      </w:r>
    </w:p>
    <w:p>
      <w:pPr>
        <w:widowControl/>
        <w:shd w:val="clea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供应商竞争性磋商响应文件无效的，磋商小组应当告知有关供应商。</w:t>
      </w:r>
    </w:p>
    <w:p>
      <w:pPr>
        <w:widowControl/>
        <w:shd w:val="clea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12.1</w:t>
      </w:r>
      <w:r>
        <w:rPr>
          <w:rFonts w:hint="eastAsia" w:ascii="宋体" w:hAnsi="宋体"/>
          <w:b/>
          <w:color w:val="auto"/>
          <w:kern w:val="0"/>
          <w:highlight w:val="none"/>
        </w:rPr>
        <w:t>第一轮磋商</w:t>
      </w:r>
    </w:p>
    <w:p>
      <w:pPr>
        <w:shd w:val="clear"/>
        <w:snapToGrid w:val="0"/>
        <w:spacing w:line="440" w:lineRule="exact"/>
        <w:ind w:firstLine="411" w:firstLineChars="196"/>
        <w:jc w:val="left"/>
        <w:rPr>
          <w:rFonts w:ascii="宋体" w:hAnsi="宋体"/>
          <w:color w:val="auto"/>
          <w:highlight w:val="none"/>
        </w:rPr>
      </w:pPr>
      <w:r>
        <w:rPr>
          <w:rFonts w:hint="eastAsia" w:ascii="宋体" w:hAnsi="宋体"/>
          <w:color w:val="auto"/>
          <w:highlight w:val="none"/>
        </w:rPr>
        <w:t>磋商时间及地点: 详见本须知前附表第8项规定。</w:t>
      </w:r>
    </w:p>
    <w:p>
      <w:pPr>
        <w:shd w:val="clear"/>
        <w:snapToGrid w:val="0"/>
        <w:spacing w:line="440" w:lineRule="exact"/>
        <w:ind w:firstLine="411" w:firstLineChars="196"/>
        <w:jc w:val="left"/>
        <w:rPr>
          <w:rFonts w:ascii="宋体" w:hAnsi="宋体"/>
          <w:color w:val="auto"/>
          <w:highlight w:val="none"/>
        </w:rPr>
      </w:pPr>
      <w:r>
        <w:rPr>
          <w:rFonts w:hint="eastAsia" w:ascii="宋体" w:hAnsi="宋体"/>
          <w:color w:val="auto"/>
          <w:highlight w:val="none"/>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与单一供应商分别进行磋商，给予所有参加磋商的供应商平等的磋商机会。</w:t>
      </w:r>
    </w:p>
    <w:p>
      <w:pPr>
        <w:shd w:val="clear"/>
        <w:snapToGrid w:val="0"/>
        <w:spacing w:line="440" w:lineRule="exact"/>
        <w:ind w:firstLine="411" w:firstLineChars="196"/>
        <w:jc w:val="left"/>
        <w:rPr>
          <w:rFonts w:ascii="宋体" w:hAnsi="宋体"/>
          <w:color w:val="auto"/>
          <w:highlight w:val="none"/>
        </w:rPr>
      </w:pPr>
      <w:r>
        <w:rPr>
          <w:rFonts w:hint="eastAsia" w:ascii="宋体" w:hAnsi="宋体"/>
          <w:color w:val="auto"/>
          <w:highlight w:val="none"/>
        </w:rPr>
        <w:t>磋商评审在严格保密的情况下进行，磋商的任何一方不得透露与磋商有关的其他供应商的技术资料、价格和其他信息。采购代理机构对磋商过程和重要磋商内容进行记录，磋商双方在记录上签字确认。</w:t>
      </w:r>
    </w:p>
    <w:p>
      <w:pPr>
        <w:shd w:val="clear"/>
        <w:snapToGrid w:val="0"/>
        <w:spacing w:line="440" w:lineRule="exact"/>
        <w:ind w:firstLine="411" w:firstLineChars="196"/>
        <w:jc w:val="left"/>
        <w:rPr>
          <w:rFonts w:ascii="宋体" w:hAnsi="宋体"/>
          <w:color w:val="auto"/>
          <w:highlight w:val="none"/>
        </w:rPr>
      </w:pPr>
      <w:r>
        <w:rPr>
          <w:rFonts w:hint="eastAsia" w:ascii="宋体" w:hAnsi="宋体"/>
          <w:color w:val="auto"/>
          <w:highlight w:val="none"/>
        </w:rPr>
        <w:t>磋商后，供应商根据磋商小组统一整理的书面磋商记录要求做出书面承诺，并由其法定代表人(负责人)或授权代表签字或者加盖公章后按时密封递交。</w:t>
      </w:r>
    </w:p>
    <w:p>
      <w:pPr>
        <w:shd w:val="clear"/>
        <w:snapToGrid w:val="0"/>
        <w:spacing w:line="440" w:lineRule="exact"/>
        <w:ind w:firstLine="411" w:firstLineChars="196"/>
        <w:jc w:val="left"/>
        <w:rPr>
          <w:rFonts w:ascii="宋体" w:hAnsi="宋体"/>
          <w:color w:val="auto"/>
          <w:highlight w:val="none"/>
        </w:rPr>
      </w:pPr>
      <w:r>
        <w:rPr>
          <w:rFonts w:hint="eastAsia" w:ascii="宋体" w:hAnsi="宋体"/>
          <w:color w:val="auto"/>
          <w:highlight w:val="none"/>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pPr>
        <w:widowControl/>
        <w:shd w:val="clear"/>
        <w:tabs>
          <w:tab w:val="left" w:pos="540"/>
        </w:tabs>
        <w:spacing w:line="440" w:lineRule="exact"/>
        <w:ind w:firstLine="422" w:firstLineChars="200"/>
        <w:jc w:val="left"/>
        <w:rPr>
          <w:rFonts w:ascii="宋体" w:hAnsi="宋体"/>
          <w:b/>
          <w:color w:val="auto"/>
          <w:highlight w:val="none"/>
        </w:rPr>
      </w:pPr>
      <w:r>
        <w:rPr>
          <w:rFonts w:hint="eastAsia" w:ascii="宋体" w:hAnsi="宋体"/>
          <w:b/>
          <w:color w:val="auto"/>
          <w:highlight w:val="none"/>
        </w:rPr>
        <w:t>12.2竞争性磋商文件变动</w:t>
      </w:r>
    </w:p>
    <w:p>
      <w:pPr>
        <w:shd w:val="clear"/>
        <w:snapToGrid w:val="0"/>
        <w:spacing w:line="440" w:lineRule="exact"/>
        <w:ind w:firstLine="411" w:firstLineChars="196"/>
        <w:jc w:val="left"/>
        <w:rPr>
          <w:rFonts w:ascii="宋体" w:hAnsi="宋体"/>
          <w:color w:val="auto"/>
          <w:highlight w:val="none"/>
        </w:rPr>
      </w:pPr>
      <w:r>
        <w:rPr>
          <w:rFonts w:hint="eastAsia" w:ascii="宋体" w:hAnsi="宋体"/>
          <w:color w:val="auto"/>
          <w:highlight w:val="none"/>
        </w:rPr>
        <w:t>⑴第一轮磋商结束后，各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hd w:val="clear"/>
        <w:snapToGrid w:val="0"/>
        <w:spacing w:line="440" w:lineRule="exact"/>
        <w:ind w:firstLine="411" w:firstLineChars="196"/>
        <w:jc w:val="left"/>
        <w:rPr>
          <w:rFonts w:ascii="宋体" w:hAnsi="宋体"/>
          <w:color w:val="auto"/>
          <w:highlight w:val="none"/>
        </w:rPr>
      </w:pPr>
      <w:r>
        <w:rPr>
          <w:rFonts w:hint="eastAsia" w:ascii="宋体" w:hAnsi="宋体"/>
          <w:color w:val="auto"/>
          <w:highlight w:val="none"/>
        </w:rPr>
        <w:t>对竞争性磋商文件作出的实质性变动是竞争性磋商文件的有效组成部分，磋商小组应当及时以书面形式同时通知所有参加磋商的供应商，并要求供应商做出书面响应。</w:t>
      </w:r>
    </w:p>
    <w:p>
      <w:pPr>
        <w:shd w:val="clear"/>
        <w:snapToGrid w:val="0"/>
        <w:spacing w:line="440" w:lineRule="exact"/>
        <w:ind w:firstLine="411" w:firstLineChars="196"/>
        <w:jc w:val="left"/>
        <w:rPr>
          <w:rFonts w:ascii="宋体" w:hAnsi="宋体"/>
          <w:color w:val="auto"/>
          <w:highlight w:val="none"/>
        </w:rPr>
      </w:pPr>
      <w:r>
        <w:rPr>
          <w:rFonts w:hint="eastAsia" w:ascii="宋体" w:hAnsi="宋体"/>
          <w:color w:val="auto"/>
          <w:highlight w:val="none"/>
        </w:rPr>
        <w:t>⑵供应商应当按照竞争性磋商文件的变动情况和磋商小组的要求重新提交竞争性磋商响应文件，并由其法定代表人(负责人)或授权代表签字或者加盖公章后密封递交。由授权代表（委托代理人）签字的，应当附法定代表人(负责人)授权书。供应商为自然人的，应当由本人签字并附身份证明。逾时不交的，视同放弃磋商。重新提交的响应文件与竞争性磋商响应文件同具法律效力。</w:t>
      </w:r>
    </w:p>
    <w:p>
      <w:pPr>
        <w:widowControl/>
        <w:shd w:val="clear"/>
        <w:spacing w:line="440" w:lineRule="exact"/>
        <w:ind w:firstLine="422" w:firstLineChars="200"/>
        <w:jc w:val="left"/>
        <w:rPr>
          <w:rFonts w:ascii="宋体" w:hAnsi="宋体" w:cs="宋体"/>
          <w:b/>
          <w:color w:val="auto"/>
          <w:kern w:val="0"/>
          <w:highlight w:val="none"/>
        </w:rPr>
      </w:pPr>
      <w:r>
        <w:rPr>
          <w:rFonts w:hint="eastAsia" w:ascii="宋体" w:hAnsi="宋体" w:cs="宋体"/>
          <w:b/>
          <w:color w:val="auto"/>
          <w:kern w:val="0"/>
          <w:highlight w:val="none"/>
        </w:rPr>
        <w:t>12.3第二轮磋商</w:t>
      </w:r>
    </w:p>
    <w:p>
      <w:pPr>
        <w:widowControl/>
        <w:shd w:val="clear"/>
        <w:tabs>
          <w:tab w:val="left" w:pos="540"/>
        </w:tabs>
        <w:spacing w:line="440" w:lineRule="exact"/>
        <w:ind w:firstLine="420" w:firstLineChars="200"/>
        <w:jc w:val="left"/>
        <w:rPr>
          <w:rFonts w:ascii="宋体" w:hAnsi="宋体"/>
          <w:color w:val="auto"/>
          <w:highlight w:val="none"/>
        </w:rPr>
      </w:pPr>
      <w:r>
        <w:rPr>
          <w:rFonts w:hint="eastAsia" w:ascii="宋体" w:hAnsi="宋体" w:cs="宋体"/>
          <w:color w:val="auto"/>
          <w:kern w:val="0"/>
          <w:highlight w:val="none"/>
        </w:rPr>
        <w:t>磋商小组集中就</w:t>
      </w:r>
      <w:r>
        <w:rPr>
          <w:rFonts w:hint="eastAsia" w:ascii="宋体" w:hAnsi="宋体"/>
          <w:color w:val="auto"/>
          <w:highlight w:val="none"/>
        </w:rPr>
        <w:t>重新提交的响应文件或</w:t>
      </w:r>
      <w:r>
        <w:rPr>
          <w:rFonts w:hint="eastAsia" w:ascii="宋体" w:hAnsi="宋体" w:cs="宋体"/>
          <w:color w:val="auto"/>
          <w:kern w:val="0"/>
          <w:highlight w:val="none"/>
        </w:rPr>
        <w:t>磋商小组</w:t>
      </w:r>
      <w:r>
        <w:rPr>
          <w:rFonts w:hint="eastAsia" w:ascii="宋体" w:hAnsi="宋体"/>
          <w:color w:val="auto"/>
          <w:highlight w:val="none"/>
        </w:rPr>
        <w:t>提出的磋商意见</w:t>
      </w:r>
      <w:r>
        <w:rPr>
          <w:rFonts w:hint="eastAsia" w:ascii="宋体" w:hAnsi="宋体" w:cs="宋体"/>
          <w:color w:val="auto"/>
          <w:kern w:val="0"/>
          <w:highlight w:val="none"/>
        </w:rPr>
        <w:t>与单一响应供应商分别进行磋商。</w:t>
      </w:r>
      <w:r>
        <w:rPr>
          <w:rFonts w:hint="eastAsia" w:ascii="宋体" w:hAnsi="宋体"/>
          <w:color w:val="auto"/>
          <w:highlight w:val="none"/>
        </w:rPr>
        <w:t>采购代理机构对磋商过程和重要磋商内容进行记录，磋商双方在记录上签字确认。</w:t>
      </w:r>
    </w:p>
    <w:p>
      <w:pPr>
        <w:widowControl/>
        <w:shd w:val="clear"/>
        <w:tabs>
          <w:tab w:val="left" w:pos="540"/>
        </w:tabs>
        <w:spacing w:line="440" w:lineRule="exact"/>
        <w:ind w:firstLine="420" w:firstLineChars="200"/>
        <w:jc w:val="left"/>
        <w:rPr>
          <w:rFonts w:ascii="宋体" w:hAnsi="宋体"/>
          <w:color w:val="auto"/>
          <w:highlight w:val="none"/>
        </w:rPr>
      </w:pPr>
      <w:r>
        <w:rPr>
          <w:rFonts w:hint="eastAsia" w:ascii="宋体" w:hAnsi="宋体"/>
          <w:color w:val="auto"/>
          <w:highlight w:val="none"/>
        </w:rPr>
        <w:t>磋商后，供应商根据磋商小组统一整理的书面磋商记录要求做出书面承诺，并由其法定代表人(负责人)或授权代表签字或者加盖公章</w:t>
      </w:r>
      <w:r>
        <w:rPr>
          <w:rFonts w:hint="eastAsia" w:ascii="宋体" w:hAnsi="宋体" w:cs="宋体"/>
          <w:color w:val="auto"/>
          <w:kern w:val="0"/>
          <w:highlight w:val="none"/>
        </w:rPr>
        <w:t>后按时密封递交</w:t>
      </w:r>
      <w:r>
        <w:rPr>
          <w:rFonts w:hint="eastAsia" w:ascii="宋体" w:hAnsi="宋体"/>
          <w:color w:val="auto"/>
          <w:highlight w:val="none"/>
        </w:rPr>
        <w:t>。</w:t>
      </w:r>
    </w:p>
    <w:p>
      <w:pPr>
        <w:widowControl/>
        <w:shd w:val="clear"/>
        <w:tabs>
          <w:tab w:val="left" w:pos="540"/>
        </w:tabs>
        <w:spacing w:line="440" w:lineRule="exact"/>
        <w:ind w:firstLine="420" w:firstLineChars="200"/>
        <w:jc w:val="left"/>
        <w:rPr>
          <w:rFonts w:ascii="宋体" w:hAnsi="宋体"/>
          <w:color w:val="auto"/>
          <w:highlight w:val="none"/>
        </w:rPr>
      </w:pPr>
      <w:r>
        <w:rPr>
          <w:rFonts w:hint="eastAsia" w:ascii="宋体" w:hAnsi="宋体"/>
          <w:color w:val="auto"/>
          <w:highlight w:val="none"/>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二轮磋商后竞争性磋商文件仍有实质性变动的或仍需磋商的，磋商小组对竞争性磋商文件变动或提出磋商意见后进行第三轮磋商。以此类推。</w:t>
      </w:r>
    </w:p>
    <w:p>
      <w:pPr>
        <w:widowControl/>
        <w:shd w:val="clear"/>
        <w:tabs>
          <w:tab w:val="left" w:pos="540"/>
        </w:tabs>
        <w:spacing w:line="440" w:lineRule="exact"/>
        <w:ind w:firstLine="420" w:firstLineChars="200"/>
        <w:jc w:val="left"/>
        <w:rPr>
          <w:rFonts w:ascii="宋体" w:hAnsi="宋体"/>
          <w:color w:val="auto"/>
          <w:highlight w:val="none"/>
        </w:rPr>
      </w:pPr>
      <w:r>
        <w:rPr>
          <w:rFonts w:hint="eastAsia" w:ascii="宋体" w:hAnsi="宋体"/>
          <w:color w:val="auto"/>
          <w:highlight w:val="none"/>
        </w:rPr>
        <w:t>12.4最后报价及</w:t>
      </w:r>
      <w:r>
        <w:rPr>
          <w:rFonts w:hint="eastAsia" w:ascii="宋体" w:hAnsi="宋体" w:cs="宋体"/>
          <w:color w:val="auto"/>
          <w:kern w:val="0"/>
          <w:highlight w:val="none"/>
        </w:rPr>
        <w:t>成交候选供应商推荐</w:t>
      </w:r>
    </w:p>
    <w:p>
      <w:pPr>
        <w:widowControl/>
        <w:shd w:val="clear"/>
        <w:tabs>
          <w:tab w:val="left" w:pos="540"/>
        </w:tabs>
        <w:spacing w:line="44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磋商结束后，磋商小组要求所有继续参加磋商的供应商在规定时间内提交最后报价。继续参加磋商的供应商作最后报价，由其法定代表人(负责人)或授权代表签字或者加盖公章后密封递交磋商小组。</w:t>
      </w:r>
    </w:p>
    <w:p>
      <w:pPr>
        <w:widowControl/>
        <w:shd w:val="clear"/>
        <w:tabs>
          <w:tab w:val="left" w:pos="540"/>
        </w:tabs>
        <w:spacing w:line="440" w:lineRule="exact"/>
        <w:ind w:firstLine="420" w:firstLineChars="200"/>
        <w:jc w:val="left"/>
        <w:rPr>
          <w:rFonts w:ascii="宋体" w:hAnsi="宋体"/>
          <w:color w:val="auto"/>
          <w:highlight w:val="none"/>
        </w:rPr>
      </w:pPr>
      <w:r>
        <w:rPr>
          <w:rFonts w:hint="eastAsia" w:ascii="宋体" w:hAnsi="宋体"/>
          <w:color w:val="auto"/>
          <w:highlight w:val="none"/>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pPr>
        <w:widowControl/>
        <w:shd w:val="clear"/>
        <w:tabs>
          <w:tab w:val="left" w:pos="540"/>
        </w:tabs>
        <w:spacing w:line="440" w:lineRule="exact"/>
        <w:ind w:firstLine="420" w:firstLineChars="200"/>
        <w:jc w:val="left"/>
        <w:rPr>
          <w:rFonts w:ascii="宋体" w:hAnsi="宋体"/>
          <w:color w:val="auto"/>
          <w:highlight w:val="none"/>
        </w:rPr>
      </w:pPr>
      <w:r>
        <w:rPr>
          <w:rFonts w:hint="eastAsia" w:ascii="宋体" w:hAnsi="宋体"/>
          <w:color w:val="auto"/>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hd w:val="clear"/>
        <w:tabs>
          <w:tab w:val="left" w:pos="540"/>
        </w:tabs>
        <w:spacing w:line="440" w:lineRule="exact"/>
        <w:ind w:firstLine="420" w:firstLineChars="200"/>
        <w:jc w:val="left"/>
        <w:rPr>
          <w:rFonts w:ascii="宋体" w:hAnsi="宋体"/>
          <w:color w:val="auto"/>
          <w:highlight w:val="none"/>
        </w:rPr>
      </w:pPr>
      <w:r>
        <w:rPr>
          <w:rFonts w:hint="eastAsia" w:ascii="宋体" w:hAnsi="宋体"/>
          <w:color w:val="auto"/>
          <w:highlight w:val="none"/>
        </w:rPr>
        <w:t>12.5供应商的报价均超过了有效报价范围，采购人不能支付的，磋商活动终止。</w:t>
      </w:r>
    </w:p>
    <w:p>
      <w:pPr>
        <w:pStyle w:val="21"/>
        <w:shd w:val="clear"/>
        <w:spacing w:line="440" w:lineRule="exact"/>
        <w:ind w:firstLine="420"/>
        <w:rPr>
          <w:rFonts w:hAnsi="宋体"/>
          <w:color w:val="auto"/>
          <w:highlight w:val="none"/>
        </w:rPr>
      </w:pPr>
      <w:r>
        <w:rPr>
          <w:rFonts w:hint="eastAsia" w:hAnsi="宋体"/>
          <w:color w:val="auto"/>
          <w:highlight w:val="none"/>
        </w:rPr>
        <w:t>12.6本采购项目的评审依据为竞争性磋商文件和竞争性磋商响应文件，采用的评审方法为</w:t>
      </w:r>
      <w:r>
        <w:rPr>
          <w:rFonts w:hint="eastAsia" w:hAnsi="宋体"/>
          <w:b/>
          <w:color w:val="auto"/>
          <w:highlight w:val="none"/>
        </w:rPr>
        <w:t>综合评分法</w:t>
      </w:r>
      <w:r>
        <w:rPr>
          <w:rFonts w:hint="eastAsia" w:hAnsi="宋体"/>
          <w:color w:val="auto"/>
          <w:highlight w:val="none"/>
        </w:rPr>
        <w:t>。</w:t>
      </w:r>
    </w:p>
    <w:p>
      <w:pPr>
        <w:shd w:val="clear"/>
        <w:spacing w:line="440" w:lineRule="exact"/>
        <w:ind w:firstLine="422" w:firstLineChars="200"/>
        <w:rPr>
          <w:rFonts w:ascii="宋体" w:hAnsi="宋体"/>
          <w:b/>
          <w:bCs/>
          <w:color w:val="auto"/>
          <w:highlight w:val="none"/>
        </w:rPr>
      </w:pPr>
      <w:r>
        <w:rPr>
          <w:rFonts w:hint="eastAsia" w:ascii="宋体" w:hAnsi="宋体"/>
          <w:b/>
          <w:bCs/>
          <w:color w:val="auto"/>
          <w:highlight w:val="none"/>
        </w:rPr>
        <w:t>六、确定成交供应商办法</w:t>
      </w:r>
    </w:p>
    <w:p>
      <w:pPr>
        <w:widowControl/>
        <w:shd w:val="clear"/>
        <w:spacing w:line="440" w:lineRule="exact"/>
        <w:ind w:firstLine="525" w:firstLineChars="250"/>
        <w:jc w:val="left"/>
        <w:rPr>
          <w:rFonts w:ascii="宋体" w:hAnsi="宋体"/>
          <w:color w:val="auto"/>
          <w:kern w:val="0"/>
          <w:highlight w:val="none"/>
        </w:rPr>
      </w:pPr>
      <w:r>
        <w:rPr>
          <w:rFonts w:hint="eastAsia" w:ascii="宋体" w:hAnsi="宋体"/>
          <w:color w:val="auto"/>
          <w:kern w:val="0"/>
          <w:highlight w:val="none"/>
        </w:rPr>
        <w:t>13.1 根据以下原则确定成交供应商：</w:t>
      </w:r>
    </w:p>
    <w:p>
      <w:pPr>
        <w:pStyle w:val="21"/>
        <w:spacing w:line="440" w:lineRule="exact"/>
        <w:ind w:firstLine="525" w:firstLineChars="250"/>
        <w:rPr>
          <w:rFonts w:hAnsi="宋体"/>
          <w:color w:val="auto"/>
          <w:kern w:val="0"/>
          <w:sz w:val="24"/>
          <w:szCs w:val="24"/>
          <w:highlight w:val="none"/>
        </w:rPr>
      </w:pPr>
      <w:r>
        <w:rPr>
          <w:rFonts w:hint="eastAsia" w:hAnsi="宋体"/>
          <w:color w:val="auto"/>
          <w:kern w:val="0"/>
          <w:highlight w:val="none"/>
        </w:rPr>
        <w:t>13.2</w:t>
      </w:r>
      <w:r>
        <w:rPr>
          <w:rFonts w:hint="eastAsia" w:hAnsi="宋体"/>
          <w:color w:val="auto"/>
          <w:kern w:val="0"/>
        </w:rPr>
        <w:t>响应文件满足磋商文件全部实质性要求且按评审因素的量化指标评审得分最高的供应商为成交供应商。</w:t>
      </w:r>
    </w:p>
    <w:p>
      <w:pPr>
        <w:pStyle w:val="21"/>
        <w:shd w:val="clear"/>
        <w:spacing w:line="440" w:lineRule="exact"/>
        <w:ind w:firstLine="413" w:firstLineChars="196"/>
        <w:rPr>
          <w:rFonts w:hAnsi="宋体"/>
          <w:b/>
          <w:bCs/>
          <w:color w:val="auto"/>
          <w:szCs w:val="21"/>
          <w:highlight w:val="none"/>
        </w:rPr>
      </w:pPr>
      <w:r>
        <w:rPr>
          <w:rFonts w:hint="eastAsia" w:hAnsi="宋体"/>
          <w:b/>
          <w:bCs/>
          <w:color w:val="auto"/>
          <w:highlight w:val="none"/>
        </w:rPr>
        <w:t>七、成交结果公告</w:t>
      </w:r>
    </w:p>
    <w:p>
      <w:pPr>
        <w:pStyle w:val="21"/>
        <w:shd w:val="clear"/>
        <w:spacing w:line="440" w:lineRule="exact"/>
        <w:ind w:firstLine="420"/>
        <w:rPr>
          <w:rFonts w:hAnsi="宋体"/>
          <w:color w:val="auto"/>
          <w:highlight w:val="none"/>
        </w:rPr>
      </w:pPr>
      <w:r>
        <w:rPr>
          <w:rFonts w:hint="eastAsia" w:hAnsi="宋体"/>
          <w:color w:val="auto"/>
          <w:highlight w:val="none"/>
        </w:rPr>
        <w:t>14.1采购代理机构在评审结束后二个工作日内将磋商评审报告送采购人确认，</w:t>
      </w:r>
      <w:r>
        <w:rPr>
          <w:rFonts w:hint="eastAsia" w:hAnsi="宋体"/>
          <w:color w:val="auto"/>
          <w:kern w:val="0"/>
          <w:highlight w:val="none"/>
        </w:rPr>
        <w:t>成交供应商确定后</w:t>
      </w:r>
      <w:r>
        <w:rPr>
          <w:rFonts w:hint="eastAsia" w:hAnsi="宋体"/>
          <w:color w:val="auto"/>
          <w:highlight w:val="none"/>
        </w:rPr>
        <w:t>二个工作日内，</w:t>
      </w:r>
      <w:r>
        <w:rPr>
          <w:rFonts w:hint="eastAsia" w:hAnsi="宋体"/>
          <w:b/>
          <w:bCs/>
          <w:color w:val="auto"/>
          <w:highlight w:val="none"/>
        </w:rPr>
        <w:t>成交结果公告</w:t>
      </w:r>
      <w:r>
        <w:rPr>
          <w:rFonts w:hint="eastAsia" w:hAnsi="宋体"/>
          <w:color w:val="auto"/>
          <w:highlight w:val="none"/>
        </w:rPr>
        <w:t>将在中国采购与招标网（http://www.chinabidding.com.cn/）、华夏城投项目管理有限公司官网（http://www.sxhx2001.com）上发布，</w:t>
      </w:r>
      <w:r>
        <w:rPr>
          <w:rFonts w:hint="eastAsia" w:hAnsi="宋体"/>
          <w:color w:val="auto"/>
          <w:kern w:val="0"/>
          <w:highlight w:val="none"/>
        </w:rPr>
        <w:t>同时向成交供应商发出成交通知书</w:t>
      </w:r>
      <w:r>
        <w:rPr>
          <w:rFonts w:hint="eastAsia" w:hAnsi="宋体"/>
          <w:color w:val="auto"/>
          <w:highlight w:val="none"/>
        </w:rPr>
        <w:t>。</w:t>
      </w:r>
    </w:p>
    <w:p>
      <w:pPr>
        <w:pStyle w:val="21"/>
        <w:shd w:val="clear"/>
        <w:spacing w:line="440" w:lineRule="exact"/>
        <w:ind w:left="105" w:firstLine="315"/>
        <w:rPr>
          <w:rFonts w:hAnsi="宋体"/>
          <w:color w:val="auto"/>
          <w:highlight w:val="none"/>
        </w:rPr>
      </w:pPr>
      <w:r>
        <w:rPr>
          <w:rFonts w:hint="eastAsia" w:hAnsi="宋体"/>
          <w:color w:val="auto"/>
          <w:highlight w:val="none"/>
        </w:rPr>
        <w:t>14.2供应商</w:t>
      </w:r>
      <w:r>
        <w:rPr>
          <w:rFonts w:hint="eastAsia" w:hAnsi="宋体"/>
          <w:color w:val="auto"/>
          <w:kern w:val="0"/>
          <w:highlight w:val="none"/>
        </w:rPr>
        <w:t>认为成交结果使自己的权益受到损害的</w:t>
      </w:r>
      <w:r>
        <w:rPr>
          <w:rFonts w:hint="eastAsia" w:hAnsi="宋体"/>
          <w:color w:val="auto"/>
          <w:highlight w:val="none"/>
        </w:rPr>
        <w:t>，</w:t>
      </w:r>
      <w:r>
        <w:rPr>
          <w:rFonts w:hint="eastAsia" w:hAnsi="宋体"/>
          <w:color w:val="auto"/>
          <w:kern w:val="0"/>
          <w:highlight w:val="none"/>
        </w:rPr>
        <w:t>可以在成交结果公告</w:t>
      </w:r>
      <w:r>
        <w:rPr>
          <w:rFonts w:hint="eastAsia" w:hAnsi="宋体"/>
          <w:b/>
          <w:bCs/>
          <w:color w:val="auto"/>
          <w:kern w:val="0"/>
          <w:highlight w:val="none"/>
        </w:rPr>
        <w:t>期限届满</w:t>
      </w:r>
      <w:r>
        <w:rPr>
          <w:rFonts w:hint="eastAsia" w:hAnsi="宋体"/>
          <w:color w:val="auto"/>
          <w:kern w:val="0"/>
          <w:highlight w:val="none"/>
        </w:rPr>
        <w:t>之日起</w:t>
      </w:r>
      <w:r>
        <w:rPr>
          <w:rFonts w:hint="eastAsia" w:hAnsi="宋体"/>
          <w:color w:val="auto"/>
          <w:highlight w:val="none"/>
        </w:rPr>
        <w:t>七个工作日内以书面形式向采购代理机构提出质疑。采购代理机构将在收到供应商的书面质疑后七个工作日内做出答复，但答复的内容不得涉及商业秘密。</w:t>
      </w:r>
    </w:p>
    <w:p>
      <w:pPr>
        <w:pStyle w:val="21"/>
        <w:shd w:val="clear"/>
        <w:spacing w:line="440" w:lineRule="exact"/>
        <w:ind w:firstLine="420"/>
        <w:rPr>
          <w:rFonts w:hAnsi="宋体"/>
          <w:color w:val="auto"/>
          <w:highlight w:val="none"/>
        </w:rPr>
      </w:pPr>
      <w:r>
        <w:rPr>
          <w:rFonts w:hint="eastAsia" w:hAnsi="宋体"/>
          <w:color w:val="auto"/>
          <w:highlight w:val="none"/>
        </w:rPr>
        <w:t>14.3质疑供应商必须首先经过质疑程序，在对采购代理机构的答复不满意或者采购代理机构未在规定的时间内做出答复的，可以在答复期满后十五个工作日内书面向监督管理部门投诉。</w:t>
      </w:r>
    </w:p>
    <w:p>
      <w:pPr>
        <w:pStyle w:val="21"/>
        <w:shd w:val="clear"/>
        <w:spacing w:line="440" w:lineRule="exact"/>
        <w:ind w:firstLine="420" w:firstLineChars="200"/>
        <w:rPr>
          <w:rFonts w:hAnsi="宋体"/>
          <w:color w:val="auto"/>
          <w:highlight w:val="none"/>
        </w:rPr>
      </w:pPr>
      <w:r>
        <w:rPr>
          <w:rFonts w:hint="eastAsia" w:hAnsi="宋体"/>
          <w:color w:val="auto"/>
          <w:highlight w:val="none"/>
        </w:rPr>
        <w:t>质疑联系部门及电话为：华夏城投项目管理有限公司         0771-5382528</w:t>
      </w:r>
    </w:p>
    <w:p>
      <w:pPr>
        <w:pStyle w:val="21"/>
        <w:shd w:val="clear"/>
        <w:spacing w:line="440" w:lineRule="exact"/>
        <w:ind w:firstLine="420" w:firstLineChars="200"/>
        <w:rPr>
          <w:rFonts w:hAnsi="宋体"/>
          <w:color w:val="auto"/>
          <w:highlight w:val="none"/>
        </w:rPr>
      </w:pPr>
      <w:r>
        <w:rPr>
          <w:rFonts w:hint="eastAsia" w:hAnsi="宋体"/>
          <w:color w:val="auto"/>
          <w:highlight w:val="none"/>
        </w:rPr>
        <w:t>投诉联系部门及电话为：监督管理                         0771-3224391</w:t>
      </w:r>
    </w:p>
    <w:p>
      <w:pPr>
        <w:shd w:val="clear"/>
        <w:spacing w:line="440" w:lineRule="exact"/>
        <w:ind w:left="420" w:leftChars="200" w:firstLine="105" w:firstLineChars="50"/>
        <w:rPr>
          <w:rFonts w:ascii="宋体" w:hAnsi="宋体"/>
          <w:b/>
          <w:bCs/>
          <w:color w:val="auto"/>
          <w:highlight w:val="none"/>
        </w:rPr>
      </w:pPr>
      <w:r>
        <w:rPr>
          <w:rFonts w:hint="eastAsia" w:ascii="宋体" w:hAnsi="宋体"/>
          <w:b/>
          <w:bCs/>
          <w:color w:val="auto"/>
          <w:highlight w:val="none"/>
        </w:rPr>
        <w:t>八、签订合同</w:t>
      </w:r>
    </w:p>
    <w:p>
      <w:pPr>
        <w:shd w:val="clear"/>
        <w:spacing w:line="440" w:lineRule="exact"/>
        <w:ind w:firstLine="472" w:firstLineChars="225"/>
        <w:rPr>
          <w:rFonts w:ascii="宋体" w:hAnsi="宋体"/>
          <w:color w:val="auto"/>
          <w:highlight w:val="none"/>
        </w:rPr>
      </w:pPr>
      <w:r>
        <w:rPr>
          <w:rFonts w:hint="eastAsia" w:ascii="宋体" w:hAnsi="宋体"/>
          <w:color w:val="auto"/>
          <w:highlight w:val="none"/>
        </w:rPr>
        <w:t>15.1成交供应商自成交通知书发出之日起二十五日内与采购人签订协议。采购人另有要求的，按要求执行。</w:t>
      </w:r>
    </w:p>
    <w:p>
      <w:pPr>
        <w:shd w:val="clear"/>
        <w:spacing w:line="440" w:lineRule="exact"/>
        <w:ind w:firstLine="472" w:firstLineChars="225"/>
        <w:rPr>
          <w:rFonts w:ascii="宋体" w:hAnsi="宋体"/>
          <w:color w:val="auto"/>
          <w:highlight w:val="none"/>
        </w:rPr>
      </w:pPr>
      <w:r>
        <w:rPr>
          <w:rFonts w:hint="eastAsia" w:ascii="宋体" w:hAnsi="宋体"/>
          <w:color w:val="auto"/>
          <w:highlight w:val="none"/>
        </w:rPr>
        <w:t>15.2</w:t>
      </w:r>
      <w:r>
        <w:rPr>
          <w:rFonts w:hint="eastAsia" w:ascii="宋体" w:hAnsi="宋体"/>
          <w:color w:val="auto"/>
          <w:kern w:val="0"/>
          <w:highlight w:val="none"/>
        </w:rPr>
        <w:t>成交供应商拒绝签订政府采购合同的</w:t>
      </w:r>
      <w:r>
        <w:rPr>
          <w:rFonts w:hint="eastAsia" w:ascii="宋体" w:hAnsi="宋体"/>
          <w:color w:val="auto"/>
          <w:highlight w:val="none"/>
        </w:rPr>
        <w:t>，采购人可以根据磋商评审报告确定成交供应商之后排名第一的成交候选供应商</w:t>
      </w:r>
      <w:r>
        <w:rPr>
          <w:rFonts w:hint="eastAsia" w:ascii="宋体" w:hAnsi="宋体"/>
          <w:color w:val="auto"/>
          <w:kern w:val="0"/>
          <w:highlight w:val="none"/>
        </w:rPr>
        <w:t>作为</w:t>
      </w:r>
      <w:r>
        <w:rPr>
          <w:rFonts w:hint="eastAsia" w:ascii="宋体" w:hAnsi="宋体"/>
          <w:color w:val="auto"/>
          <w:highlight w:val="none"/>
        </w:rPr>
        <w:t>成交供应商</w:t>
      </w:r>
      <w:r>
        <w:rPr>
          <w:rFonts w:hint="eastAsia" w:ascii="宋体" w:hAnsi="宋体"/>
          <w:color w:val="auto"/>
          <w:kern w:val="0"/>
          <w:highlight w:val="none"/>
        </w:rPr>
        <w:t>并签订政府采购合同，也可以重新开展采购活动。拒绝签订政府采购合同的成交供应商不得参加对该项目重新开展的采购活动。</w:t>
      </w:r>
    </w:p>
    <w:p>
      <w:pPr>
        <w:shd w:val="clear"/>
        <w:spacing w:line="440" w:lineRule="exact"/>
        <w:ind w:firstLine="422" w:firstLineChars="200"/>
        <w:rPr>
          <w:rFonts w:ascii="宋体" w:hAnsi="宋体"/>
          <w:b/>
          <w:bCs/>
          <w:color w:val="auto"/>
          <w:highlight w:val="none"/>
        </w:rPr>
      </w:pPr>
      <w:r>
        <w:rPr>
          <w:rFonts w:hint="eastAsia" w:ascii="宋体" w:hAnsi="宋体"/>
          <w:b/>
          <w:bCs/>
          <w:color w:val="auto"/>
          <w:highlight w:val="none"/>
        </w:rPr>
        <w:t>15.3</w:t>
      </w:r>
      <w:r>
        <w:rPr>
          <w:rFonts w:hint="eastAsia" w:ascii="宋体" w:hAnsi="宋体"/>
          <w:color w:val="auto"/>
          <w:kern w:val="0"/>
          <w:highlight w:val="none"/>
        </w:rPr>
        <w:t>成交供应商拒绝签订政府采购合同的</w:t>
      </w:r>
      <w:r>
        <w:rPr>
          <w:rFonts w:hint="eastAsia" w:ascii="宋体" w:hAnsi="宋体"/>
          <w:b/>
          <w:bCs/>
          <w:color w:val="auto"/>
          <w:highlight w:val="none"/>
        </w:rPr>
        <w:t>，其保证金将不予退还，并上缴国库，给采购人造成其损失的，还应当赔偿损失，并作为不良行为记录在案。</w:t>
      </w:r>
    </w:p>
    <w:p>
      <w:pPr>
        <w:shd w:val="clear"/>
        <w:spacing w:line="440" w:lineRule="exact"/>
        <w:ind w:left="420" w:leftChars="200" w:firstLine="105" w:firstLineChars="50"/>
        <w:rPr>
          <w:rFonts w:ascii="宋体" w:hAnsi="宋体"/>
          <w:b/>
          <w:bCs/>
          <w:color w:val="auto"/>
          <w:highlight w:val="none"/>
        </w:rPr>
      </w:pPr>
      <w:r>
        <w:rPr>
          <w:rFonts w:hint="eastAsia" w:ascii="宋体" w:hAnsi="宋体"/>
          <w:b/>
          <w:bCs/>
          <w:color w:val="auto"/>
          <w:highlight w:val="none"/>
        </w:rPr>
        <w:t>九、适用法律</w:t>
      </w:r>
    </w:p>
    <w:p>
      <w:pPr>
        <w:shd w:val="clear"/>
        <w:spacing w:line="440" w:lineRule="exact"/>
        <w:ind w:left="420" w:leftChars="200" w:firstLine="105" w:firstLineChars="50"/>
        <w:rPr>
          <w:rFonts w:ascii="宋体" w:hAnsi="宋体"/>
          <w:color w:val="auto"/>
          <w:highlight w:val="none"/>
        </w:rPr>
      </w:pPr>
      <w:r>
        <w:rPr>
          <w:rFonts w:hint="eastAsia" w:ascii="宋体" w:hAnsi="宋体"/>
          <w:color w:val="auto"/>
          <w:highlight w:val="none"/>
        </w:rPr>
        <w:t>16.采购当事人的一切活动均适用于《中华人民共和国政府采购法》及相关规定。最终磋商结束后，</w:t>
      </w:r>
    </w:p>
    <w:p>
      <w:pPr>
        <w:shd w:val="clear"/>
        <w:spacing w:line="440" w:lineRule="exact"/>
        <w:rPr>
          <w:rFonts w:ascii="宋体" w:hAnsi="宋体"/>
          <w:color w:val="auto"/>
          <w:highlight w:val="none"/>
        </w:rPr>
      </w:pPr>
      <w:r>
        <w:rPr>
          <w:rFonts w:hint="eastAsia" w:ascii="宋体" w:hAnsi="宋体"/>
          <w:color w:val="auto"/>
          <w:highlight w:val="none"/>
        </w:rPr>
        <w:t>磋商小组不得再与供应商进行任何形式的磋商。</w:t>
      </w:r>
    </w:p>
    <w:p>
      <w:pPr>
        <w:shd w:val="clear"/>
        <w:spacing w:line="440" w:lineRule="exact"/>
        <w:ind w:left="420" w:leftChars="200" w:firstLine="105" w:firstLineChars="50"/>
        <w:rPr>
          <w:rFonts w:ascii="宋体" w:hAnsi="宋体"/>
          <w:b/>
          <w:bCs/>
          <w:color w:val="auto"/>
          <w:highlight w:val="none"/>
        </w:rPr>
      </w:pPr>
      <w:r>
        <w:rPr>
          <w:rFonts w:hint="eastAsia" w:ascii="宋体" w:hAnsi="宋体"/>
          <w:b/>
          <w:bCs/>
          <w:color w:val="auto"/>
          <w:highlight w:val="none"/>
        </w:rPr>
        <w:t>十、其他事项</w:t>
      </w:r>
    </w:p>
    <w:p>
      <w:pPr>
        <w:shd w:val="clear"/>
        <w:spacing w:line="440" w:lineRule="exact"/>
        <w:ind w:firstLine="474" w:firstLineChars="225"/>
        <w:rPr>
          <w:rFonts w:ascii="宋体" w:hAnsi="宋体"/>
          <w:b/>
          <w:bCs/>
          <w:color w:val="auto"/>
          <w:highlight w:val="none"/>
        </w:rPr>
      </w:pPr>
      <w:r>
        <w:rPr>
          <w:rFonts w:hint="eastAsia" w:ascii="宋体" w:hAnsi="宋体"/>
          <w:b/>
          <w:bCs/>
          <w:color w:val="auto"/>
          <w:highlight w:val="none"/>
        </w:rPr>
        <w:t>17.1解释权</w:t>
      </w:r>
    </w:p>
    <w:p>
      <w:pPr>
        <w:shd w:val="clear"/>
        <w:snapToGrid w:val="0"/>
        <w:spacing w:line="360" w:lineRule="auto"/>
        <w:ind w:firstLine="404" w:firstLineChars="200"/>
        <w:rPr>
          <w:rFonts w:hAnsi="宋体"/>
          <w:color w:val="auto"/>
          <w:spacing w:val="-4"/>
          <w:highlight w:val="none"/>
        </w:rPr>
      </w:pPr>
      <w:r>
        <w:rPr>
          <w:rFonts w:hint="eastAsia" w:hAnsi="宋体"/>
          <w:color w:val="auto"/>
          <w:spacing w:val="-4"/>
          <w:highlight w:val="none"/>
        </w:rPr>
        <w:t>本</w:t>
      </w:r>
      <w:r>
        <w:rPr>
          <w:rFonts w:hint="eastAsia" w:hAnsi="宋体"/>
          <w:color w:val="auto"/>
          <w:highlight w:val="none"/>
        </w:rPr>
        <w:t>竞争性磋商</w:t>
      </w:r>
      <w:r>
        <w:rPr>
          <w:rFonts w:hint="eastAsia" w:hAnsi="宋体"/>
          <w:color w:val="auto"/>
          <w:spacing w:val="-4"/>
          <w:highlight w:val="none"/>
        </w:rPr>
        <w:t>文件解释权属</w:t>
      </w:r>
      <w:r>
        <w:rPr>
          <w:rFonts w:hint="eastAsia" w:hAnsi="宋体"/>
          <w:b/>
          <w:bCs/>
          <w:color w:val="auto"/>
          <w:spacing w:val="-4"/>
          <w:highlight w:val="none"/>
          <w:u w:val="single"/>
        </w:rPr>
        <w:t>华夏城投项目管理有限公司</w:t>
      </w:r>
      <w:r>
        <w:rPr>
          <w:rFonts w:hint="eastAsia" w:hAnsi="宋体"/>
          <w:color w:val="auto"/>
          <w:spacing w:val="-4"/>
          <w:highlight w:val="none"/>
        </w:rPr>
        <w:t>。</w:t>
      </w:r>
    </w:p>
    <w:p>
      <w:pPr>
        <w:shd w:val="clear"/>
        <w:snapToGrid w:val="0"/>
        <w:spacing w:line="360" w:lineRule="auto"/>
        <w:ind w:firstLine="422" w:firstLineChars="200"/>
        <w:rPr>
          <w:rFonts w:ascii="宋体" w:hAnsi="宋体" w:cs="宋体"/>
          <w:b/>
          <w:color w:val="auto"/>
          <w:kern w:val="0"/>
          <w:highlight w:val="none"/>
        </w:rPr>
      </w:pPr>
      <w:r>
        <w:rPr>
          <w:rFonts w:hint="eastAsia" w:ascii="宋体" w:hAnsi="宋体" w:cs="宋体"/>
          <w:b/>
          <w:color w:val="auto"/>
          <w:kern w:val="0"/>
          <w:highlight w:val="none"/>
        </w:rPr>
        <w:t>解释权：</w:t>
      </w:r>
      <w:r>
        <w:rPr>
          <w:rFonts w:hint="eastAsia" w:ascii="宋体" w:hAnsi="宋体" w:cs="宋体"/>
          <w:color w:val="auto"/>
          <w:kern w:val="0"/>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代理机构负责解释。</w:t>
      </w:r>
    </w:p>
    <w:p>
      <w:pPr>
        <w:pStyle w:val="21"/>
        <w:shd w:val="clear"/>
        <w:spacing w:line="340" w:lineRule="exact"/>
        <w:ind w:firstLine="474" w:firstLineChars="225"/>
        <w:rPr>
          <w:rFonts w:hAnsi="宋体"/>
          <w:color w:val="auto"/>
          <w:highlight w:val="none"/>
        </w:rPr>
      </w:pPr>
      <w:r>
        <w:rPr>
          <w:rFonts w:hint="eastAsia" w:hAnsi="宋体"/>
          <w:b/>
          <w:bCs/>
          <w:color w:val="auto"/>
          <w:highlight w:val="none"/>
        </w:rPr>
        <w:t>17.2 有关事宜</w:t>
      </w:r>
    </w:p>
    <w:p>
      <w:pPr>
        <w:shd w:val="clear"/>
        <w:spacing w:line="440" w:lineRule="exact"/>
        <w:ind w:left="420" w:leftChars="200" w:firstLine="105" w:firstLineChars="50"/>
        <w:rPr>
          <w:rFonts w:ascii="宋体" w:hAnsi="宋体"/>
          <w:color w:val="auto"/>
          <w:highlight w:val="none"/>
        </w:rPr>
      </w:pPr>
      <w:r>
        <w:rPr>
          <w:rFonts w:hint="eastAsia" w:ascii="宋体" w:hAnsi="宋体"/>
          <w:color w:val="auto"/>
          <w:highlight w:val="none"/>
        </w:rPr>
        <w:t>所有与本竞争性磋商文件有关的函件请按下列通讯地址联系：</w:t>
      </w:r>
    </w:p>
    <w:p>
      <w:pPr>
        <w:shd w:val="clear"/>
        <w:spacing w:line="440" w:lineRule="exact"/>
        <w:ind w:left="420" w:leftChars="200" w:firstLine="105" w:firstLineChars="50"/>
        <w:rPr>
          <w:rFonts w:ascii="宋体" w:hAnsi="宋体"/>
          <w:color w:val="auto"/>
          <w:highlight w:val="none"/>
        </w:rPr>
      </w:pPr>
      <w:r>
        <w:rPr>
          <w:rFonts w:hint="eastAsia" w:ascii="宋体" w:hAnsi="宋体"/>
          <w:color w:val="auto"/>
          <w:highlight w:val="none"/>
        </w:rPr>
        <w:t>华夏城投项目管理有限公司</w:t>
      </w:r>
    </w:p>
    <w:p>
      <w:pPr>
        <w:shd w:val="clear"/>
        <w:spacing w:line="440" w:lineRule="exact"/>
        <w:ind w:left="420" w:leftChars="200" w:firstLine="105" w:firstLineChars="50"/>
        <w:rPr>
          <w:rFonts w:ascii="宋体" w:hAnsi="宋体"/>
          <w:color w:val="auto"/>
          <w:highlight w:val="none"/>
        </w:rPr>
      </w:pPr>
      <w:r>
        <w:rPr>
          <w:rFonts w:hint="eastAsia" w:ascii="宋体" w:hAnsi="宋体"/>
          <w:color w:val="auto"/>
          <w:highlight w:val="none"/>
        </w:rPr>
        <w:t>邮政编码：530022</w:t>
      </w:r>
    </w:p>
    <w:p>
      <w:pPr>
        <w:shd w:val="clear"/>
        <w:spacing w:line="440" w:lineRule="exact"/>
        <w:ind w:left="420" w:leftChars="200" w:firstLine="105" w:firstLineChars="50"/>
        <w:rPr>
          <w:rFonts w:ascii="宋体" w:hAnsi="宋体"/>
          <w:color w:val="auto"/>
          <w:highlight w:val="none"/>
        </w:rPr>
      </w:pPr>
      <w:r>
        <w:rPr>
          <w:rFonts w:hint="eastAsia" w:ascii="宋体" w:hAnsi="宋体"/>
          <w:color w:val="auto"/>
          <w:highlight w:val="none"/>
        </w:rPr>
        <w:t>通讯地址：南宁市东葛路118号青秀万达写字楼银座8楼808室</w:t>
      </w:r>
    </w:p>
    <w:p>
      <w:pPr>
        <w:shd w:val="clear"/>
        <w:spacing w:line="440" w:lineRule="exact"/>
        <w:ind w:left="420" w:leftChars="200" w:firstLine="105" w:firstLineChars="50"/>
        <w:rPr>
          <w:rFonts w:ascii="宋体" w:hAnsi="宋体"/>
          <w:color w:val="auto"/>
          <w:highlight w:val="none"/>
        </w:rPr>
      </w:pPr>
      <w:r>
        <w:rPr>
          <w:rFonts w:hint="eastAsia" w:ascii="宋体" w:hAnsi="宋体"/>
          <w:color w:val="auto"/>
          <w:highlight w:val="none"/>
        </w:rPr>
        <w:t>电    话：0771-5382528</w:t>
      </w:r>
    </w:p>
    <w:p>
      <w:pPr>
        <w:shd w:val="clear"/>
        <w:spacing w:line="440" w:lineRule="exact"/>
        <w:ind w:firstLine="474" w:firstLineChars="225"/>
        <w:rPr>
          <w:rFonts w:ascii="宋体" w:hAnsi="宋体"/>
          <w:b/>
          <w:bCs/>
          <w:color w:val="auto"/>
          <w:highlight w:val="none"/>
        </w:rPr>
      </w:pPr>
      <w:r>
        <w:rPr>
          <w:rFonts w:hint="eastAsia" w:ascii="宋体" w:hAnsi="宋体"/>
          <w:b/>
          <w:bCs/>
          <w:color w:val="auto"/>
          <w:highlight w:val="none"/>
        </w:rPr>
        <w:t>17.3采购代理费：</w:t>
      </w:r>
    </w:p>
    <w:p>
      <w:pPr>
        <w:snapToGrid w:val="0"/>
        <w:spacing w:line="360" w:lineRule="auto"/>
        <w:ind w:firstLine="420" w:firstLineChars="200"/>
        <w:rPr>
          <w:rFonts w:ascii="宋体" w:hAnsi="宋体" w:cs="宋体"/>
          <w:color w:val="auto"/>
          <w:kern w:val="0"/>
        </w:rPr>
      </w:pPr>
      <w:r>
        <w:rPr>
          <w:rFonts w:hint="eastAsia" w:ascii="宋体" w:hAnsi="宋体" w:cs="宋体"/>
          <w:color w:val="auto"/>
        </w:rPr>
        <w:t>本项目代理服务费由成交供应商领取成交通知书前，一次性向采购代理机构支付。</w:t>
      </w:r>
      <w:bookmarkStart w:id="12" w:name="PO_3000001868_PM025"/>
    </w:p>
    <w:p>
      <w:pPr>
        <w:snapToGrid w:val="0"/>
        <w:spacing w:line="360" w:lineRule="auto"/>
        <w:ind w:firstLine="420" w:firstLineChars="200"/>
        <w:contextualSpacing/>
        <w:rPr>
          <w:rFonts w:ascii="宋体" w:hAnsi="宋体"/>
          <w:color w:val="auto"/>
          <w:szCs w:val="20"/>
        </w:rPr>
      </w:pPr>
      <w:r>
        <w:rPr>
          <w:rFonts w:ascii="宋体" w:hAnsi="宋体"/>
          <w:color w:val="auto"/>
          <w:szCs w:val="20"/>
        </w:rPr>
        <w:t>本项目的</w:t>
      </w:r>
      <w:r>
        <w:rPr>
          <w:rFonts w:hint="eastAsia" w:ascii="宋体" w:hAnsi="宋体"/>
          <w:color w:val="auto"/>
          <w:szCs w:val="20"/>
        </w:rPr>
        <w:t>采购</w:t>
      </w:r>
      <w:r>
        <w:rPr>
          <w:rFonts w:ascii="宋体" w:hAnsi="宋体"/>
          <w:color w:val="auto"/>
          <w:szCs w:val="20"/>
        </w:rPr>
        <w:t>代理服务费按以下收费标准（</w:t>
      </w:r>
      <w:r>
        <w:rPr>
          <w:rFonts w:hint="eastAsia" w:ascii="宋体" w:hAnsi="宋体"/>
          <w:color w:val="auto"/>
          <w:szCs w:val="20"/>
        </w:rPr>
        <w:t>服务</w:t>
      </w:r>
      <w:r>
        <w:rPr>
          <w:rFonts w:ascii="宋体" w:hAnsi="宋体"/>
          <w:color w:val="auto"/>
          <w:szCs w:val="20"/>
        </w:rPr>
        <w:t>类）向</w:t>
      </w:r>
      <w:r>
        <w:rPr>
          <w:rFonts w:hint="eastAsia" w:ascii="宋体" w:hAnsi="宋体"/>
          <w:color w:val="auto"/>
          <w:szCs w:val="20"/>
        </w:rPr>
        <w:t>成交</w:t>
      </w:r>
      <w:r>
        <w:rPr>
          <w:rFonts w:ascii="宋体" w:hAnsi="宋体"/>
          <w:color w:val="auto"/>
          <w:szCs w:val="20"/>
        </w:rPr>
        <w:t>人收取，领取</w:t>
      </w:r>
      <w:r>
        <w:rPr>
          <w:rFonts w:hint="eastAsia" w:ascii="宋体" w:hAnsi="宋体"/>
          <w:color w:val="auto"/>
          <w:szCs w:val="20"/>
        </w:rPr>
        <w:t>成交</w:t>
      </w:r>
      <w:r>
        <w:rPr>
          <w:rFonts w:ascii="宋体" w:hAnsi="宋体"/>
          <w:color w:val="auto"/>
          <w:szCs w:val="20"/>
        </w:rPr>
        <w:t>通知书前，</w:t>
      </w:r>
      <w:r>
        <w:rPr>
          <w:rFonts w:hint="eastAsia" w:ascii="宋体" w:hAnsi="宋体"/>
          <w:color w:val="auto"/>
          <w:szCs w:val="20"/>
        </w:rPr>
        <w:t>成交</w:t>
      </w:r>
      <w:r>
        <w:rPr>
          <w:rFonts w:ascii="宋体" w:hAnsi="宋体"/>
          <w:color w:val="auto"/>
          <w:szCs w:val="20"/>
        </w:rPr>
        <w:t>人应向采购代理机构一次付清代理服务费，否则采购代理机构有权不予以办理。</w:t>
      </w:r>
    </w:p>
    <w:p>
      <w:pPr>
        <w:snapToGrid w:val="0"/>
        <w:spacing w:line="360" w:lineRule="auto"/>
        <w:ind w:firstLine="420"/>
        <w:rPr>
          <w:rFonts w:ascii="宋体" w:hAnsi="宋体"/>
          <w:color w:val="auto"/>
          <w:kern w:val="0"/>
          <w:sz w:val="20"/>
        </w:rPr>
      </w:pPr>
      <w:r>
        <w:rPr>
          <w:rFonts w:hint="eastAsia" w:ascii="宋体" w:hAnsi="宋体"/>
          <w:color w:val="auto"/>
          <w:kern w:val="0"/>
          <w:sz w:val="20"/>
        </w:rPr>
        <w:t>招标代理服务费收费标准：</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1805"/>
        <w:gridCol w:w="1795"/>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718" w:type="dxa"/>
          </w:tcPr>
          <w:p>
            <w:pPr>
              <w:snapToGrid w:val="0"/>
              <w:spacing w:line="360" w:lineRule="auto"/>
              <w:rPr>
                <w:rFonts w:ascii="宋体" w:hAnsi="宋体"/>
                <w:color w:val="auto"/>
              </w:rPr>
            </w:pPr>
            <w:r>
              <w:rPr>
                <w:rFonts w:hint="eastAsia"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-6350</wp:posOffset>
                      </wp:positionV>
                      <wp:extent cx="1708785" cy="527685"/>
                      <wp:effectExtent l="1270" t="4445" r="4445" b="20320"/>
                      <wp:wrapNone/>
                      <wp:docPr id="1" name="Line 3"/>
                      <wp:cNvGraphicFramePr/>
                      <a:graphic xmlns:a="http://schemas.openxmlformats.org/drawingml/2006/main">
                        <a:graphicData uri="http://schemas.microsoft.com/office/word/2010/wordprocessingShape">
                          <wps:wsp>
                            <wps:cNvCnPr/>
                            <wps:spPr>
                              <a:xfrm>
                                <a:off x="0" y="0"/>
                                <a:ext cx="1803400" cy="4800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5.4pt;margin-top:-0.5pt;height:41.55pt;width:134.55pt;z-index:251660288;mso-width-relative:page;mso-height-relative:page;" filled="f" stroked="t" coordsize="21600,21600" o:gfxdata="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9PY+rXAAAACQEAAA8AAAAA&#10;AAAAAQAgAAAAIgAAAGRycy9kb3ducmV2LnhtbFBLAQIUABQAAAAIAIdO4kAmoZq83AEAAOADAAAO&#10;AAAAAAAAAAEAIAAAACYBAABkcnMvZTJvRG9jLnhtbFBLBQYAAAAABgAGAFkBAAB0BQAAAAA=&#10;">
                      <v:fill on="f" focussize="0,0"/>
                      <v:stroke color="#000000" joinstyle="round"/>
                      <v:imagedata o:title=""/>
                      <o:lock v:ext="edit" aspectratio="f"/>
                    </v:line>
                  </w:pict>
                </mc:Fallback>
              </mc:AlternateContent>
            </w:r>
            <w:r>
              <w:rPr>
                <w:rFonts w:hint="eastAsia" w:ascii="宋体" w:hAnsi="宋体"/>
                <w:color w:val="auto"/>
              </w:rPr>
              <w:t xml:space="preserve">          费率</w:t>
            </w:r>
          </w:p>
          <w:p>
            <w:pPr>
              <w:snapToGrid w:val="0"/>
              <w:spacing w:line="360" w:lineRule="auto"/>
              <w:rPr>
                <w:rFonts w:ascii="宋体" w:hAnsi="宋体"/>
                <w:color w:val="auto"/>
              </w:rPr>
            </w:pPr>
            <w:r>
              <w:rPr>
                <w:rFonts w:hint="eastAsia" w:ascii="宋体" w:hAnsi="宋体"/>
                <w:color w:val="auto"/>
              </w:rPr>
              <w:t>中标金额</w:t>
            </w:r>
          </w:p>
        </w:tc>
        <w:tc>
          <w:tcPr>
            <w:tcW w:w="1805" w:type="dxa"/>
            <w:vAlign w:val="center"/>
          </w:tcPr>
          <w:p>
            <w:pPr>
              <w:snapToGrid w:val="0"/>
              <w:spacing w:line="360" w:lineRule="auto"/>
              <w:ind w:firstLine="105" w:firstLineChars="50"/>
              <w:jc w:val="center"/>
              <w:rPr>
                <w:rFonts w:ascii="宋体" w:hAnsi="宋体"/>
                <w:color w:val="auto"/>
              </w:rPr>
            </w:pPr>
            <w:r>
              <w:rPr>
                <w:rFonts w:hint="eastAsia" w:ascii="宋体" w:hAnsi="宋体"/>
                <w:color w:val="auto"/>
              </w:rPr>
              <w:t>货物招标</w:t>
            </w:r>
          </w:p>
        </w:tc>
        <w:tc>
          <w:tcPr>
            <w:tcW w:w="1795" w:type="dxa"/>
            <w:vAlign w:val="center"/>
          </w:tcPr>
          <w:p>
            <w:pPr>
              <w:snapToGrid w:val="0"/>
              <w:spacing w:line="360" w:lineRule="auto"/>
              <w:jc w:val="center"/>
              <w:rPr>
                <w:rFonts w:ascii="宋体" w:hAnsi="宋体"/>
                <w:color w:val="auto"/>
              </w:rPr>
            </w:pPr>
            <w:r>
              <w:rPr>
                <w:rFonts w:hint="eastAsia" w:ascii="宋体" w:hAnsi="宋体"/>
                <w:color w:val="auto"/>
              </w:rPr>
              <w:t>服务招标</w:t>
            </w:r>
          </w:p>
        </w:tc>
        <w:tc>
          <w:tcPr>
            <w:tcW w:w="1640" w:type="dxa"/>
            <w:vAlign w:val="center"/>
          </w:tcPr>
          <w:p>
            <w:pPr>
              <w:snapToGrid w:val="0"/>
              <w:spacing w:line="360" w:lineRule="auto"/>
              <w:jc w:val="center"/>
              <w:rPr>
                <w:rFonts w:ascii="宋体" w:hAnsi="宋体"/>
                <w:color w:val="auto"/>
              </w:rPr>
            </w:pPr>
            <w:r>
              <w:rPr>
                <w:rFonts w:hint="eastAsia" w:ascii="宋体" w:hAnsi="宋体"/>
                <w:color w:val="auto"/>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snapToGrid w:val="0"/>
              <w:spacing w:line="360" w:lineRule="auto"/>
              <w:rPr>
                <w:rFonts w:ascii="宋体" w:hAnsi="宋体"/>
                <w:color w:val="auto"/>
              </w:rPr>
            </w:pPr>
            <w:r>
              <w:rPr>
                <w:rFonts w:hint="eastAsia" w:ascii="宋体" w:hAnsi="宋体"/>
                <w:color w:val="auto"/>
              </w:rPr>
              <w:t>100万元以下</w:t>
            </w:r>
          </w:p>
        </w:tc>
        <w:tc>
          <w:tcPr>
            <w:tcW w:w="1805" w:type="dxa"/>
            <w:vAlign w:val="center"/>
          </w:tcPr>
          <w:p>
            <w:pPr>
              <w:snapToGrid w:val="0"/>
              <w:spacing w:line="360" w:lineRule="auto"/>
              <w:jc w:val="center"/>
              <w:rPr>
                <w:rFonts w:ascii="宋体" w:hAnsi="宋体"/>
                <w:color w:val="auto"/>
              </w:rPr>
            </w:pPr>
            <w:r>
              <w:rPr>
                <w:rFonts w:ascii="宋体" w:hAnsi="宋体" w:cs="宋体"/>
                <w:color w:val="auto"/>
                <w:kern w:val="0"/>
              </w:rPr>
              <w:t>1.5%</w:t>
            </w:r>
          </w:p>
        </w:tc>
        <w:tc>
          <w:tcPr>
            <w:tcW w:w="1795" w:type="dxa"/>
            <w:vAlign w:val="center"/>
          </w:tcPr>
          <w:p>
            <w:pPr>
              <w:snapToGrid w:val="0"/>
              <w:spacing w:line="360" w:lineRule="auto"/>
              <w:jc w:val="center"/>
              <w:rPr>
                <w:rFonts w:ascii="宋体" w:hAnsi="宋体"/>
                <w:color w:val="auto"/>
              </w:rPr>
            </w:pPr>
            <w:r>
              <w:rPr>
                <w:rFonts w:ascii="宋体" w:hAnsi="宋体" w:cs="宋体"/>
                <w:color w:val="auto"/>
                <w:kern w:val="0"/>
              </w:rPr>
              <w:t>1.5%</w:t>
            </w:r>
          </w:p>
        </w:tc>
        <w:tc>
          <w:tcPr>
            <w:tcW w:w="1640" w:type="dxa"/>
            <w:vAlign w:val="center"/>
          </w:tcPr>
          <w:p>
            <w:pPr>
              <w:snapToGrid w:val="0"/>
              <w:spacing w:line="360" w:lineRule="auto"/>
              <w:jc w:val="center"/>
              <w:rPr>
                <w:rFonts w:ascii="宋体" w:hAnsi="宋体"/>
                <w:color w:val="auto"/>
              </w:rPr>
            </w:pPr>
            <w:r>
              <w:rPr>
                <w:rFonts w:ascii="宋体" w:hAnsi="宋体" w:cs="宋体"/>
                <w:color w:val="auto"/>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snapToGrid w:val="0"/>
              <w:spacing w:line="360" w:lineRule="auto"/>
              <w:rPr>
                <w:rFonts w:ascii="宋体" w:hAnsi="宋体"/>
                <w:color w:val="auto"/>
              </w:rPr>
            </w:pPr>
            <w:r>
              <w:rPr>
                <w:rFonts w:hint="eastAsia" w:ascii="宋体" w:hAnsi="宋体"/>
                <w:color w:val="auto"/>
              </w:rPr>
              <w:t>100～500万元</w:t>
            </w:r>
          </w:p>
        </w:tc>
        <w:tc>
          <w:tcPr>
            <w:tcW w:w="1805" w:type="dxa"/>
            <w:vAlign w:val="center"/>
          </w:tcPr>
          <w:p>
            <w:pPr>
              <w:snapToGrid w:val="0"/>
              <w:spacing w:line="360" w:lineRule="auto"/>
              <w:jc w:val="center"/>
              <w:rPr>
                <w:rFonts w:ascii="宋体" w:hAnsi="宋体"/>
                <w:color w:val="auto"/>
              </w:rPr>
            </w:pPr>
            <w:r>
              <w:rPr>
                <w:rFonts w:ascii="宋体" w:hAnsi="宋体" w:cs="宋体"/>
                <w:color w:val="auto"/>
                <w:kern w:val="0"/>
              </w:rPr>
              <w:t>1.1%</w:t>
            </w:r>
          </w:p>
        </w:tc>
        <w:tc>
          <w:tcPr>
            <w:tcW w:w="1795" w:type="dxa"/>
            <w:vAlign w:val="center"/>
          </w:tcPr>
          <w:p>
            <w:pPr>
              <w:snapToGrid w:val="0"/>
              <w:spacing w:line="360" w:lineRule="auto"/>
              <w:jc w:val="center"/>
              <w:rPr>
                <w:rFonts w:ascii="宋体" w:hAnsi="宋体"/>
                <w:color w:val="auto"/>
              </w:rPr>
            </w:pPr>
            <w:r>
              <w:rPr>
                <w:rFonts w:ascii="宋体" w:hAnsi="宋体" w:cs="宋体"/>
                <w:color w:val="auto"/>
                <w:kern w:val="0"/>
              </w:rPr>
              <w:t>0.8%</w:t>
            </w:r>
          </w:p>
        </w:tc>
        <w:tc>
          <w:tcPr>
            <w:tcW w:w="1640" w:type="dxa"/>
            <w:vAlign w:val="center"/>
          </w:tcPr>
          <w:p>
            <w:pPr>
              <w:snapToGrid w:val="0"/>
              <w:spacing w:line="360" w:lineRule="auto"/>
              <w:jc w:val="center"/>
              <w:rPr>
                <w:rFonts w:ascii="宋体" w:hAnsi="宋体"/>
                <w:color w:val="auto"/>
              </w:rPr>
            </w:pPr>
            <w:r>
              <w:rPr>
                <w:rFonts w:ascii="宋体" w:hAnsi="宋体" w:cs="宋体"/>
                <w:color w:val="auto"/>
                <w:kern w:val="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snapToGrid w:val="0"/>
              <w:spacing w:line="360" w:lineRule="auto"/>
              <w:rPr>
                <w:rFonts w:ascii="宋体" w:hAnsi="宋体"/>
                <w:color w:val="auto"/>
              </w:rPr>
            </w:pPr>
            <w:r>
              <w:rPr>
                <w:rFonts w:hint="eastAsia" w:ascii="宋体" w:hAnsi="宋体"/>
                <w:color w:val="auto"/>
              </w:rPr>
              <w:t>500～1000万元</w:t>
            </w:r>
          </w:p>
        </w:tc>
        <w:tc>
          <w:tcPr>
            <w:tcW w:w="1805" w:type="dxa"/>
            <w:vAlign w:val="center"/>
          </w:tcPr>
          <w:p>
            <w:pPr>
              <w:snapToGrid w:val="0"/>
              <w:spacing w:line="360" w:lineRule="auto"/>
              <w:jc w:val="center"/>
              <w:rPr>
                <w:rFonts w:ascii="宋体" w:hAnsi="宋体"/>
                <w:color w:val="auto"/>
              </w:rPr>
            </w:pPr>
            <w:r>
              <w:rPr>
                <w:rFonts w:ascii="宋体" w:hAnsi="宋体" w:cs="宋体"/>
                <w:color w:val="auto"/>
                <w:kern w:val="0"/>
              </w:rPr>
              <w:t>0.8%</w:t>
            </w:r>
          </w:p>
        </w:tc>
        <w:tc>
          <w:tcPr>
            <w:tcW w:w="1795" w:type="dxa"/>
            <w:vAlign w:val="center"/>
          </w:tcPr>
          <w:p>
            <w:pPr>
              <w:snapToGrid w:val="0"/>
              <w:spacing w:line="360" w:lineRule="auto"/>
              <w:jc w:val="center"/>
              <w:rPr>
                <w:rFonts w:ascii="宋体" w:hAnsi="宋体"/>
                <w:color w:val="auto"/>
              </w:rPr>
            </w:pPr>
            <w:r>
              <w:rPr>
                <w:rFonts w:ascii="宋体" w:hAnsi="宋体" w:cs="宋体"/>
                <w:color w:val="auto"/>
                <w:kern w:val="0"/>
              </w:rPr>
              <w:t>0.45%</w:t>
            </w:r>
          </w:p>
        </w:tc>
        <w:tc>
          <w:tcPr>
            <w:tcW w:w="1640" w:type="dxa"/>
            <w:vAlign w:val="center"/>
          </w:tcPr>
          <w:p>
            <w:pPr>
              <w:snapToGrid w:val="0"/>
              <w:spacing w:line="360" w:lineRule="auto"/>
              <w:jc w:val="center"/>
              <w:rPr>
                <w:rFonts w:ascii="宋体" w:hAnsi="宋体"/>
                <w:color w:val="auto"/>
              </w:rPr>
            </w:pPr>
            <w:r>
              <w:rPr>
                <w:rFonts w:ascii="宋体" w:hAnsi="宋体" w:cs="宋体"/>
                <w:color w:val="auto"/>
                <w:kern w:val="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snapToGrid w:val="0"/>
              <w:spacing w:line="360" w:lineRule="auto"/>
              <w:rPr>
                <w:rFonts w:ascii="宋体" w:hAnsi="宋体"/>
                <w:color w:val="auto"/>
              </w:rPr>
            </w:pPr>
            <w:r>
              <w:rPr>
                <w:rFonts w:hint="eastAsia" w:ascii="宋体" w:hAnsi="宋体"/>
                <w:color w:val="auto"/>
              </w:rPr>
              <w:t>1000～5000万元</w:t>
            </w:r>
          </w:p>
        </w:tc>
        <w:tc>
          <w:tcPr>
            <w:tcW w:w="1805" w:type="dxa"/>
            <w:vAlign w:val="center"/>
          </w:tcPr>
          <w:p>
            <w:pPr>
              <w:snapToGrid w:val="0"/>
              <w:spacing w:line="360" w:lineRule="auto"/>
              <w:jc w:val="center"/>
              <w:rPr>
                <w:rFonts w:ascii="宋体" w:hAnsi="宋体"/>
                <w:color w:val="auto"/>
              </w:rPr>
            </w:pPr>
            <w:r>
              <w:rPr>
                <w:rFonts w:ascii="宋体" w:hAnsi="宋体" w:cs="宋体"/>
                <w:color w:val="auto"/>
                <w:kern w:val="0"/>
              </w:rPr>
              <w:t>0.5%</w:t>
            </w:r>
          </w:p>
        </w:tc>
        <w:tc>
          <w:tcPr>
            <w:tcW w:w="1795" w:type="dxa"/>
            <w:vAlign w:val="center"/>
          </w:tcPr>
          <w:p>
            <w:pPr>
              <w:snapToGrid w:val="0"/>
              <w:spacing w:line="360" w:lineRule="auto"/>
              <w:jc w:val="center"/>
              <w:rPr>
                <w:rFonts w:ascii="宋体" w:hAnsi="宋体"/>
                <w:color w:val="auto"/>
              </w:rPr>
            </w:pPr>
            <w:r>
              <w:rPr>
                <w:rFonts w:ascii="宋体" w:hAnsi="宋体" w:cs="宋体"/>
                <w:color w:val="auto"/>
                <w:kern w:val="0"/>
              </w:rPr>
              <w:t>0.25%</w:t>
            </w:r>
          </w:p>
        </w:tc>
        <w:tc>
          <w:tcPr>
            <w:tcW w:w="1640" w:type="dxa"/>
            <w:vAlign w:val="center"/>
          </w:tcPr>
          <w:p>
            <w:pPr>
              <w:snapToGrid w:val="0"/>
              <w:spacing w:line="360" w:lineRule="auto"/>
              <w:jc w:val="center"/>
              <w:rPr>
                <w:rFonts w:ascii="宋体" w:hAnsi="宋体"/>
                <w:color w:val="auto"/>
              </w:rPr>
            </w:pPr>
            <w:r>
              <w:rPr>
                <w:rFonts w:ascii="宋体" w:hAnsi="宋体" w:cs="宋体"/>
                <w:color w:val="auto"/>
                <w:kern w:val="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snapToGrid w:val="0"/>
              <w:spacing w:line="360" w:lineRule="auto"/>
              <w:rPr>
                <w:rFonts w:ascii="宋体" w:hAnsi="宋体"/>
                <w:color w:val="auto"/>
              </w:rPr>
            </w:pPr>
            <w:r>
              <w:rPr>
                <w:rFonts w:hint="eastAsia" w:ascii="宋体" w:hAnsi="宋体"/>
                <w:color w:val="auto"/>
              </w:rPr>
              <w:t>5000万元～1亿元</w:t>
            </w:r>
          </w:p>
        </w:tc>
        <w:tc>
          <w:tcPr>
            <w:tcW w:w="1805" w:type="dxa"/>
            <w:vAlign w:val="center"/>
          </w:tcPr>
          <w:p>
            <w:pPr>
              <w:snapToGrid w:val="0"/>
              <w:spacing w:line="360" w:lineRule="auto"/>
              <w:jc w:val="center"/>
              <w:rPr>
                <w:rFonts w:ascii="宋体" w:hAnsi="宋体"/>
                <w:color w:val="auto"/>
              </w:rPr>
            </w:pPr>
            <w:r>
              <w:rPr>
                <w:rFonts w:ascii="宋体" w:hAnsi="宋体" w:cs="宋体"/>
                <w:color w:val="auto"/>
                <w:kern w:val="0"/>
              </w:rPr>
              <w:t>0.25%</w:t>
            </w:r>
          </w:p>
        </w:tc>
        <w:tc>
          <w:tcPr>
            <w:tcW w:w="1795" w:type="dxa"/>
            <w:vAlign w:val="center"/>
          </w:tcPr>
          <w:p>
            <w:pPr>
              <w:snapToGrid w:val="0"/>
              <w:spacing w:line="360" w:lineRule="auto"/>
              <w:jc w:val="center"/>
              <w:rPr>
                <w:rFonts w:ascii="宋体" w:hAnsi="宋体"/>
                <w:color w:val="auto"/>
              </w:rPr>
            </w:pPr>
            <w:r>
              <w:rPr>
                <w:rFonts w:ascii="宋体" w:hAnsi="宋体" w:cs="宋体"/>
                <w:color w:val="auto"/>
                <w:kern w:val="0"/>
              </w:rPr>
              <w:t>0.1%</w:t>
            </w:r>
          </w:p>
        </w:tc>
        <w:tc>
          <w:tcPr>
            <w:tcW w:w="1640" w:type="dxa"/>
            <w:vAlign w:val="center"/>
          </w:tcPr>
          <w:p>
            <w:pPr>
              <w:snapToGrid w:val="0"/>
              <w:spacing w:line="360" w:lineRule="auto"/>
              <w:jc w:val="center"/>
              <w:rPr>
                <w:rFonts w:ascii="宋体" w:hAnsi="宋体"/>
                <w:color w:val="auto"/>
              </w:rPr>
            </w:pPr>
            <w:r>
              <w:rPr>
                <w:rFonts w:ascii="宋体" w:hAnsi="宋体" w:cs="宋体"/>
                <w:color w:val="auto"/>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snapToGrid w:val="0"/>
              <w:spacing w:line="360" w:lineRule="auto"/>
              <w:rPr>
                <w:rFonts w:ascii="宋体" w:hAnsi="宋体"/>
                <w:color w:val="auto"/>
              </w:rPr>
            </w:pPr>
            <w:r>
              <w:rPr>
                <w:rFonts w:hint="eastAsia" w:ascii="宋体" w:hAnsi="宋体"/>
                <w:color w:val="auto"/>
              </w:rPr>
              <w:t>1～5亿元</w:t>
            </w:r>
          </w:p>
        </w:tc>
        <w:tc>
          <w:tcPr>
            <w:tcW w:w="1805" w:type="dxa"/>
            <w:vAlign w:val="center"/>
          </w:tcPr>
          <w:p>
            <w:pPr>
              <w:snapToGrid w:val="0"/>
              <w:spacing w:line="360" w:lineRule="auto"/>
              <w:jc w:val="center"/>
              <w:rPr>
                <w:rFonts w:ascii="宋体" w:hAnsi="宋体"/>
                <w:color w:val="auto"/>
              </w:rPr>
            </w:pPr>
            <w:r>
              <w:rPr>
                <w:rFonts w:hint="eastAsia" w:ascii="宋体" w:hAnsi="宋体"/>
                <w:color w:val="auto"/>
              </w:rPr>
              <w:t>0.05%</w:t>
            </w:r>
          </w:p>
        </w:tc>
        <w:tc>
          <w:tcPr>
            <w:tcW w:w="1795" w:type="dxa"/>
            <w:vAlign w:val="center"/>
          </w:tcPr>
          <w:p>
            <w:pPr>
              <w:snapToGrid w:val="0"/>
              <w:spacing w:line="360" w:lineRule="auto"/>
              <w:jc w:val="center"/>
              <w:rPr>
                <w:rFonts w:ascii="宋体" w:hAnsi="宋体"/>
                <w:color w:val="auto"/>
              </w:rPr>
            </w:pPr>
            <w:r>
              <w:rPr>
                <w:rFonts w:hint="eastAsia" w:ascii="宋体" w:hAnsi="宋体"/>
                <w:color w:val="auto"/>
              </w:rPr>
              <w:t>0.05%</w:t>
            </w:r>
          </w:p>
        </w:tc>
        <w:tc>
          <w:tcPr>
            <w:tcW w:w="1640" w:type="dxa"/>
            <w:vAlign w:val="center"/>
          </w:tcPr>
          <w:p>
            <w:pPr>
              <w:snapToGrid w:val="0"/>
              <w:spacing w:line="360" w:lineRule="auto"/>
              <w:jc w:val="center"/>
              <w:rPr>
                <w:rFonts w:ascii="宋体" w:hAnsi="宋体"/>
                <w:color w:val="auto"/>
              </w:rPr>
            </w:pPr>
            <w:r>
              <w:rPr>
                <w:rFonts w:hint="eastAsia" w:ascii="宋体" w:hAnsi="宋体"/>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snapToGrid w:val="0"/>
              <w:spacing w:line="360" w:lineRule="auto"/>
              <w:rPr>
                <w:rFonts w:ascii="宋体" w:hAnsi="宋体"/>
                <w:color w:val="auto"/>
              </w:rPr>
            </w:pPr>
            <w:r>
              <w:rPr>
                <w:rFonts w:hint="eastAsia" w:ascii="宋体" w:hAnsi="宋体"/>
                <w:color w:val="auto"/>
              </w:rPr>
              <w:t>5～10亿元</w:t>
            </w:r>
          </w:p>
        </w:tc>
        <w:tc>
          <w:tcPr>
            <w:tcW w:w="1805" w:type="dxa"/>
            <w:vAlign w:val="center"/>
          </w:tcPr>
          <w:p>
            <w:pPr>
              <w:snapToGrid w:val="0"/>
              <w:spacing w:line="360" w:lineRule="auto"/>
              <w:jc w:val="center"/>
              <w:rPr>
                <w:rFonts w:ascii="宋体" w:hAnsi="宋体"/>
                <w:color w:val="auto"/>
              </w:rPr>
            </w:pPr>
            <w:r>
              <w:rPr>
                <w:rFonts w:hint="eastAsia" w:ascii="宋体" w:hAnsi="宋体"/>
                <w:color w:val="auto"/>
              </w:rPr>
              <w:t>0.035%</w:t>
            </w:r>
          </w:p>
        </w:tc>
        <w:tc>
          <w:tcPr>
            <w:tcW w:w="1795" w:type="dxa"/>
            <w:vAlign w:val="center"/>
          </w:tcPr>
          <w:p>
            <w:pPr>
              <w:snapToGrid w:val="0"/>
              <w:spacing w:line="360" w:lineRule="auto"/>
              <w:jc w:val="center"/>
              <w:rPr>
                <w:rFonts w:ascii="宋体" w:hAnsi="宋体"/>
                <w:color w:val="auto"/>
              </w:rPr>
            </w:pPr>
            <w:r>
              <w:rPr>
                <w:rFonts w:hint="eastAsia" w:ascii="宋体" w:hAnsi="宋体"/>
                <w:color w:val="auto"/>
              </w:rPr>
              <w:t>0.035%</w:t>
            </w:r>
          </w:p>
        </w:tc>
        <w:tc>
          <w:tcPr>
            <w:tcW w:w="1640" w:type="dxa"/>
            <w:vAlign w:val="center"/>
          </w:tcPr>
          <w:p>
            <w:pPr>
              <w:snapToGrid w:val="0"/>
              <w:spacing w:line="360" w:lineRule="auto"/>
              <w:jc w:val="center"/>
              <w:rPr>
                <w:rFonts w:ascii="宋体" w:hAnsi="宋体"/>
                <w:color w:val="auto"/>
              </w:rPr>
            </w:pPr>
            <w:r>
              <w:rPr>
                <w:rFonts w:hint="eastAsia" w:ascii="宋体" w:hAnsi="宋体"/>
                <w:color w:val="auto"/>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snapToGrid w:val="0"/>
              <w:spacing w:line="360" w:lineRule="auto"/>
              <w:rPr>
                <w:rFonts w:ascii="宋体" w:hAnsi="宋体"/>
                <w:color w:val="auto"/>
              </w:rPr>
            </w:pPr>
            <w:r>
              <w:rPr>
                <w:rFonts w:hint="eastAsia" w:ascii="宋体" w:hAnsi="宋体"/>
                <w:color w:val="auto"/>
              </w:rPr>
              <w:t>10～50亿元</w:t>
            </w:r>
          </w:p>
        </w:tc>
        <w:tc>
          <w:tcPr>
            <w:tcW w:w="1805" w:type="dxa"/>
            <w:vAlign w:val="center"/>
          </w:tcPr>
          <w:p>
            <w:pPr>
              <w:snapToGrid w:val="0"/>
              <w:spacing w:line="360" w:lineRule="auto"/>
              <w:jc w:val="center"/>
              <w:rPr>
                <w:rFonts w:ascii="宋体" w:hAnsi="宋体"/>
                <w:color w:val="auto"/>
              </w:rPr>
            </w:pPr>
            <w:r>
              <w:rPr>
                <w:rFonts w:hint="eastAsia" w:ascii="宋体" w:hAnsi="宋体"/>
                <w:color w:val="auto"/>
              </w:rPr>
              <w:t>0.008%</w:t>
            </w:r>
          </w:p>
        </w:tc>
        <w:tc>
          <w:tcPr>
            <w:tcW w:w="1795" w:type="dxa"/>
            <w:vAlign w:val="center"/>
          </w:tcPr>
          <w:p>
            <w:pPr>
              <w:snapToGrid w:val="0"/>
              <w:spacing w:line="360" w:lineRule="auto"/>
              <w:jc w:val="center"/>
              <w:rPr>
                <w:rFonts w:ascii="宋体" w:hAnsi="宋体"/>
                <w:color w:val="auto"/>
              </w:rPr>
            </w:pPr>
            <w:r>
              <w:rPr>
                <w:rFonts w:hint="eastAsia" w:ascii="宋体" w:hAnsi="宋体"/>
                <w:color w:val="auto"/>
              </w:rPr>
              <w:t>0.008%</w:t>
            </w:r>
          </w:p>
        </w:tc>
        <w:tc>
          <w:tcPr>
            <w:tcW w:w="1640" w:type="dxa"/>
            <w:vAlign w:val="center"/>
          </w:tcPr>
          <w:p>
            <w:pPr>
              <w:snapToGrid w:val="0"/>
              <w:spacing w:line="360" w:lineRule="auto"/>
              <w:jc w:val="center"/>
              <w:rPr>
                <w:rFonts w:ascii="宋体" w:hAnsi="宋体"/>
                <w:color w:val="auto"/>
              </w:rPr>
            </w:pPr>
            <w:r>
              <w:rPr>
                <w:rFonts w:hint="eastAsia" w:ascii="宋体" w:hAnsi="宋体"/>
                <w:color w:val="auto"/>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18" w:type="dxa"/>
            <w:vAlign w:val="center"/>
          </w:tcPr>
          <w:p>
            <w:pPr>
              <w:snapToGrid w:val="0"/>
              <w:spacing w:line="360" w:lineRule="auto"/>
              <w:rPr>
                <w:rFonts w:ascii="宋体" w:hAnsi="宋体"/>
                <w:color w:val="auto"/>
              </w:rPr>
            </w:pPr>
            <w:r>
              <w:rPr>
                <w:rFonts w:hint="eastAsia" w:ascii="宋体" w:hAnsi="宋体"/>
                <w:color w:val="auto"/>
              </w:rPr>
              <w:t>50～100亿元</w:t>
            </w:r>
          </w:p>
        </w:tc>
        <w:tc>
          <w:tcPr>
            <w:tcW w:w="1805" w:type="dxa"/>
            <w:vAlign w:val="center"/>
          </w:tcPr>
          <w:p>
            <w:pPr>
              <w:snapToGrid w:val="0"/>
              <w:spacing w:line="360" w:lineRule="auto"/>
              <w:jc w:val="center"/>
              <w:rPr>
                <w:rFonts w:ascii="宋体" w:hAnsi="宋体"/>
                <w:color w:val="auto"/>
              </w:rPr>
            </w:pPr>
            <w:r>
              <w:rPr>
                <w:rFonts w:hint="eastAsia" w:ascii="宋体" w:hAnsi="宋体"/>
                <w:color w:val="auto"/>
              </w:rPr>
              <w:t>0.006%</w:t>
            </w:r>
          </w:p>
        </w:tc>
        <w:tc>
          <w:tcPr>
            <w:tcW w:w="1795" w:type="dxa"/>
            <w:vAlign w:val="center"/>
          </w:tcPr>
          <w:p>
            <w:pPr>
              <w:snapToGrid w:val="0"/>
              <w:spacing w:line="360" w:lineRule="auto"/>
              <w:jc w:val="center"/>
              <w:rPr>
                <w:rFonts w:ascii="宋体" w:hAnsi="宋体"/>
                <w:color w:val="auto"/>
              </w:rPr>
            </w:pPr>
            <w:r>
              <w:rPr>
                <w:rFonts w:hint="eastAsia" w:ascii="宋体" w:hAnsi="宋体"/>
                <w:color w:val="auto"/>
              </w:rPr>
              <w:t>0.006%</w:t>
            </w:r>
          </w:p>
        </w:tc>
        <w:tc>
          <w:tcPr>
            <w:tcW w:w="1640" w:type="dxa"/>
            <w:vAlign w:val="center"/>
          </w:tcPr>
          <w:p>
            <w:pPr>
              <w:snapToGrid w:val="0"/>
              <w:spacing w:line="360" w:lineRule="auto"/>
              <w:jc w:val="center"/>
              <w:rPr>
                <w:rFonts w:ascii="宋体" w:hAnsi="宋体"/>
                <w:color w:val="auto"/>
              </w:rPr>
            </w:pPr>
            <w:r>
              <w:rPr>
                <w:rFonts w:hint="eastAsia" w:ascii="宋体" w:hAnsi="宋体"/>
                <w:color w:val="auto"/>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718" w:type="dxa"/>
            <w:vAlign w:val="center"/>
          </w:tcPr>
          <w:p>
            <w:pPr>
              <w:snapToGrid w:val="0"/>
              <w:spacing w:line="360" w:lineRule="auto"/>
              <w:rPr>
                <w:rFonts w:ascii="宋体" w:hAnsi="宋体"/>
                <w:color w:val="auto"/>
              </w:rPr>
            </w:pPr>
            <w:r>
              <w:rPr>
                <w:rFonts w:hint="eastAsia" w:ascii="宋体" w:hAnsi="宋体"/>
                <w:color w:val="auto"/>
              </w:rPr>
              <w:t>100亿以上</w:t>
            </w:r>
          </w:p>
        </w:tc>
        <w:tc>
          <w:tcPr>
            <w:tcW w:w="1805" w:type="dxa"/>
            <w:vAlign w:val="center"/>
          </w:tcPr>
          <w:p>
            <w:pPr>
              <w:snapToGrid w:val="0"/>
              <w:spacing w:line="360" w:lineRule="auto"/>
              <w:jc w:val="center"/>
              <w:rPr>
                <w:rFonts w:ascii="宋体" w:hAnsi="宋体"/>
                <w:color w:val="auto"/>
              </w:rPr>
            </w:pPr>
            <w:r>
              <w:rPr>
                <w:rFonts w:hint="eastAsia" w:ascii="宋体" w:hAnsi="宋体"/>
                <w:color w:val="auto"/>
              </w:rPr>
              <w:t>0.004%</w:t>
            </w:r>
          </w:p>
        </w:tc>
        <w:tc>
          <w:tcPr>
            <w:tcW w:w="1795" w:type="dxa"/>
            <w:vAlign w:val="center"/>
          </w:tcPr>
          <w:p>
            <w:pPr>
              <w:snapToGrid w:val="0"/>
              <w:spacing w:line="360" w:lineRule="auto"/>
              <w:jc w:val="center"/>
              <w:rPr>
                <w:rFonts w:ascii="宋体" w:hAnsi="宋体"/>
                <w:color w:val="auto"/>
              </w:rPr>
            </w:pPr>
            <w:r>
              <w:rPr>
                <w:rFonts w:hint="eastAsia" w:ascii="宋体" w:hAnsi="宋体"/>
                <w:color w:val="auto"/>
              </w:rPr>
              <w:t>0.004%</w:t>
            </w:r>
          </w:p>
        </w:tc>
        <w:tc>
          <w:tcPr>
            <w:tcW w:w="1640" w:type="dxa"/>
            <w:vAlign w:val="center"/>
          </w:tcPr>
          <w:p>
            <w:pPr>
              <w:snapToGrid w:val="0"/>
              <w:spacing w:line="360" w:lineRule="auto"/>
              <w:jc w:val="center"/>
              <w:rPr>
                <w:rFonts w:ascii="宋体" w:hAnsi="宋体"/>
                <w:color w:val="auto"/>
              </w:rPr>
            </w:pPr>
            <w:r>
              <w:rPr>
                <w:rFonts w:hint="eastAsia" w:ascii="宋体" w:hAnsi="宋体"/>
                <w:color w:val="auto"/>
              </w:rPr>
              <w:t>0.004%</w:t>
            </w:r>
          </w:p>
        </w:tc>
      </w:tr>
    </w:tbl>
    <w:p>
      <w:pPr>
        <w:snapToGrid w:val="0"/>
        <w:spacing w:line="360" w:lineRule="auto"/>
        <w:ind w:firstLine="300" w:firstLineChars="150"/>
        <w:rPr>
          <w:color w:val="auto"/>
        </w:rPr>
      </w:pPr>
      <w:r>
        <w:rPr>
          <w:rFonts w:hint="eastAsia" w:ascii="宋体" w:hAnsi="Courier New"/>
          <w:color w:val="auto"/>
          <w:kern w:val="0"/>
          <w:sz w:val="20"/>
        </w:rPr>
        <w:t>注：招标代理服务收费按差额定率累进法计算。</w:t>
      </w:r>
    </w:p>
    <w:bookmarkEnd w:id="12"/>
    <w:p>
      <w:pPr>
        <w:adjustRightInd w:val="0"/>
        <w:snapToGrid w:val="0"/>
        <w:spacing w:line="288" w:lineRule="auto"/>
        <w:ind w:firstLine="420" w:firstLineChars="200"/>
        <w:rPr>
          <w:color w:val="auto"/>
        </w:rPr>
      </w:pPr>
      <w:r>
        <w:rPr>
          <w:rFonts w:hint="eastAsia"/>
          <w:color w:val="auto"/>
        </w:rPr>
        <w:t>采购代理费收取银行账户</w:t>
      </w:r>
    </w:p>
    <w:p>
      <w:pPr>
        <w:adjustRightInd w:val="0"/>
        <w:snapToGrid w:val="0"/>
        <w:spacing w:line="288" w:lineRule="auto"/>
        <w:ind w:firstLine="420" w:firstLineChars="200"/>
        <w:rPr>
          <w:color w:val="auto"/>
        </w:rPr>
      </w:pPr>
      <w:r>
        <w:rPr>
          <w:rFonts w:hint="eastAsia"/>
          <w:color w:val="auto"/>
        </w:rPr>
        <w:t>账户名称：华夏城投项目管理有限公司广西分公司</w:t>
      </w:r>
    </w:p>
    <w:p>
      <w:pPr>
        <w:adjustRightInd w:val="0"/>
        <w:snapToGrid w:val="0"/>
        <w:spacing w:line="288" w:lineRule="auto"/>
        <w:ind w:firstLine="420" w:firstLineChars="200"/>
        <w:rPr>
          <w:color w:val="auto"/>
        </w:rPr>
      </w:pPr>
      <w:r>
        <w:rPr>
          <w:rFonts w:hint="eastAsia"/>
          <w:color w:val="auto"/>
        </w:rPr>
        <w:t>开户银行：中国建设银行股份有限公司南宁五象支行</w:t>
      </w:r>
    </w:p>
    <w:p>
      <w:pPr>
        <w:adjustRightInd w:val="0"/>
        <w:snapToGrid w:val="0"/>
        <w:spacing w:line="288" w:lineRule="auto"/>
        <w:ind w:firstLine="420" w:firstLineChars="200"/>
        <w:rPr>
          <w:color w:val="auto"/>
        </w:rPr>
      </w:pPr>
      <w:r>
        <w:rPr>
          <w:rFonts w:hint="eastAsia"/>
          <w:color w:val="auto"/>
        </w:rPr>
        <w:t xml:space="preserve">银行账号：45050160500100000030 </w:t>
      </w:r>
    </w:p>
    <w:p>
      <w:pPr>
        <w:shd w:val="clear"/>
        <w:spacing w:line="500" w:lineRule="exact"/>
        <w:rPr>
          <w:rFonts w:ascii="宋体" w:hAnsi="宋体"/>
          <w:b/>
          <w:bCs/>
          <w:color w:val="auto"/>
          <w:sz w:val="32"/>
          <w:szCs w:val="32"/>
          <w:highlight w:val="none"/>
        </w:rPr>
      </w:pPr>
      <w:r>
        <w:rPr>
          <w:rFonts w:hint="eastAsia" w:ascii="宋体" w:hAnsi="宋体"/>
          <w:b/>
          <w:bCs/>
          <w:color w:val="auto"/>
          <w:sz w:val="32"/>
          <w:szCs w:val="32"/>
          <w:highlight w:val="none"/>
        </w:rPr>
        <w:br w:type="page"/>
      </w:r>
    </w:p>
    <w:p>
      <w:pPr>
        <w:shd w:val="clear"/>
        <w:spacing w:line="500" w:lineRule="exact"/>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shd w:val="clear"/>
        <w:spacing w:line="500" w:lineRule="exact"/>
        <w:rPr>
          <w:rFonts w:ascii="宋体" w:hAnsi="宋体"/>
          <w:b/>
          <w:bCs/>
          <w:color w:val="auto"/>
          <w:sz w:val="32"/>
          <w:szCs w:val="32"/>
          <w:highlight w:val="none"/>
        </w:rPr>
      </w:pPr>
      <w:bookmarkStart w:id="13" w:name="_Toc18481386"/>
      <w:bookmarkEnd w:id="13"/>
      <w:r>
        <w:rPr>
          <w:rFonts w:hint="eastAsia" w:ascii="宋体" w:hAnsi="宋体"/>
          <w:b/>
          <w:bCs/>
          <w:color w:val="auto"/>
          <w:sz w:val="32"/>
          <w:szCs w:val="32"/>
          <w:highlight w:val="none"/>
        </w:rPr>
        <w:t xml:space="preserve"> </w:t>
      </w:r>
    </w:p>
    <w:p>
      <w:pPr>
        <w:shd w:val="clear"/>
        <w:spacing w:line="500" w:lineRule="exact"/>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shd w:val="clear"/>
        <w:rPr>
          <w:color w:val="auto"/>
          <w:highlight w:val="none"/>
        </w:rPr>
      </w:pPr>
    </w:p>
    <w:p>
      <w:pPr>
        <w:shd w:val="clear"/>
        <w:rPr>
          <w:color w:val="auto"/>
          <w:highlight w:val="none"/>
        </w:rPr>
      </w:pPr>
    </w:p>
    <w:p>
      <w:pPr>
        <w:pStyle w:val="2"/>
        <w:shd w:val="clear"/>
        <w:rPr>
          <w:color w:val="auto"/>
          <w:highlight w:val="none"/>
        </w:rPr>
      </w:pPr>
    </w:p>
    <w:p>
      <w:pPr>
        <w:shd w:val="clear"/>
        <w:rPr>
          <w:color w:val="auto"/>
          <w:highlight w:val="none"/>
        </w:rPr>
      </w:pPr>
    </w:p>
    <w:p>
      <w:pPr>
        <w:pStyle w:val="2"/>
        <w:shd w:val="clear"/>
        <w:rPr>
          <w:color w:val="auto"/>
          <w:highlight w:val="none"/>
        </w:rPr>
      </w:pPr>
    </w:p>
    <w:p>
      <w:pPr>
        <w:shd w:val="clear"/>
        <w:rPr>
          <w:color w:val="auto"/>
          <w:highlight w:val="none"/>
        </w:rPr>
      </w:pPr>
    </w:p>
    <w:p>
      <w:pPr>
        <w:shd w:val="clear"/>
        <w:rPr>
          <w:color w:val="auto"/>
          <w:highlight w:val="none"/>
        </w:rPr>
      </w:pPr>
    </w:p>
    <w:p>
      <w:pPr>
        <w:pStyle w:val="3"/>
        <w:shd w:val="clear"/>
        <w:jc w:val="center"/>
        <w:rPr>
          <w:rFonts w:ascii="宋体" w:hAnsi="宋体"/>
          <w:color w:val="auto"/>
          <w:highlight w:val="none"/>
        </w:rPr>
      </w:pPr>
      <w:bookmarkStart w:id="14" w:name="_Toc24919"/>
      <w:r>
        <w:rPr>
          <w:rFonts w:hint="eastAsia" w:ascii="宋体" w:hAnsi="宋体"/>
          <w:color w:val="auto"/>
          <w:highlight w:val="none"/>
        </w:rPr>
        <w:t>第三章  采购需求</w:t>
      </w:r>
      <w:bookmarkEnd w:id="14"/>
    </w:p>
    <w:p>
      <w:pPr>
        <w:shd w:val="clear"/>
        <w:rPr>
          <w:rFonts w:ascii="宋体" w:hAnsi="宋体"/>
          <w:color w:val="auto"/>
          <w:highlight w:val="none"/>
        </w:rPr>
      </w:pPr>
      <w:r>
        <w:rPr>
          <w:rFonts w:hint="eastAsia" w:ascii="宋体" w:hAnsi="宋体"/>
          <w:color w:val="auto"/>
          <w:highlight w:val="none"/>
        </w:rPr>
        <w:t xml:space="preserve"> </w:t>
      </w:r>
    </w:p>
    <w:p>
      <w:pPr>
        <w:shd w:val="clear"/>
        <w:rPr>
          <w:rFonts w:ascii="宋体" w:hAnsi="宋体"/>
          <w:b/>
          <w:bCs/>
          <w:color w:val="auto"/>
          <w:sz w:val="32"/>
          <w:szCs w:val="32"/>
          <w:highlight w:val="none"/>
        </w:rPr>
        <w:sectPr>
          <w:headerReference r:id="rId5" w:type="first"/>
          <w:footerReference r:id="rId7" w:type="first"/>
          <w:footerReference r:id="rId6" w:type="default"/>
          <w:pgSz w:w="11906" w:h="16838"/>
          <w:pgMar w:top="1247" w:right="1474" w:bottom="1247" w:left="1474" w:header="851" w:footer="992" w:gutter="0"/>
          <w:pgNumType w:start="1"/>
          <w:cols w:space="720" w:num="1"/>
          <w:titlePg/>
          <w:docGrid w:type="lines" w:linePitch="312" w:charSpace="0"/>
        </w:sectPr>
      </w:pPr>
    </w:p>
    <w:p>
      <w:pPr>
        <w:shd w:val="clear"/>
        <w:adjustRightInd w:val="0"/>
        <w:snapToGrid w:val="0"/>
        <w:rPr>
          <w:rFonts w:hint="eastAsia" w:ascii="宋体" w:hAnsi="宋体" w:eastAsia="宋体" w:cs="宋体"/>
          <w:b/>
          <w:bCs/>
          <w:color w:val="auto"/>
          <w:highlight w:val="none"/>
          <w:lang w:eastAsia="zh-CN"/>
        </w:rPr>
      </w:pPr>
      <w:r>
        <w:rPr>
          <w:rFonts w:hint="eastAsia" w:ascii="宋体" w:hAnsi="宋体" w:cs="宋体"/>
          <w:b/>
          <w:color w:val="auto"/>
          <w:highlight w:val="none"/>
        </w:rPr>
        <w:t>一、项目名称：</w:t>
      </w:r>
      <w:r>
        <w:rPr>
          <w:rFonts w:hint="eastAsia" w:ascii="宋体" w:hAnsi="宋体" w:cs="宋体"/>
          <w:b/>
          <w:color w:val="auto"/>
          <w:highlight w:val="none"/>
          <w:lang w:eastAsia="zh-CN"/>
        </w:rPr>
        <w:t>智慧党建平台、社团活动管理系统建设项目</w:t>
      </w:r>
    </w:p>
    <w:p>
      <w:pPr>
        <w:shd w:val="clear"/>
        <w:adjustRightInd w:val="0"/>
        <w:snapToGrid w:val="0"/>
        <w:rPr>
          <w:rFonts w:hint="eastAsia" w:ascii="宋体" w:hAnsi="宋体" w:eastAsia="宋体" w:cs="宋体"/>
          <w:bCs/>
          <w:color w:val="auto"/>
          <w:highlight w:val="none"/>
          <w:u w:val="single" w:color="FFFFFF"/>
          <w:lang w:eastAsia="zh-CN"/>
        </w:rPr>
      </w:pPr>
      <w:r>
        <w:rPr>
          <w:rFonts w:hint="eastAsia" w:ascii="宋体" w:hAnsi="宋体" w:cs="宋体"/>
          <w:b/>
          <w:color w:val="auto"/>
          <w:kern w:val="0"/>
          <w:highlight w:val="none"/>
        </w:rPr>
        <w:t>二、项目编号：</w:t>
      </w:r>
      <w:r>
        <w:rPr>
          <w:rFonts w:hint="eastAsia" w:ascii="宋体" w:hAnsi="宋体" w:cs="宋体"/>
          <w:b/>
          <w:color w:val="auto"/>
          <w:kern w:val="0"/>
          <w:highlight w:val="none"/>
          <w:lang w:eastAsia="zh-CN"/>
        </w:rPr>
        <w:t>HXCTGX-CFZB-2023-025</w:t>
      </w:r>
    </w:p>
    <w:p>
      <w:pPr>
        <w:shd w:val="clear"/>
        <w:adjustRightInd w:val="0"/>
        <w:snapToGrid w:val="0"/>
        <w:rPr>
          <w:rFonts w:ascii="宋体" w:hAnsi="宋体" w:cs="宋体"/>
          <w:b/>
          <w:color w:val="auto"/>
          <w:kern w:val="0"/>
          <w:highlight w:val="none"/>
        </w:rPr>
      </w:pPr>
      <w:r>
        <w:rPr>
          <w:rFonts w:hint="eastAsia" w:ascii="宋体" w:hAnsi="宋体" w:cs="宋体"/>
          <w:b/>
          <w:color w:val="auto"/>
          <w:kern w:val="0"/>
          <w:highlight w:val="none"/>
        </w:rPr>
        <w:t>三、项目类别：服务类</w:t>
      </w:r>
    </w:p>
    <w:p>
      <w:pPr>
        <w:shd w:val="clear"/>
        <w:autoSpaceDE w:val="0"/>
        <w:autoSpaceDN w:val="0"/>
        <w:adjustRightInd w:val="0"/>
        <w:snapToGrid w:val="0"/>
        <w:rPr>
          <w:rFonts w:hint="eastAsia" w:ascii="宋体" w:hAnsi="宋体" w:cs="宋体"/>
          <w:b/>
          <w:color w:val="auto"/>
          <w:kern w:val="0"/>
          <w:highlight w:val="none"/>
          <w:lang w:val="zh-CN"/>
        </w:rPr>
      </w:pPr>
      <w:r>
        <w:rPr>
          <w:rFonts w:hint="eastAsia" w:ascii="宋体" w:hAnsi="宋体" w:cs="宋体"/>
          <w:b/>
          <w:color w:val="auto"/>
          <w:kern w:val="0"/>
          <w:highlight w:val="none"/>
          <w:lang w:val="zh-CN"/>
        </w:rPr>
        <w:t>四、本项目采购标的对应的中小企业划分标准所属行业为：分标1、</w:t>
      </w:r>
      <w:r>
        <w:rPr>
          <w:rFonts w:hint="eastAsia" w:ascii="宋体" w:hAnsi="宋体" w:cs="宋体"/>
          <w:b/>
          <w:color w:val="auto"/>
          <w:kern w:val="0"/>
          <w:highlight w:val="none"/>
          <w:lang w:val="en-US" w:eastAsia="zh-CN"/>
        </w:rPr>
        <w:t>2</w:t>
      </w:r>
      <w:r>
        <w:rPr>
          <w:rFonts w:hint="eastAsia" w:ascii="宋体" w:hAnsi="宋体" w:cs="宋体"/>
          <w:b/>
          <w:color w:val="auto"/>
          <w:kern w:val="0"/>
          <w:highlight w:val="none"/>
          <w:lang w:val="zh-CN"/>
        </w:rPr>
        <w:t>：软件和信息技术服务业。</w:t>
      </w:r>
    </w:p>
    <w:p>
      <w:pPr>
        <w:pStyle w:val="26"/>
        <w:rPr>
          <w:rFonts w:hint="eastAsia"/>
          <w:color w:val="auto"/>
          <w:lang w:val="zh-CN"/>
        </w:rPr>
      </w:pPr>
    </w:p>
    <w:p>
      <w:pPr>
        <w:pStyle w:val="2"/>
        <w:outlineLvl w:val="1"/>
        <w:rPr>
          <w:color w:val="auto"/>
        </w:rPr>
      </w:pPr>
      <w:r>
        <w:rPr>
          <w:rFonts w:hint="eastAsia" w:ascii="宋体" w:hAnsi="宋体" w:eastAsia="宋体" w:cs="宋体"/>
          <w:b/>
          <w:bCs w:val="0"/>
          <w:color w:val="auto"/>
          <w:kern w:val="0"/>
          <w:sz w:val="21"/>
          <w:szCs w:val="21"/>
          <w:lang w:val="zh-CN" w:eastAsia="zh-CN" w:bidi="ar-SA"/>
        </w:rPr>
        <w:t>分标</w:t>
      </w:r>
      <w:r>
        <w:rPr>
          <w:rFonts w:hint="eastAsia" w:ascii="宋体" w:hAnsi="宋体" w:eastAsia="宋体" w:cs="宋体"/>
          <w:b/>
          <w:bCs w:val="0"/>
          <w:color w:val="auto"/>
          <w:kern w:val="0"/>
          <w:sz w:val="21"/>
          <w:szCs w:val="21"/>
          <w:lang w:val="en-US" w:eastAsia="zh-CN" w:bidi="ar-SA"/>
        </w:rPr>
        <w:t>1</w:t>
      </w:r>
      <w:r>
        <w:rPr>
          <w:rFonts w:hint="eastAsia" w:ascii="宋体" w:hAnsi="宋体" w:eastAsia="宋体" w:cs="宋体"/>
          <w:b/>
          <w:bCs w:val="0"/>
          <w:color w:val="auto"/>
          <w:kern w:val="0"/>
          <w:sz w:val="21"/>
          <w:szCs w:val="21"/>
          <w:lang w:val="zh-CN" w:eastAsia="zh-CN" w:bidi="ar-SA"/>
        </w:rPr>
        <w:t>：智慧党建平台建设项目</w:t>
      </w:r>
      <w:r>
        <w:rPr>
          <w:rFonts w:hint="eastAsia" w:ascii="宋体" w:hAnsi="宋体" w:eastAsia="宋体" w:cs="宋体"/>
          <w:b/>
          <w:bCs w:val="0"/>
          <w:color w:val="auto"/>
          <w:kern w:val="0"/>
          <w:sz w:val="21"/>
          <w:szCs w:val="21"/>
          <w:lang w:val="en-US" w:eastAsia="zh-CN" w:bidi="ar-SA"/>
        </w:rPr>
        <w:t xml:space="preserve">   </w:t>
      </w:r>
      <w:r>
        <w:rPr>
          <w:rFonts w:hint="eastAsia" w:ascii="宋体" w:hAnsi="宋体" w:eastAsia="宋体" w:cs="宋体"/>
          <w:b/>
          <w:bCs w:val="0"/>
          <w:color w:val="auto"/>
          <w:kern w:val="0"/>
          <w:sz w:val="21"/>
          <w:szCs w:val="21"/>
          <w:lang w:val="zh-CN" w:eastAsia="zh-CN" w:bidi="ar-SA"/>
        </w:rPr>
        <w:t>采购预算：300000.00</w:t>
      </w:r>
      <w:r>
        <w:rPr>
          <w:rFonts w:hint="eastAsia" w:ascii="宋体" w:hAnsi="宋体" w:eastAsia="宋体" w:cs="宋体"/>
          <w:b/>
          <w:bCs w:val="0"/>
          <w:color w:val="auto"/>
          <w:kern w:val="0"/>
          <w:sz w:val="21"/>
          <w:szCs w:val="21"/>
          <w:lang w:val="en-US" w:eastAsia="zh-CN" w:bidi="ar-SA"/>
        </w:rPr>
        <w:t>元</w:t>
      </w:r>
    </w:p>
    <w:tbl>
      <w:tblPr>
        <w:tblStyle w:val="39"/>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838"/>
        <w:gridCol w:w="546"/>
        <w:gridCol w:w="493"/>
        <w:gridCol w:w="1207"/>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1" w:type="dxa"/>
            <w:vAlign w:val="center"/>
          </w:tcPr>
          <w:p>
            <w:pPr>
              <w:bidi w:val="0"/>
              <w:rPr>
                <w:rFonts w:hint="eastAsia"/>
                <w:b/>
                <w:bCs/>
                <w:color w:val="auto"/>
              </w:rPr>
            </w:pPr>
            <w:r>
              <w:rPr>
                <w:rFonts w:hint="eastAsia"/>
                <w:b/>
                <w:bCs/>
                <w:color w:val="auto"/>
              </w:rPr>
              <w:t>序号</w:t>
            </w:r>
          </w:p>
        </w:tc>
        <w:tc>
          <w:tcPr>
            <w:tcW w:w="838" w:type="dxa"/>
            <w:vAlign w:val="center"/>
          </w:tcPr>
          <w:p>
            <w:pPr>
              <w:bidi w:val="0"/>
              <w:rPr>
                <w:rFonts w:hint="eastAsia"/>
                <w:b/>
                <w:bCs/>
                <w:color w:val="auto"/>
                <w:lang w:eastAsia="zh-CN"/>
              </w:rPr>
            </w:pPr>
            <w:r>
              <w:rPr>
                <w:rFonts w:hint="eastAsia"/>
                <w:b/>
                <w:bCs/>
                <w:color w:val="auto"/>
              </w:rPr>
              <w:t>服务名称</w:t>
            </w:r>
          </w:p>
        </w:tc>
        <w:tc>
          <w:tcPr>
            <w:tcW w:w="546" w:type="dxa"/>
            <w:vAlign w:val="center"/>
          </w:tcPr>
          <w:p>
            <w:pPr>
              <w:bidi w:val="0"/>
              <w:rPr>
                <w:rFonts w:hint="eastAsia"/>
                <w:b/>
                <w:bCs/>
                <w:color w:val="auto"/>
              </w:rPr>
            </w:pPr>
            <w:r>
              <w:rPr>
                <w:rFonts w:hint="eastAsia"/>
                <w:b/>
                <w:bCs/>
                <w:color w:val="auto"/>
              </w:rPr>
              <w:t>单位</w:t>
            </w:r>
          </w:p>
        </w:tc>
        <w:tc>
          <w:tcPr>
            <w:tcW w:w="493" w:type="dxa"/>
            <w:vAlign w:val="center"/>
          </w:tcPr>
          <w:p>
            <w:pPr>
              <w:bidi w:val="0"/>
              <w:rPr>
                <w:rFonts w:hint="eastAsia"/>
                <w:b/>
                <w:bCs/>
                <w:color w:val="auto"/>
                <w:lang w:val="en-US" w:eastAsia="zh-CN"/>
              </w:rPr>
            </w:pPr>
            <w:r>
              <w:rPr>
                <w:rFonts w:hint="eastAsia"/>
                <w:b/>
                <w:bCs/>
                <w:color w:val="auto"/>
              </w:rPr>
              <w:t>数量</w:t>
            </w:r>
          </w:p>
        </w:tc>
        <w:tc>
          <w:tcPr>
            <w:tcW w:w="1207" w:type="dxa"/>
            <w:vAlign w:val="center"/>
          </w:tcPr>
          <w:p>
            <w:pPr>
              <w:bidi w:val="0"/>
              <w:rPr>
                <w:rFonts w:hint="eastAsia"/>
                <w:b/>
                <w:bCs/>
                <w:color w:val="auto"/>
              </w:rPr>
            </w:pPr>
            <w:r>
              <w:rPr>
                <w:rFonts w:hint="eastAsia"/>
                <w:b/>
                <w:bCs/>
                <w:color w:val="auto"/>
                <w:lang w:eastAsia="zh-CN"/>
              </w:rPr>
              <w:t>分项预算合计（元）</w:t>
            </w:r>
          </w:p>
        </w:tc>
        <w:tc>
          <w:tcPr>
            <w:tcW w:w="6050" w:type="dxa"/>
            <w:vAlign w:val="center"/>
          </w:tcPr>
          <w:p>
            <w:pPr>
              <w:bidi w:val="0"/>
              <w:rPr>
                <w:rFonts w:hint="eastAsia"/>
                <w:b/>
                <w:bCs/>
                <w:color w:val="auto"/>
              </w:rPr>
            </w:pPr>
            <w:r>
              <w:rPr>
                <w:rFonts w:hint="eastAsia"/>
                <w:b/>
                <w:bCs/>
                <w:color w:val="auto"/>
              </w:rPr>
              <w:t>服务内容及技术要求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41" w:type="dxa"/>
            <w:vAlign w:val="center"/>
          </w:tcPr>
          <w:p>
            <w:pPr>
              <w:bidi w:val="0"/>
              <w:rPr>
                <w:rFonts w:hint="eastAsia"/>
                <w:color w:val="auto"/>
                <w:lang w:val="en-US" w:eastAsia="zh-CN"/>
              </w:rPr>
            </w:pPr>
            <w:r>
              <w:rPr>
                <w:rFonts w:hint="eastAsia"/>
                <w:color w:val="auto"/>
                <w:lang w:val="en-US" w:eastAsia="zh-CN"/>
              </w:rPr>
              <w:t>1</w:t>
            </w:r>
          </w:p>
        </w:tc>
        <w:tc>
          <w:tcPr>
            <w:tcW w:w="838" w:type="dxa"/>
            <w:vAlign w:val="center"/>
          </w:tcPr>
          <w:p>
            <w:pPr>
              <w:bidi w:val="0"/>
              <w:rPr>
                <w:rFonts w:hint="eastAsia"/>
                <w:color w:val="auto"/>
              </w:rPr>
            </w:pPr>
            <w:r>
              <w:rPr>
                <w:rFonts w:hint="eastAsia"/>
                <w:color w:val="auto"/>
              </w:rPr>
              <w:t>智慧党建平台建设项目</w:t>
            </w:r>
          </w:p>
        </w:tc>
        <w:tc>
          <w:tcPr>
            <w:tcW w:w="546" w:type="dxa"/>
            <w:vAlign w:val="center"/>
          </w:tcPr>
          <w:p>
            <w:pPr>
              <w:bidi w:val="0"/>
              <w:rPr>
                <w:rFonts w:hint="eastAsia"/>
                <w:color w:val="auto"/>
                <w:lang w:val="en-US" w:eastAsia="zh-CN"/>
              </w:rPr>
            </w:pPr>
            <w:r>
              <w:rPr>
                <w:rFonts w:hint="eastAsia"/>
                <w:color w:val="auto"/>
                <w:lang w:val="en-US" w:eastAsia="zh-CN"/>
              </w:rPr>
              <w:t>项</w:t>
            </w:r>
          </w:p>
        </w:tc>
        <w:tc>
          <w:tcPr>
            <w:tcW w:w="493" w:type="dxa"/>
            <w:vAlign w:val="center"/>
          </w:tcPr>
          <w:p>
            <w:pPr>
              <w:bidi w:val="0"/>
              <w:rPr>
                <w:rFonts w:hint="eastAsia"/>
                <w:color w:val="auto"/>
                <w:lang w:val="en-US" w:eastAsia="zh-CN"/>
              </w:rPr>
            </w:pPr>
            <w:r>
              <w:rPr>
                <w:rFonts w:hint="eastAsia"/>
                <w:color w:val="auto"/>
                <w:lang w:val="en-US" w:eastAsia="zh-CN"/>
              </w:rPr>
              <w:t>1</w:t>
            </w:r>
          </w:p>
        </w:tc>
        <w:tc>
          <w:tcPr>
            <w:tcW w:w="1207" w:type="dxa"/>
            <w:vAlign w:val="center"/>
          </w:tcPr>
          <w:p>
            <w:pPr>
              <w:bidi w:val="0"/>
              <w:rPr>
                <w:rFonts w:hint="eastAsia"/>
                <w:color w:val="auto"/>
                <w:lang w:val="en-US" w:eastAsia="zh-CN"/>
              </w:rPr>
            </w:pPr>
            <w:r>
              <w:rPr>
                <w:rFonts w:hint="eastAsia"/>
                <w:color w:val="auto"/>
                <w:lang w:val="en-US" w:eastAsia="zh-CN"/>
              </w:rPr>
              <w:t>300000.00</w:t>
            </w:r>
          </w:p>
        </w:tc>
        <w:tc>
          <w:tcPr>
            <w:tcW w:w="6050" w:type="dxa"/>
            <w:vAlign w:val="center"/>
          </w:tcPr>
          <w:p>
            <w:pPr>
              <w:adjustRightInd w:val="0"/>
              <w:snapToGrid w:val="0"/>
              <w:spacing w:line="312" w:lineRule="auto"/>
              <w:ind w:firstLine="420" w:firstLineChars="200"/>
              <w:rPr>
                <w:rFonts w:hint="eastAsia"/>
                <w:color w:val="auto"/>
              </w:rPr>
            </w:pPr>
            <w:r>
              <w:rPr>
                <w:rFonts w:hint="eastAsia"/>
                <w:color w:val="auto"/>
              </w:rPr>
              <w:t>▲整体要求：</w:t>
            </w:r>
          </w:p>
          <w:p>
            <w:pPr>
              <w:adjustRightInd w:val="0"/>
              <w:snapToGrid w:val="0"/>
              <w:spacing w:line="312" w:lineRule="auto"/>
              <w:ind w:firstLine="420" w:firstLineChars="200"/>
              <w:rPr>
                <w:rFonts w:hint="eastAsia"/>
                <w:color w:val="auto"/>
              </w:rPr>
            </w:pPr>
            <w:r>
              <w:rPr>
                <w:rFonts w:hint="eastAsia"/>
                <w:color w:val="auto"/>
              </w:rPr>
              <w:t>系统支持J2EE、SOA技术架构，支持Oracle 10G/11G、支持国产数据库达梦、高斯等数据库；支持windows系列操作系统及信创环境部署并运行稳定；支持tomcat、东方通等中间件软件；支持对关系型数据库的集成，可以与其他系统互换信息，保证系统的外拓或兼容性。</w:t>
            </w:r>
            <w:r>
              <w:rPr>
                <w:rFonts w:hint="eastAsia"/>
                <w:color w:val="auto"/>
              </w:rPr>
              <w:br w:type="textWrapping"/>
            </w:r>
            <w:r>
              <w:rPr>
                <w:rFonts w:hint="eastAsia"/>
                <w:color w:val="auto"/>
              </w:rPr>
              <w:t xml:space="preserve">   系统要求采用B/S架构，在中心机房或云上部署服务器和应用系统，客户端通过浏览器即可访问，用户使用浏览器就能够完成所有操作。系统支持可视化配置表单及交互体验，低代码模式开发应用，支持负责审批流程的配置，如超时提醒、公式规则配置、支持插槽模式扩展审批业务逻辑。</w:t>
            </w:r>
            <w:r>
              <w:rPr>
                <w:rFonts w:hint="eastAsia"/>
                <w:color w:val="auto"/>
              </w:rPr>
              <w:br w:type="textWrapping"/>
            </w:r>
            <w:r>
              <w:rPr>
                <w:rFonts w:hint="eastAsia"/>
                <w:color w:val="auto"/>
              </w:rPr>
              <w:t xml:space="preserve">   开发性要求：采用通用软件开发平台开发，具备良好的可移植性，支持与其他系统的数据交换和共享，支持其他商用软件的数据交换，可支持与其他测试设备的数据交换和通讯。支持国密算法，请求加密访问，具备健全的鉴权机制，具备健全的运维监控模块，如日志管理、服务器集群监控便于维护及定位问题。</w:t>
            </w:r>
          </w:p>
          <w:p>
            <w:pPr>
              <w:adjustRightInd w:val="0"/>
              <w:snapToGrid w:val="0"/>
              <w:spacing w:line="312" w:lineRule="auto"/>
              <w:ind w:firstLine="422" w:firstLineChars="200"/>
              <w:rPr>
                <w:b/>
                <w:bCs/>
                <w:color w:val="auto"/>
              </w:rPr>
            </w:pPr>
            <w:r>
              <w:rPr>
                <w:rFonts w:hint="eastAsia"/>
                <w:b/>
                <w:bCs/>
                <w:color w:val="auto"/>
              </w:rPr>
              <w:t>▲一、实体平台</w:t>
            </w:r>
          </w:p>
          <w:p>
            <w:pPr>
              <w:adjustRightInd w:val="0"/>
              <w:snapToGrid w:val="0"/>
              <w:spacing w:line="312" w:lineRule="auto"/>
              <w:ind w:firstLine="420" w:firstLineChars="200"/>
              <w:rPr>
                <w:color w:val="auto"/>
              </w:rPr>
            </w:pPr>
            <w:r>
              <w:rPr>
                <w:rFonts w:hint="eastAsia"/>
                <w:color w:val="auto"/>
              </w:rPr>
              <w:t>实体建模引擎，可对实体、单据、接口、公式、页面设计、导出模板进行管理。</w:t>
            </w:r>
          </w:p>
          <w:p>
            <w:pPr>
              <w:adjustRightInd w:val="0"/>
              <w:snapToGrid w:val="0"/>
              <w:spacing w:line="312" w:lineRule="auto"/>
              <w:ind w:firstLine="420" w:firstLineChars="200"/>
              <w:rPr>
                <w:color w:val="auto"/>
              </w:rPr>
            </w:pPr>
            <w:r>
              <w:rPr>
                <w:rFonts w:hint="eastAsia"/>
                <w:color w:val="auto"/>
              </w:rPr>
              <w:t>1.页面引擎：可灵活构建页面元素，通过自研公式引擎，驱动表单动作，灵活配置表单元素状态。</w:t>
            </w:r>
          </w:p>
          <w:p>
            <w:pPr>
              <w:adjustRightInd w:val="0"/>
              <w:snapToGrid w:val="0"/>
              <w:spacing w:line="312" w:lineRule="auto"/>
              <w:ind w:firstLine="420" w:firstLineChars="200"/>
              <w:rPr>
                <w:color w:val="auto"/>
              </w:rPr>
            </w:pPr>
            <w:r>
              <w:rPr>
                <w:rFonts w:hint="eastAsia"/>
                <w:color w:val="auto"/>
              </w:rPr>
              <w:t>2.建模引擎：支持模型设计、参照定义、查询模板定义、模型关系维护。</w:t>
            </w:r>
          </w:p>
          <w:p>
            <w:pPr>
              <w:adjustRightInd w:val="0"/>
              <w:snapToGrid w:val="0"/>
              <w:spacing w:line="312" w:lineRule="auto"/>
              <w:ind w:firstLine="420" w:firstLineChars="200"/>
              <w:rPr>
                <w:color w:val="auto"/>
              </w:rPr>
            </w:pPr>
            <w:r>
              <w:rPr>
                <w:rFonts w:hint="eastAsia"/>
                <w:color w:val="auto"/>
              </w:rPr>
              <w:t>3.规则引擎：定义模型插件，支持扩展业务实现；定义模型规则（档案编码规则）；消息自定义配置；接口管理，实现业务逻辑的扩展。</w:t>
            </w:r>
          </w:p>
          <w:p>
            <w:pPr>
              <w:adjustRightInd w:val="0"/>
              <w:snapToGrid w:val="0"/>
              <w:spacing w:line="312" w:lineRule="auto"/>
              <w:ind w:firstLine="420" w:firstLineChars="200"/>
              <w:rPr>
                <w:color w:val="auto"/>
              </w:rPr>
            </w:pPr>
            <w:r>
              <w:rPr>
                <w:rFonts w:hint="eastAsia"/>
                <w:color w:val="auto"/>
              </w:rPr>
              <w:t>4.流程引擎：用户可通过可视化的界面配置业务流程；通过自定义规则及公式获取参与者；特殊业务可通过接口即插即用扩展业务获取节点参与者；实现接口可反向操作流程，回写实例及单据；可设置动态配置超时前超时后提醒，设置工作区间。支持创建流程、图形式动态设置流程流转、管理流程在用、禁用。支持抢占、加签、指派、会签、分支条件设置支持根据单据信息设置。流程可监控正在流转的业务流。</w:t>
            </w:r>
          </w:p>
          <w:p>
            <w:pPr>
              <w:adjustRightInd w:val="0"/>
              <w:snapToGrid w:val="0"/>
              <w:spacing w:line="312" w:lineRule="auto"/>
              <w:ind w:firstLine="422" w:firstLineChars="200"/>
              <w:rPr>
                <w:b/>
                <w:bCs/>
                <w:color w:val="auto"/>
              </w:rPr>
            </w:pPr>
            <w:r>
              <w:rPr>
                <w:rFonts w:hint="eastAsia"/>
                <w:b/>
                <w:bCs/>
                <w:color w:val="auto"/>
              </w:rPr>
              <w:t>▲二、数据交换平台</w:t>
            </w:r>
          </w:p>
          <w:p>
            <w:pPr>
              <w:adjustRightInd w:val="0"/>
              <w:snapToGrid w:val="0"/>
              <w:spacing w:line="312" w:lineRule="auto"/>
              <w:ind w:firstLine="420" w:firstLineChars="200"/>
              <w:rPr>
                <w:color w:val="auto"/>
              </w:rPr>
            </w:pPr>
            <w:r>
              <w:rPr>
                <w:rFonts w:hint="eastAsia"/>
                <w:color w:val="auto"/>
              </w:rPr>
              <w:t>实现数据获取、数据梳理、数据存储以满足数据分析、数据共享。</w:t>
            </w:r>
          </w:p>
          <w:p>
            <w:pPr>
              <w:adjustRightInd w:val="0"/>
              <w:snapToGrid w:val="0"/>
              <w:spacing w:line="312" w:lineRule="auto"/>
              <w:ind w:firstLine="422" w:firstLineChars="200"/>
              <w:rPr>
                <w:b/>
                <w:bCs/>
                <w:color w:val="auto"/>
              </w:rPr>
            </w:pPr>
            <w:r>
              <w:rPr>
                <w:rFonts w:hint="eastAsia"/>
                <w:b/>
                <w:bCs/>
                <w:color w:val="auto"/>
              </w:rPr>
              <w:t>三、系统管理</w:t>
            </w:r>
          </w:p>
          <w:p>
            <w:pPr>
              <w:adjustRightInd w:val="0"/>
              <w:snapToGrid w:val="0"/>
              <w:spacing w:line="312" w:lineRule="auto"/>
              <w:ind w:firstLine="420" w:firstLineChars="200"/>
              <w:rPr>
                <w:color w:val="auto"/>
              </w:rPr>
            </w:pPr>
            <w:r>
              <w:rPr>
                <w:rFonts w:hint="eastAsia"/>
                <w:color w:val="auto"/>
              </w:rPr>
              <w:t>对系统中的各类用户进行增删改查等管理功能，用户可根据需要设置不同角色，根据不同用户分配对应权限，可对菜单、登录日志、操作日志、参数配置、在线用户、用户密码等内容进行管理。</w:t>
            </w:r>
          </w:p>
          <w:p>
            <w:pPr>
              <w:adjustRightInd w:val="0"/>
              <w:snapToGrid w:val="0"/>
              <w:spacing w:line="312" w:lineRule="auto"/>
              <w:ind w:firstLine="422" w:firstLineChars="200"/>
              <w:rPr>
                <w:color w:val="auto"/>
              </w:rPr>
            </w:pPr>
            <w:r>
              <w:rPr>
                <w:rFonts w:hint="eastAsia"/>
                <w:b/>
                <w:bCs/>
                <w:color w:val="auto"/>
              </w:rPr>
              <w:t>▲</w:t>
            </w:r>
            <w:r>
              <w:rPr>
                <w:rFonts w:hint="eastAsia"/>
                <w:color w:val="auto"/>
              </w:rPr>
              <w:t>1.用户管理。对系统中的各类用户进行增删改查等管理功能。在添加用户时，可对用户进行各种权限设置。可按部门、单位、事务处理动作（操作按钮）等进行授权，对用户的菜单授权可授权到功能菜单的最末级。</w:t>
            </w:r>
          </w:p>
          <w:p>
            <w:pPr>
              <w:adjustRightInd w:val="0"/>
              <w:snapToGrid w:val="0"/>
              <w:spacing w:line="312" w:lineRule="auto"/>
              <w:ind w:firstLine="420" w:firstLineChars="200"/>
              <w:rPr>
                <w:color w:val="auto"/>
              </w:rPr>
            </w:pPr>
            <w:r>
              <w:rPr>
                <w:rFonts w:hint="eastAsia"/>
                <w:color w:val="auto"/>
              </w:rPr>
              <w:t>2.菜单管理。系统管理员可对系统菜单进行编辑增加，删除，可指定菜单的图标与菜单的顺序，填写菜单名称，菜单需要的地址信息，菜单参数及是否为叶子标识及权限标识。</w:t>
            </w:r>
          </w:p>
          <w:p>
            <w:pPr>
              <w:adjustRightInd w:val="0"/>
              <w:snapToGrid w:val="0"/>
              <w:spacing w:line="312" w:lineRule="auto"/>
              <w:ind w:firstLine="422" w:firstLineChars="200"/>
              <w:rPr>
                <w:color w:val="auto"/>
              </w:rPr>
            </w:pPr>
            <w:r>
              <w:rPr>
                <w:rFonts w:hint="eastAsia"/>
                <w:b/>
                <w:bCs/>
                <w:color w:val="auto"/>
              </w:rPr>
              <w:t>▲</w:t>
            </w:r>
            <w:r>
              <w:rPr>
                <w:rFonts w:hint="eastAsia"/>
                <w:color w:val="auto"/>
              </w:rPr>
              <w:t>3.日志管理。日志记录信息完整（包含用户登录信息、用户操作信息等）；支持日志分级，error日志内容详实，info日志简洁易懂不泛滥；支持根据不同功能模块对日志进行分类，并按日志文件日期或大小归档（清理）；支持前台界面查看日志信息。</w:t>
            </w:r>
          </w:p>
          <w:p>
            <w:pPr>
              <w:adjustRightInd w:val="0"/>
              <w:snapToGrid w:val="0"/>
              <w:spacing w:line="312" w:lineRule="auto"/>
              <w:ind w:firstLine="420" w:firstLineChars="200"/>
              <w:rPr>
                <w:color w:val="auto"/>
              </w:rPr>
            </w:pPr>
            <w:r>
              <w:rPr>
                <w:rFonts w:hint="eastAsia"/>
                <w:color w:val="auto"/>
              </w:rPr>
              <w:t>4.枚举管理。系统提供各类页面应用的代码项目编辑，可对系统使用的代码可进行编辑和添加，左侧提供枚举类型树右侧显示，可对代码类型进行导入导出，可根据代码名称与代码类型进行搜索，快速找到代码所在位置，可进行编辑。</w:t>
            </w:r>
          </w:p>
          <w:p>
            <w:pPr>
              <w:adjustRightInd w:val="0"/>
              <w:snapToGrid w:val="0"/>
              <w:spacing w:line="312" w:lineRule="auto"/>
              <w:ind w:firstLine="420" w:firstLineChars="200"/>
              <w:rPr>
                <w:color w:val="auto"/>
              </w:rPr>
            </w:pPr>
            <w:r>
              <w:rPr>
                <w:rFonts w:hint="eastAsia"/>
                <w:color w:val="auto"/>
              </w:rPr>
              <w:t>5.初始化设置。管理员可对各个院的组织、部门、菜单进行初始化，设置系统的初始化脚本，可对系统进行删除角色权限、删除用户角色、删除登录日志、删除用户模块设置、删除角色、删除账号、删除用户阅读新闻记录。</w:t>
            </w:r>
          </w:p>
          <w:p>
            <w:pPr>
              <w:adjustRightInd w:val="0"/>
              <w:snapToGrid w:val="0"/>
              <w:spacing w:line="312" w:lineRule="auto"/>
              <w:ind w:firstLine="420" w:firstLineChars="200"/>
              <w:rPr>
                <w:color w:val="auto"/>
              </w:rPr>
            </w:pPr>
            <w:r>
              <w:rPr>
                <w:rFonts w:hint="eastAsia"/>
                <w:color w:val="auto"/>
              </w:rPr>
              <w:t>6.密码管理，可设置密码复杂度和密码更新周期，保障用户密码安全。</w:t>
            </w:r>
          </w:p>
          <w:p>
            <w:pPr>
              <w:adjustRightInd w:val="0"/>
              <w:snapToGrid w:val="0"/>
              <w:spacing w:line="312" w:lineRule="auto"/>
              <w:ind w:firstLine="420" w:firstLineChars="200"/>
              <w:rPr>
                <w:color w:val="auto"/>
              </w:rPr>
            </w:pPr>
            <w:r>
              <w:rPr>
                <w:rFonts w:hint="eastAsia"/>
                <w:color w:val="auto"/>
              </w:rPr>
              <w:t>7.消息提醒，系统消息推送信息管理维护，可向党员发送政治生日祝福、重要活动定时通知。</w:t>
            </w:r>
          </w:p>
          <w:p>
            <w:pPr>
              <w:adjustRightInd w:val="0"/>
              <w:snapToGrid w:val="0"/>
              <w:spacing w:line="312" w:lineRule="auto"/>
              <w:ind w:firstLine="422" w:firstLineChars="200"/>
              <w:rPr>
                <w:b/>
                <w:bCs/>
                <w:color w:val="auto"/>
              </w:rPr>
            </w:pPr>
            <w:r>
              <w:rPr>
                <w:rFonts w:hint="eastAsia"/>
                <w:b/>
                <w:bCs/>
                <w:color w:val="auto"/>
              </w:rPr>
              <w:t>四、基本信息平台</w:t>
            </w:r>
          </w:p>
          <w:p>
            <w:pPr>
              <w:adjustRightInd w:val="0"/>
              <w:snapToGrid w:val="0"/>
              <w:spacing w:line="312" w:lineRule="auto"/>
              <w:ind w:firstLine="422" w:firstLineChars="200"/>
              <w:rPr>
                <w:color w:val="auto"/>
              </w:rPr>
            </w:pPr>
            <w:r>
              <w:rPr>
                <w:rFonts w:hint="eastAsia"/>
                <w:b/>
                <w:bCs/>
                <w:color w:val="auto"/>
              </w:rPr>
              <w:t>▲</w:t>
            </w:r>
            <w:r>
              <w:rPr>
                <w:rFonts w:hint="eastAsia"/>
                <w:color w:val="auto"/>
              </w:rPr>
              <w:t>支持学院党委管理员查看全院党组织架构和党员信息。支持对支部下的所有人员信息进行管理，包括各机构组织的名称、基本信息、党内职务、行政职务、人员类别、全院人员名单；支持对名单的导出及查看，字段内容与广东版党内统计系统相一致，可快速导入导出，新增字段可通过实体平台操作，无需通过代码新增。</w:t>
            </w:r>
          </w:p>
          <w:p>
            <w:pPr>
              <w:adjustRightInd w:val="0"/>
              <w:snapToGrid w:val="0"/>
              <w:spacing w:line="312" w:lineRule="auto"/>
              <w:ind w:firstLine="422" w:firstLineChars="200"/>
              <w:rPr>
                <w:color w:val="auto"/>
              </w:rPr>
            </w:pPr>
            <w:r>
              <w:rPr>
                <w:rFonts w:hint="eastAsia"/>
                <w:b/>
                <w:bCs/>
                <w:color w:val="auto"/>
              </w:rPr>
              <w:t>▲</w:t>
            </w:r>
            <w:r>
              <w:rPr>
                <w:rFonts w:hint="eastAsia"/>
                <w:color w:val="auto"/>
              </w:rPr>
              <w:t>1.组织管理：创建和维护权限范围内的单位组织结构，部门的组织架构包括：部门名称、部门负责人、以及各部门的层次架构，支持建立各部门各岗位之间的关联关系，并以列表和架构图的形式展现。</w:t>
            </w:r>
          </w:p>
          <w:p>
            <w:pPr>
              <w:adjustRightInd w:val="0"/>
              <w:snapToGrid w:val="0"/>
              <w:spacing w:line="312" w:lineRule="auto"/>
              <w:ind w:firstLine="420" w:firstLineChars="200"/>
              <w:rPr>
                <w:color w:val="auto"/>
              </w:rPr>
            </w:pPr>
            <w:r>
              <w:rPr>
                <w:rFonts w:hint="eastAsia"/>
                <w:color w:val="auto"/>
              </w:rPr>
              <w:t>▲2.党员基本信息管理：</w:t>
            </w:r>
            <w:r>
              <w:rPr>
                <w:rFonts w:hint="eastAsia" w:ascii="宋体" w:hAnsi="宋体"/>
                <w:color w:val="auto"/>
              </w:rPr>
              <w:t>能正常进行党员信息的增加/删除/修改/查询等操作、党员信息要素完善</w:t>
            </w:r>
            <w:r>
              <w:rPr>
                <w:rFonts w:hint="eastAsia"/>
                <w:color w:val="auto"/>
                <w:lang w:eastAsia="zh-CN"/>
              </w:rPr>
              <w:t>。</w:t>
            </w:r>
            <w:r>
              <w:rPr>
                <w:rFonts w:hint="eastAsia"/>
                <w:color w:val="auto"/>
              </w:rPr>
              <w:t>可填写或批量导入/导出党员所在支部（部门）、姓名、人员类别、联系电话、党内职务、行政职务等信息。</w:t>
            </w:r>
          </w:p>
          <w:p>
            <w:pPr>
              <w:adjustRightInd w:val="0"/>
              <w:snapToGrid w:val="0"/>
              <w:spacing w:line="312" w:lineRule="auto"/>
              <w:ind w:firstLine="420" w:firstLineChars="200"/>
              <w:rPr>
                <w:color w:val="auto"/>
              </w:rPr>
            </w:pPr>
            <w:r>
              <w:rPr>
                <w:rFonts w:hint="eastAsia"/>
                <w:color w:val="auto"/>
              </w:rPr>
              <w:t>3.支持同一党委或党总支的支部党员调动，党员关系的转入、转出，党员和党务工作者可发起申请，支部书记审核。</w:t>
            </w:r>
          </w:p>
          <w:p>
            <w:pPr>
              <w:adjustRightInd w:val="0"/>
              <w:snapToGrid w:val="0"/>
              <w:spacing w:line="312" w:lineRule="auto"/>
              <w:ind w:firstLine="420" w:firstLineChars="200"/>
              <w:rPr>
                <w:color w:val="auto"/>
              </w:rPr>
            </w:pPr>
            <w:r>
              <w:rPr>
                <w:rFonts w:hint="eastAsia"/>
                <w:color w:val="auto"/>
              </w:rPr>
              <w:t>4.实现对党领导班子任期设置，实现任期到期，平台自动在任职到期前6个月进行换届提醒。</w:t>
            </w:r>
          </w:p>
          <w:p>
            <w:pPr>
              <w:adjustRightInd w:val="0"/>
              <w:snapToGrid w:val="0"/>
              <w:spacing w:line="312" w:lineRule="auto"/>
              <w:ind w:firstLine="420" w:firstLineChars="200"/>
              <w:rPr>
                <w:color w:val="auto"/>
              </w:rPr>
            </w:pPr>
            <w:r>
              <w:rPr>
                <w:rFonts w:hint="eastAsia"/>
                <w:color w:val="auto"/>
              </w:rPr>
              <w:t>5.支持发展党员的发展对象全生命周期管理，从提交入党申请书开始，党员发展的25个环节一一记录。同时系统自动提醒用户去完成对应环节，每一流程含时间预警提醒，可自定义配置审批流程。发展材料可实现在线预览，并可自行上传、下载、在线浏览各环节的相关材料模板。</w:t>
            </w:r>
          </w:p>
          <w:p>
            <w:pPr>
              <w:adjustRightInd w:val="0"/>
              <w:snapToGrid w:val="0"/>
              <w:spacing w:line="312" w:lineRule="auto"/>
              <w:ind w:firstLine="420" w:firstLineChars="200"/>
              <w:rPr>
                <w:color w:val="auto"/>
              </w:rPr>
            </w:pPr>
            <w:r>
              <w:rPr>
                <w:rFonts w:hint="eastAsia"/>
                <w:color w:val="auto"/>
              </w:rPr>
              <w:t>6.支持人员奖励管理。提供用户对所辖教职工、学生获得的奖励信息进行登记、维护、查询和统计分析等管理功能；表彰奖励管理，包括名称、时间点，发放人、获奖人（团体）、奖项级别、奖项类型、内容、奖项附件等信息管理。荣誉信息墙可自行切换多种风格进行展示。</w:t>
            </w:r>
          </w:p>
          <w:p>
            <w:pPr>
              <w:adjustRightInd w:val="0"/>
              <w:snapToGrid w:val="0"/>
              <w:spacing w:line="312" w:lineRule="auto"/>
              <w:ind w:firstLine="422" w:firstLineChars="200"/>
              <w:rPr>
                <w:b/>
                <w:bCs/>
                <w:color w:val="auto"/>
              </w:rPr>
            </w:pPr>
            <w:r>
              <w:rPr>
                <w:rFonts w:hint="eastAsia"/>
                <w:b/>
                <w:bCs/>
                <w:color w:val="auto"/>
              </w:rPr>
              <w:t>五、组织生活</w:t>
            </w:r>
          </w:p>
          <w:p>
            <w:pPr>
              <w:adjustRightInd w:val="0"/>
              <w:snapToGrid w:val="0"/>
              <w:spacing w:line="312" w:lineRule="auto"/>
              <w:ind w:firstLine="420" w:firstLineChars="200"/>
              <w:rPr>
                <w:color w:val="auto"/>
              </w:rPr>
            </w:pPr>
            <w:r>
              <w:rPr>
                <w:rFonts w:hint="eastAsia"/>
                <w:color w:val="auto"/>
              </w:rPr>
              <w:t>1.支持管理员合并发起多个党组织生活活动，包含填写活动名称、类型、填写时间、截止时间、地点、主持人、记录人、会议主题、参与人、备注、附件信息。</w:t>
            </w:r>
          </w:p>
          <w:p>
            <w:pPr>
              <w:adjustRightInd w:val="0"/>
              <w:snapToGrid w:val="0"/>
              <w:spacing w:line="312" w:lineRule="auto"/>
              <w:ind w:firstLine="422" w:firstLineChars="200"/>
              <w:rPr>
                <w:color w:val="auto"/>
              </w:rPr>
            </w:pPr>
            <w:r>
              <w:rPr>
                <w:rFonts w:hint="eastAsia"/>
                <w:b/>
                <w:bCs/>
                <w:color w:val="auto"/>
              </w:rPr>
              <w:t>▲</w:t>
            </w:r>
            <w:r>
              <w:rPr>
                <w:rFonts w:hint="eastAsia"/>
                <w:color w:val="auto"/>
              </w:rPr>
              <w:t>2.支持各级管理员发起党委会、“三会一课”、主题党日活动、组织生活会、民主生活会、谈心谈话等，并及时对活动情况进行登记和管理。管理员可对待办的计划预警提醒进行会议的发起，选择已经参加的人员，缺席的人员。活动前参与人可通过系统进行请假，参会人现场可以手机扫码签到。上报纸质签到表、会议图片、会议记录、会议报告，可对活动内容进行记录；可以查看已办的计划活动，及正在进行活动查看，可查看已经办理活动的活动信息。可在系统填写会议记录，并按模板导出形成纸质版存档。</w:t>
            </w:r>
          </w:p>
          <w:p>
            <w:pPr>
              <w:snapToGrid w:val="0"/>
              <w:spacing w:line="360" w:lineRule="auto"/>
              <w:ind w:firstLine="422" w:firstLineChars="200"/>
              <w:jc w:val="left"/>
              <w:rPr>
                <w:rFonts w:hint="eastAsia" w:ascii="宋体" w:hAnsi="宋体"/>
                <w:color w:val="auto"/>
              </w:rPr>
            </w:pPr>
            <w:r>
              <w:rPr>
                <w:rFonts w:hint="eastAsia"/>
                <w:b/>
                <w:bCs/>
                <w:color w:val="auto"/>
              </w:rPr>
              <w:t>▲</w:t>
            </w:r>
            <w:r>
              <w:rPr>
                <w:rFonts w:hint="eastAsia"/>
                <w:color w:val="auto"/>
              </w:rPr>
              <w:t>3.会议材料支持图片、doc、ppt等文件预览，相关文件、照片可与附件管理模块中的文件关联引用。</w:t>
            </w:r>
            <w:r>
              <w:rPr>
                <w:rFonts w:hint="eastAsia" w:ascii="宋体" w:hAnsi="宋体"/>
                <w:color w:val="auto"/>
              </w:rPr>
              <w:t>附件上传可以设置指定文件类型，如只可上传mp3、excel、ppt；会议附件可以从附件库中引用，上传的附件可以同步保存至附件库。</w:t>
            </w:r>
          </w:p>
          <w:p>
            <w:pPr>
              <w:adjustRightInd w:val="0"/>
              <w:snapToGrid w:val="0"/>
              <w:spacing w:line="312" w:lineRule="auto"/>
              <w:ind w:firstLine="422" w:firstLineChars="200"/>
              <w:rPr>
                <w:b/>
                <w:bCs/>
                <w:color w:val="auto"/>
              </w:rPr>
            </w:pPr>
            <w:r>
              <w:rPr>
                <w:rFonts w:hint="eastAsia"/>
                <w:b/>
                <w:bCs/>
                <w:color w:val="auto"/>
              </w:rPr>
              <w:t>六、事项任务</w:t>
            </w:r>
          </w:p>
          <w:p>
            <w:pPr>
              <w:adjustRightInd w:val="0"/>
              <w:snapToGrid w:val="0"/>
              <w:spacing w:line="312" w:lineRule="auto"/>
              <w:ind w:firstLine="420" w:firstLineChars="200"/>
              <w:rPr>
                <w:color w:val="auto"/>
              </w:rPr>
            </w:pPr>
            <w:r>
              <w:rPr>
                <w:rFonts w:hint="eastAsia"/>
                <w:color w:val="auto"/>
              </w:rPr>
              <w:t>1.工作任务管理：创建并管理工作计划（专项工作、日常工作）；可上报、下发任务；一键向下灵活分派工作计划；可上传相关工作模板和范文。以左树右表的形式展示工作任务列表，可根据任务类型、工作标题、所属组织、提交人、完成程度、时间、状态进行高级查询。可将接收人设置分组，并可按接收对象组下发工作任务。</w:t>
            </w:r>
          </w:p>
          <w:p>
            <w:pPr>
              <w:ind w:firstLine="422" w:firstLineChars="200"/>
              <w:rPr>
                <w:color w:val="auto"/>
              </w:rPr>
            </w:pPr>
            <w:r>
              <w:rPr>
                <w:rFonts w:hint="eastAsia"/>
                <w:b/>
                <w:bCs/>
                <w:color w:val="auto"/>
              </w:rPr>
              <w:t>▲</w:t>
            </w:r>
            <w:r>
              <w:rPr>
                <w:rFonts w:hint="eastAsia"/>
                <w:color w:val="auto"/>
              </w:rPr>
              <w:t>2.任务填报：用户可上传附件或拍照上传，设置暂存功能，完成填写后点击“提交”即可汇总到上级。对于未填报任务的党支部或党员，进行双向催办预警提醒，并可再次发送\接收填报通知。填报的材料附件可同步至附件库的指定文件夹。</w:t>
            </w:r>
          </w:p>
          <w:p>
            <w:pPr>
              <w:adjustRightInd w:val="0"/>
              <w:snapToGrid w:val="0"/>
              <w:spacing w:line="312" w:lineRule="auto"/>
              <w:ind w:firstLine="420" w:firstLineChars="200"/>
              <w:rPr>
                <w:color w:val="auto"/>
              </w:rPr>
            </w:pPr>
            <w:r>
              <w:rPr>
                <w:rFonts w:hint="eastAsia"/>
                <w:color w:val="auto"/>
              </w:rPr>
              <w:t>3.监控任务进度：实时监控任务完成进度，流程节点可视化；查看已/待完成、已转发任务；支持任务反馈，在线预览完成材料。</w:t>
            </w:r>
          </w:p>
          <w:p>
            <w:pPr>
              <w:adjustRightInd w:val="0"/>
              <w:snapToGrid w:val="0"/>
              <w:spacing w:line="312" w:lineRule="auto"/>
              <w:ind w:firstLine="422" w:firstLineChars="200"/>
              <w:rPr>
                <w:b/>
                <w:bCs/>
                <w:color w:val="auto"/>
              </w:rPr>
            </w:pPr>
            <w:r>
              <w:rPr>
                <w:rFonts w:hint="eastAsia"/>
                <w:b/>
                <w:bCs/>
                <w:color w:val="auto"/>
              </w:rPr>
              <w:t>▲七、党建园地</w:t>
            </w:r>
          </w:p>
          <w:p>
            <w:pPr>
              <w:adjustRightInd w:val="0"/>
              <w:snapToGrid w:val="0"/>
              <w:spacing w:line="312" w:lineRule="auto"/>
              <w:ind w:firstLine="420" w:firstLineChars="200"/>
              <w:rPr>
                <w:color w:val="auto"/>
              </w:rPr>
            </w:pPr>
            <w:r>
              <w:rPr>
                <w:rFonts w:hint="eastAsia"/>
                <w:color w:val="auto"/>
              </w:rPr>
              <w:t>支持用户自定义展示支部党建园地，以党支部板报的样式，</w:t>
            </w:r>
            <w:r>
              <w:rPr>
                <w:rFonts w:hint="eastAsia" w:ascii="宋体" w:hAnsi="宋体"/>
                <w:color w:val="auto"/>
                <w:lang w:eastAsia="zh-CN"/>
              </w:rPr>
              <w:t>支持展示</w:t>
            </w:r>
            <w:r>
              <w:rPr>
                <w:rFonts w:hint="eastAsia" w:ascii="宋体" w:hAnsi="宋体"/>
                <w:color w:val="auto"/>
              </w:rPr>
              <w:t>支部的党建园地；</w:t>
            </w:r>
            <w:r>
              <w:rPr>
                <w:rFonts w:hint="eastAsia"/>
                <w:color w:val="auto"/>
              </w:rPr>
              <w:t>展示党旗和入党誓词，再集中展示每个党支部的支部介绍、党员风采、党建品牌 (品牌名称、 LOGO、品牌内涵、品牌理念) 、三会一课、党日活动、组织生活会、支部新闻等信息。模板可自行编辑排序和排版。用户可浏览展出的支部园地。</w:t>
            </w:r>
          </w:p>
          <w:p>
            <w:pPr>
              <w:adjustRightInd w:val="0"/>
              <w:snapToGrid w:val="0"/>
              <w:spacing w:line="312" w:lineRule="auto"/>
              <w:ind w:firstLine="422" w:firstLineChars="200"/>
              <w:rPr>
                <w:b/>
                <w:bCs/>
                <w:color w:val="auto"/>
              </w:rPr>
            </w:pPr>
            <w:r>
              <w:rPr>
                <w:rFonts w:hint="eastAsia"/>
                <w:b/>
                <w:bCs/>
                <w:color w:val="auto"/>
              </w:rPr>
              <w:t>八、红色学堂</w:t>
            </w:r>
          </w:p>
          <w:p>
            <w:pPr>
              <w:adjustRightInd w:val="0"/>
              <w:snapToGrid w:val="0"/>
              <w:spacing w:line="312" w:lineRule="auto"/>
              <w:ind w:firstLine="420" w:firstLineChars="200"/>
              <w:rPr>
                <w:color w:val="auto"/>
              </w:rPr>
            </w:pPr>
            <w:r>
              <w:rPr>
                <w:rFonts w:hint="eastAsia"/>
                <w:color w:val="auto"/>
              </w:rPr>
              <w:t>具备网上党课、线上教育等功能，通过学习内容的发布、维护、审批；各级党员可以在线文章、视频学习，各级组织部门可定期组织机关党员干部进行在线学习，可灵活设置阅读要求和时间限制。系统自动记录每名党员的学习情况，如学习次数、学习时长，并和转换成积分。通过查看学习相关专题课程（图文、视频），实现移动化学习。</w:t>
            </w:r>
          </w:p>
          <w:p>
            <w:pPr>
              <w:adjustRightInd w:val="0"/>
              <w:snapToGrid w:val="0"/>
              <w:spacing w:line="312" w:lineRule="auto"/>
              <w:ind w:firstLine="422" w:firstLineChars="200"/>
              <w:rPr>
                <w:b/>
                <w:bCs/>
                <w:color w:val="auto"/>
              </w:rPr>
            </w:pPr>
            <w:r>
              <w:rPr>
                <w:rFonts w:hint="eastAsia"/>
                <w:b/>
                <w:bCs/>
                <w:color w:val="auto"/>
              </w:rPr>
              <w:t>▲九、考核平台</w:t>
            </w:r>
          </w:p>
          <w:p>
            <w:pPr>
              <w:adjustRightInd w:val="0"/>
              <w:snapToGrid w:val="0"/>
              <w:spacing w:line="312" w:lineRule="auto"/>
              <w:ind w:firstLine="420" w:firstLineChars="200"/>
              <w:rPr>
                <w:color w:val="auto"/>
              </w:rPr>
            </w:pPr>
            <w:r>
              <w:rPr>
                <w:rFonts w:hint="eastAsia"/>
                <w:color w:val="auto"/>
              </w:rPr>
              <w:t>1.考核模板设置：支持增、删、改、查考核的一级指标、二级指标和考核细则的模板，可以通过对考核模板及模板内的细则的引用快速设置考核任务及考核内容。</w:t>
            </w:r>
          </w:p>
          <w:p>
            <w:pPr>
              <w:adjustRightInd w:val="0"/>
              <w:snapToGrid w:val="0"/>
              <w:spacing w:line="312" w:lineRule="auto"/>
              <w:ind w:firstLine="420" w:firstLineChars="200"/>
              <w:rPr>
                <w:color w:val="auto"/>
              </w:rPr>
            </w:pPr>
            <w:r>
              <w:rPr>
                <w:rFonts w:hint="eastAsia"/>
                <w:color w:val="auto"/>
              </w:rPr>
              <w:t>2.考核任务管理：发布每年度的考核任务，设置开始时间、结束时间、考核对象，设置所需佐证材料、考核具体项目和对应分值。考核具体项目可考核细则模板库中配置。</w:t>
            </w:r>
          </w:p>
          <w:p>
            <w:pPr>
              <w:adjustRightInd w:val="0"/>
              <w:snapToGrid w:val="0"/>
              <w:spacing w:line="312" w:lineRule="auto"/>
              <w:ind w:firstLine="420" w:firstLineChars="200"/>
              <w:rPr>
                <w:color w:val="auto"/>
              </w:rPr>
            </w:pPr>
            <w:r>
              <w:rPr>
                <w:rFonts w:hint="eastAsia"/>
                <w:color w:val="auto"/>
              </w:rPr>
              <w:t>3.考核评价：个人或党组织在年度考核时间内进行自我考核，上传考核所需的佐证材料并打分。支持组织、专家在线预览考核佐证材料，并对被考核对象各个指标进行评分。</w:t>
            </w:r>
          </w:p>
          <w:p>
            <w:pPr>
              <w:adjustRightInd w:val="0"/>
              <w:snapToGrid w:val="0"/>
              <w:spacing w:line="312" w:lineRule="auto"/>
              <w:ind w:firstLine="420" w:firstLineChars="200"/>
              <w:rPr>
                <w:color w:val="auto"/>
              </w:rPr>
            </w:pPr>
            <w:r>
              <w:rPr>
                <w:rFonts w:hint="eastAsia"/>
                <w:color w:val="auto"/>
              </w:rPr>
              <w:t>4.考核排名：根据考核分数生成考核排名。</w:t>
            </w:r>
          </w:p>
          <w:p>
            <w:pPr>
              <w:adjustRightInd w:val="0"/>
              <w:snapToGrid w:val="0"/>
              <w:spacing w:line="312" w:lineRule="auto"/>
              <w:ind w:firstLine="422" w:firstLineChars="200"/>
              <w:rPr>
                <w:b/>
                <w:bCs/>
                <w:color w:val="auto"/>
              </w:rPr>
            </w:pPr>
            <w:r>
              <w:rPr>
                <w:rFonts w:hint="eastAsia"/>
                <w:b/>
                <w:bCs/>
                <w:color w:val="auto"/>
              </w:rPr>
              <w:t>十、附件管理</w:t>
            </w:r>
          </w:p>
          <w:p>
            <w:pPr>
              <w:adjustRightInd w:val="0"/>
              <w:snapToGrid w:val="0"/>
              <w:spacing w:line="312" w:lineRule="auto"/>
              <w:ind w:firstLine="420" w:firstLineChars="200"/>
              <w:rPr>
                <w:color w:val="auto"/>
              </w:rPr>
            </w:pPr>
            <w:r>
              <w:rPr>
                <w:rFonts w:hint="eastAsia"/>
                <w:color w:val="auto"/>
              </w:rPr>
              <w:t>1.理论研究、经验交流、工作模板、重要文件、政策法规、规章制度等文档上传归档。建立附件目录，供用户查看下载。用户可根据实际工作需要自定义设置文件夹和文件名，对各项附件材料自定义分类汇总并查看。</w:t>
            </w:r>
          </w:p>
          <w:p>
            <w:pPr>
              <w:adjustRightInd w:val="0"/>
              <w:snapToGrid w:val="0"/>
              <w:spacing w:line="312" w:lineRule="auto"/>
              <w:ind w:firstLine="422" w:firstLineChars="200"/>
              <w:rPr>
                <w:color w:val="auto"/>
              </w:rPr>
            </w:pPr>
            <w:r>
              <w:rPr>
                <w:rFonts w:hint="eastAsia"/>
                <w:b/>
                <w:bCs/>
                <w:color w:val="auto"/>
              </w:rPr>
              <w:t>▲</w:t>
            </w:r>
            <w:r>
              <w:rPr>
                <w:rFonts w:hint="eastAsia"/>
                <w:color w:val="auto"/>
              </w:rPr>
              <w:t>2.支持视频、音频、文档等多种格式上传。支持文件上传导入安全防范，例如只允许上传指定文件类型。</w:t>
            </w:r>
          </w:p>
          <w:p>
            <w:pPr>
              <w:adjustRightInd w:val="0"/>
              <w:snapToGrid w:val="0"/>
              <w:spacing w:line="312" w:lineRule="auto"/>
              <w:ind w:firstLine="422" w:firstLineChars="200"/>
              <w:rPr>
                <w:color w:val="auto"/>
              </w:rPr>
            </w:pPr>
            <w:r>
              <w:rPr>
                <w:rFonts w:hint="default" w:ascii="宋体" w:hAnsi="宋体" w:eastAsia="宋体" w:cs="宋体"/>
                <w:b/>
                <w:bCs/>
                <w:i w:val="0"/>
                <w:iCs w:val="0"/>
                <w:color w:val="auto"/>
                <w:kern w:val="2"/>
                <w:sz w:val="21"/>
                <w:szCs w:val="21"/>
                <w:highlight w:val="none"/>
                <w:vertAlign w:val="baseline"/>
                <w:lang w:val="en-US" w:eastAsia="zh-CN"/>
              </w:rPr>
              <w:t>▲</w:t>
            </w:r>
            <w:r>
              <w:rPr>
                <w:rFonts w:hint="eastAsia"/>
                <w:color w:val="auto"/>
              </w:rPr>
              <w:t>3.可与组织生活、发展党员管理、事项任务、考核平台等功能模块关联引用。</w:t>
            </w:r>
          </w:p>
          <w:p>
            <w:pPr>
              <w:adjustRightInd w:val="0"/>
              <w:snapToGrid w:val="0"/>
              <w:spacing w:line="312" w:lineRule="auto"/>
              <w:ind w:firstLine="422" w:firstLineChars="200"/>
              <w:rPr>
                <w:b/>
                <w:bCs/>
                <w:color w:val="auto"/>
              </w:rPr>
            </w:pPr>
            <w:r>
              <w:rPr>
                <w:rFonts w:hint="eastAsia"/>
                <w:b/>
                <w:bCs/>
                <w:color w:val="auto"/>
              </w:rPr>
              <w:t>十一、党建大数据</w:t>
            </w:r>
          </w:p>
          <w:p>
            <w:pPr>
              <w:adjustRightInd w:val="0"/>
              <w:snapToGrid w:val="0"/>
              <w:spacing w:line="312" w:lineRule="auto"/>
              <w:ind w:firstLine="422" w:firstLineChars="200"/>
              <w:rPr>
                <w:color w:val="auto"/>
              </w:rPr>
            </w:pPr>
            <w:r>
              <w:rPr>
                <w:rFonts w:hint="default" w:ascii="宋体" w:hAnsi="宋体" w:eastAsia="宋体" w:cs="宋体"/>
                <w:b/>
                <w:bCs/>
                <w:i w:val="0"/>
                <w:iCs w:val="0"/>
                <w:color w:val="auto"/>
                <w:kern w:val="2"/>
                <w:sz w:val="21"/>
                <w:szCs w:val="21"/>
                <w:highlight w:val="none"/>
                <w:vertAlign w:val="baseline"/>
                <w:lang w:val="en-US" w:eastAsia="zh-CN"/>
              </w:rPr>
              <w:t>▲</w:t>
            </w:r>
            <w:r>
              <w:rPr>
                <w:rFonts w:hint="eastAsia"/>
                <w:color w:val="auto"/>
              </w:rPr>
              <w:t xml:space="preserve">1.数据门户展示党委组织数量、基层党委数量、支部数量、党员总数、正式党员数量、预备党员数量。可穿透查看各级党组织的党员信息，所在支部、党员名称、党籍状态、积分情况。 </w:t>
            </w:r>
          </w:p>
          <w:p>
            <w:pPr>
              <w:adjustRightInd w:val="0"/>
              <w:snapToGrid w:val="0"/>
              <w:spacing w:line="312" w:lineRule="auto"/>
              <w:ind w:firstLine="422" w:firstLineChars="200"/>
              <w:rPr>
                <w:color w:val="auto"/>
              </w:rPr>
            </w:pPr>
            <w:r>
              <w:rPr>
                <w:rFonts w:hint="default" w:ascii="宋体" w:hAnsi="宋体" w:eastAsia="宋体" w:cs="宋体"/>
                <w:b/>
                <w:bCs/>
                <w:i w:val="0"/>
                <w:iCs w:val="0"/>
                <w:color w:val="auto"/>
                <w:kern w:val="2"/>
                <w:sz w:val="21"/>
                <w:szCs w:val="21"/>
                <w:highlight w:val="none"/>
                <w:vertAlign w:val="baseline"/>
                <w:lang w:val="en-US" w:eastAsia="zh-CN"/>
              </w:rPr>
              <w:t>▲</w:t>
            </w:r>
            <w:r>
              <w:rPr>
                <w:rFonts w:hint="eastAsia"/>
                <w:color w:val="auto"/>
              </w:rPr>
              <w:t>2.支持支部报告统计。可查看各支部的党支部基本信息情况，人员流动情况统计，组织活动的举办情况，可对报告进行生成和下载，可生成历年的支部报告</w:t>
            </w:r>
          </w:p>
          <w:p>
            <w:pPr>
              <w:adjustRightInd w:val="0"/>
              <w:snapToGrid w:val="0"/>
              <w:spacing w:line="312" w:lineRule="auto"/>
              <w:ind w:firstLine="422" w:firstLineChars="200"/>
              <w:rPr>
                <w:color w:val="auto"/>
              </w:rPr>
            </w:pPr>
            <w:r>
              <w:rPr>
                <w:rFonts w:hint="eastAsia"/>
                <w:b/>
                <w:bCs/>
                <w:color w:val="auto"/>
              </w:rPr>
              <w:t>▲</w:t>
            </w:r>
            <w:r>
              <w:rPr>
                <w:rFonts w:hint="eastAsia"/>
                <w:color w:val="auto"/>
              </w:rPr>
              <w:t>3.支持根据提供的模板导出汇总并导出会议情况统计表。如：党组织情况基础数据表、党员发展情况基础数据表、党建活动党员干部学习数据表、党建活动三会一课数据表、党建活动党员大会数据表、党建活动党员日常数据表、党建活动党员主题党日数据表。系统数据库提供以下数据表并进行共享，平台或系统的数据库采用关系型数据库，使用mysql数据库。</w:t>
            </w:r>
          </w:p>
          <w:p>
            <w:pPr>
              <w:adjustRightInd w:val="0"/>
              <w:snapToGrid w:val="0"/>
              <w:spacing w:line="312" w:lineRule="auto"/>
              <w:ind w:firstLine="422" w:firstLineChars="200"/>
              <w:rPr>
                <w:color w:val="auto"/>
              </w:rPr>
            </w:pPr>
            <w:r>
              <w:rPr>
                <w:rFonts w:hint="eastAsia"/>
                <w:b/>
                <w:bCs/>
                <w:color w:val="auto"/>
              </w:rPr>
              <w:t>▲</w:t>
            </w:r>
            <w:r>
              <w:rPr>
                <w:rFonts w:hint="eastAsia"/>
                <w:color w:val="auto"/>
              </w:rPr>
              <w:t>4.基于2023年教育部职业院校数据中台高职数据标准规范，自动化构建满足教育部数据标准规范要求的共享数据库，并根据后续教育部职业院校数据中台高职数据标准规范的变化系统实现动态添加和调整。</w:t>
            </w:r>
          </w:p>
          <w:p>
            <w:pPr>
              <w:adjustRightInd w:val="0"/>
              <w:snapToGrid w:val="0"/>
              <w:spacing w:line="312" w:lineRule="auto"/>
              <w:ind w:firstLine="422" w:firstLineChars="200"/>
              <w:rPr>
                <w:b/>
                <w:bCs/>
                <w:color w:val="auto"/>
              </w:rPr>
            </w:pPr>
            <w:r>
              <w:rPr>
                <w:rFonts w:hint="eastAsia"/>
                <w:b/>
                <w:bCs/>
                <w:color w:val="auto"/>
              </w:rPr>
              <w:t>十二、移动端</w:t>
            </w:r>
          </w:p>
          <w:p>
            <w:pPr>
              <w:adjustRightInd w:val="0"/>
              <w:snapToGrid w:val="0"/>
              <w:spacing w:line="312" w:lineRule="auto"/>
              <w:ind w:firstLine="422" w:firstLineChars="200"/>
              <w:rPr>
                <w:color w:val="auto"/>
              </w:rPr>
            </w:pPr>
            <w:r>
              <w:rPr>
                <w:rFonts w:hint="eastAsia"/>
                <w:b/>
                <w:bCs/>
                <w:color w:val="auto"/>
              </w:rPr>
              <w:t>▲</w:t>
            </w:r>
            <w:r>
              <w:rPr>
                <w:rFonts w:hint="eastAsia"/>
                <w:color w:val="auto"/>
              </w:rPr>
              <w:t>1.系统对接：支持以H5的方式相互嵌入其他系统；可以通过钉钉端进行单点登录。</w:t>
            </w:r>
          </w:p>
          <w:p>
            <w:pPr>
              <w:adjustRightInd w:val="0"/>
              <w:snapToGrid w:val="0"/>
              <w:spacing w:line="312" w:lineRule="auto"/>
              <w:ind w:firstLine="420" w:firstLineChars="200"/>
              <w:rPr>
                <w:color w:val="auto"/>
              </w:rPr>
            </w:pPr>
            <w:r>
              <w:rPr>
                <w:rFonts w:hint="eastAsia"/>
                <w:color w:val="auto"/>
              </w:rPr>
              <w:t>2.用户可直接在手机上进行个人信息查询、密码修改；接收会议时间提醒、工作提醒消息；查看待召开、已参与的会议详情；观看学习视频和文章；审批等多种功能的操作。</w:t>
            </w:r>
          </w:p>
          <w:p>
            <w:pPr>
              <w:adjustRightInd w:val="0"/>
              <w:snapToGrid w:val="0"/>
              <w:spacing w:line="312" w:lineRule="auto"/>
              <w:ind w:firstLine="422" w:firstLineChars="200"/>
              <w:rPr>
                <w:b/>
                <w:bCs/>
                <w:color w:val="auto"/>
              </w:rPr>
            </w:pPr>
            <w:r>
              <w:rPr>
                <w:rFonts w:hint="default" w:ascii="宋体" w:hAnsi="宋体" w:eastAsia="宋体" w:cs="宋体"/>
                <w:b/>
                <w:bCs/>
                <w:i w:val="0"/>
                <w:iCs w:val="0"/>
                <w:color w:val="auto"/>
                <w:kern w:val="2"/>
                <w:sz w:val="21"/>
                <w:szCs w:val="21"/>
                <w:highlight w:val="none"/>
                <w:vertAlign w:val="baseline"/>
                <w:lang w:val="en-US" w:eastAsia="zh-CN"/>
              </w:rPr>
              <w:t>▲</w:t>
            </w:r>
            <w:r>
              <w:rPr>
                <w:rFonts w:hint="eastAsia"/>
                <w:b/>
                <w:bCs/>
                <w:color w:val="auto"/>
              </w:rPr>
              <w:t>十三、技术要求及实施培训服务</w:t>
            </w:r>
          </w:p>
          <w:p>
            <w:pPr>
              <w:adjustRightInd w:val="0"/>
              <w:snapToGrid w:val="0"/>
              <w:spacing w:line="312" w:lineRule="auto"/>
              <w:ind w:firstLine="420" w:firstLineChars="200"/>
              <w:rPr>
                <w:color w:val="auto"/>
              </w:rPr>
            </w:pPr>
            <w:r>
              <w:rPr>
                <w:rFonts w:hint="eastAsia"/>
                <w:color w:val="auto"/>
              </w:rPr>
              <w:t>1.网络安全。信息系统的安全性的必须达到《信息安全技术——网络安全等级保护基本要求》（GB/T22239-2019）中要求的备案和测评要求。成交供应商须负责保障采购人科研管理信息系统网络安全，按照采购人要求，做好网络安全保障。</w:t>
            </w:r>
          </w:p>
          <w:p>
            <w:pPr>
              <w:adjustRightInd w:val="0"/>
              <w:snapToGrid w:val="0"/>
              <w:spacing w:line="312" w:lineRule="auto"/>
              <w:ind w:firstLine="420" w:firstLineChars="200"/>
              <w:rPr>
                <w:color w:val="auto"/>
              </w:rPr>
            </w:pPr>
            <w:r>
              <w:rPr>
                <w:rFonts w:hint="eastAsia"/>
                <w:color w:val="auto"/>
              </w:rPr>
              <w:t>(1)成交供应商在服务期内负责应用系统所在操作系统、系统运行和维护所依赖的相关组件的安装、配置，确保符合网络安全要求，不开放不必要的端口，不存在已公布或已知的漏洞或隐患。</w:t>
            </w:r>
          </w:p>
          <w:p>
            <w:pPr>
              <w:adjustRightInd w:val="0"/>
              <w:snapToGrid w:val="0"/>
              <w:spacing w:line="312" w:lineRule="auto"/>
              <w:ind w:firstLine="420" w:firstLineChars="200"/>
              <w:rPr>
                <w:color w:val="auto"/>
              </w:rPr>
            </w:pPr>
            <w:r>
              <w:rPr>
                <w:rFonts w:hint="eastAsia"/>
                <w:color w:val="auto"/>
              </w:rPr>
              <w:t>(2)根据业务需求，如应用系统同时有直接在互联网开放的功能模块和只面向校内网络开放的功能模块，应支持分离部署。</w:t>
            </w:r>
          </w:p>
          <w:p>
            <w:pPr>
              <w:adjustRightInd w:val="0"/>
              <w:snapToGrid w:val="0"/>
              <w:spacing w:line="312" w:lineRule="auto"/>
              <w:ind w:firstLine="420" w:firstLineChars="200"/>
              <w:rPr>
                <w:color w:val="auto"/>
              </w:rPr>
            </w:pPr>
            <w:r>
              <w:rPr>
                <w:rFonts w:hint="eastAsia"/>
                <w:color w:val="auto"/>
              </w:rPr>
              <w:t>(3)系统支持HTTPS，能根据甲方的需求使用HTTPS访问。</w:t>
            </w:r>
          </w:p>
          <w:p>
            <w:pPr>
              <w:adjustRightInd w:val="0"/>
              <w:snapToGrid w:val="0"/>
              <w:spacing w:line="312" w:lineRule="auto"/>
              <w:ind w:firstLine="420" w:firstLineChars="200"/>
              <w:rPr>
                <w:color w:val="auto"/>
              </w:rPr>
            </w:pPr>
            <w:r>
              <w:rPr>
                <w:rFonts w:hint="eastAsia"/>
                <w:color w:val="auto"/>
              </w:rPr>
              <w:t>(4)系统具有完善、有效的用户角色权限控制机制，确保资源和数据的权限授权和控制粒度符合业务需求。应用用户的权限最小化，控制用户对功能、文件、数据等的访问。</w:t>
            </w:r>
          </w:p>
          <w:p>
            <w:pPr>
              <w:adjustRightInd w:val="0"/>
              <w:snapToGrid w:val="0"/>
              <w:spacing w:line="312" w:lineRule="auto"/>
              <w:ind w:firstLine="420" w:firstLineChars="200"/>
              <w:rPr>
                <w:color w:val="auto"/>
              </w:rPr>
            </w:pPr>
            <w:r>
              <w:rPr>
                <w:rFonts w:hint="eastAsia"/>
                <w:color w:val="auto"/>
              </w:rPr>
              <w:t>(5)如业务系统除集成统一身份认证和单点登录外，还提供了自有用户管理和登录功能的，相关功能应满足网络安全要求，避免安全隐患，包括技术上保证密码强度、禁止弱口令、限制恶意爆破登录、限制机器登录、口令禁止明文保存和传输等。</w:t>
            </w:r>
          </w:p>
          <w:p>
            <w:pPr>
              <w:adjustRightInd w:val="0"/>
              <w:snapToGrid w:val="0"/>
              <w:spacing w:line="312" w:lineRule="auto"/>
              <w:ind w:firstLine="420" w:firstLineChars="200"/>
              <w:rPr>
                <w:color w:val="auto"/>
              </w:rPr>
            </w:pPr>
            <w:r>
              <w:rPr>
                <w:rFonts w:hint="eastAsia"/>
                <w:color w:val="auto"/>
              </w:rPr>
              <w:t>(6)应用系统应在架构、设计、编码等各方面符合可信计算的规范和要求，确保系统不存在各类已知的安全漏洞隐患，包括但不限于：SQL注入、跨站脚本执行、任意文件或未经校验文件上传、任意文件下载、越权访问、命令执行、应用程序错误信息或服务器信息泄露、httphost头攻击等常见漏洞；使用明文或在程序/脚本文件中写死密码；在网页源码中暴露应用处理逻辑等敏感信息；表单信息有效性缺少服务器端后台校验；系统留有“后门”，设计违反或者绕过安全规则的任何类型的入口和设计文档中未说明的任何模式的隐藏入口。</w:t>
            </w:r>
          </w:p>
          <w:p>
            <w:pPr>
              <w:adjustRightInd w:val="0"/>
              <w:snapToGrid w:val="0"/>
              <w:spacing w:line="312" w:lineRule="auto"/>
              <w:ind w:firstLine="420" w:firstLineChars="200"/>
              <w:rPr>
                <w:color w:val="auto"/>
              </w:rPr>
            </w:pPr>
            <w:r>
              <w:rPr>
                <w:rFonts w:hint="eastAsia"/>
                <w:color w:val="auto"/>
              </w:rPr>
              <w:t>(7)系统详细记录所有用户操作日志，确保每个用户每个行为可追溯。系统各类各级访问日志、操作日志符合《网络安全法》要求，至少保留六个月以上。</w:t>
            </w:r>
          </w:p>
          <w:p>
            <w:pPr>
              <w:adjustRightInd w:val="0"/>
              <w:snapToGrid w:val="0"/>
              <w:spacing w:line="312" w:lineRule="auto"/>
              <w:ind w:firstLine="420" w:firstLineChars="200"/>
              <w:rPr>
                <w:color w:val="auto"/>
              </w:rPr>
            </w:pPr>
            <w:r>
              <w:rPr>
                <w:rFonts w:hint="eastAsia"/>
                <w:color w:val="auto"/>
              </w:rPr>
              <w:t>(8)系统在上线试运行前应先通过第三方检测机构的系统安全检测，并出具报告。如应用系统有直接在互联网开放的功能模块，在终验前须完成和通过信息系统安全保护等级二级或以上级别的备案和测评。相关费用包含在项目总体报价中。</w:t>
            </w:r>
          </w:p>
          <w:p>
            <w:pPr>
              <w:adjustRightInd w:val="0"/>
              <w:snapToGrid w:val="0"/>
              <w:spacing w:line="312" w:lineRule="auto"/>
              <w:ind w:firstLine="420" w:firstLineChars="200"/>
              <w:rPr>
                <w:color w:val="auto"/>
              </w:rPr>
            </w:pPr>
            <w:r>
              <w:rPr>
                <w:rFonts w:hint="eastAsia"/>
                <w:color w:val="auto"/>
              </w:rPr>
              <w:t>2.数据标准。成交供应商须在项目实施方案中对所有设备进行唯一编码的编号，编码规则须按采购人的统一编码规范，同时在施工图纸上明确设备的相关地址（地址包括但不限于硬件设备存放的地址、IP地址、MAC地址、485设备地址、端口等），所有图纸提交采购人确认后再进行安装实施；</w:t>
            </w:r>
          </w:p>
          <w:p>
            <w:pPr>
              <w:adjustRightInd w:val="0"/>
              <w:snapToGrid w:val="0"/>
              <w:spacing w:line="312" w:lineRule="auto"/>
              <w:ind w:firstLine="420" w:firstLineChars="200"/>
              <w:rPr>
                <w:color w:val="auto"/>
              </w:rPr>
            </w:pPr>
            <w:r>
              <w:rPr>
                <w:rFonts w:hint="eastAsia"/>
                <w:color w:val="auto"/>
              </w:rPr>
              <w:t>3.接口开发和数据对接。为确保数据顺利对接，中标人须提供标的业务系统的数据字典，标的信息系统必须实现与采购人现有数字校园的统一信息门户平台、统一公共数据中心和身份认证系统进行集成和整合，实现数据交互和单点登录等；</w:t>
            </w:r>
          </w:p>
          <w:p>
            <w:pPr>
              <w:adjustRightInd w:val="0"/>
              <w:snapToGrid w:val="0"/>
              <w:spacing w:line="312" w:lineRule="auto"/>
              <w:ind w:firstLine="420" w:firstLineChars="200"/>
              <w:rPr>
                <w:color w:val="auto"/>
              </w:rPr>
            </w:pPr>
            <w:r>
              <w:rPr>
                <w:rFonts w:hint="eastAsia"/>
                <w:color w:val="auto"/>
              </w:rPr>
              <w:t>成交供应商指定专门人员负责系统相关接口的开发和调试，无偿提供标的所有子系统数据接口，如不能及时提供接口，将不组织验收。提供的数据接口须满足B/S开发模式和H5规范，能在IE浏览器（版本号不低于11）和谷歌浏览器（版本号不低于90）上正常运行，无需安装任何客户端或浏览器插件等即可实现调试和对接；成交供应商应及时维护数据接口，确保接口有效和安全，如接口升级须及时向采购人提交升级后的新接口。</w:t>
            </w:r>
          </w:p>
          <w:p>
            <w:pPr>
              <w:adjustRightInd w:val="0"/>
              <w:snapToGrid w:val="0"/>
              <w:spacing w:line="312" w:lineRule="auto"/>
              <w:ind w:firstLine="420" w:firstLineChars="200"/>
              <w:rPr>
                <w:color w:val="auto"/>
              </w:rPr>
            </w:pPr>
            <w:r>
              <w:rPr>
                <w:rFonts w:hint="eastAsia"/>
                <w:color w:val="auto"/>
              </w:rPr>
              <w:t>4.项目管理。项目实施前成交供应商需提供实施方案，经采购人同意方可开工实施建设，否则不予验收。实施方案中应包含实施图纸，在施工过程中，成交供应商定期（每天或隔天）在采购人指定的校内管理平台上更新设备安装进度和设备状态，以便采购人对施工进度和施工质量进行评估。</w:t>
            </w:r>
          </w:p>
          <w:p>
            <w:pPr>
              <w:adjustRightInd w:val="0"/>
              <w:snapToGrid w:val="0"/>
              <w:spacing w:line="312" w:lineRule="auto"/>
              <w:ind w:firstLine="420" w:firstLineChars="200"/>
              <w:rPr>
                <w:color w:val="auto"/>
              </w:rPr>
            </w:pPr>
            <w:r>
              <w:rPr>
                <w:rFonts w:hint="eastAsia"/>
                <w:color w:val="auto"/>
              </w:rPr>
              <w:t>5.项目文档。成交供应商应负责在项目完成时将全部有关文件（至少包括设计方案、实施方案、施工图纸、完工图纸、原厂商产品彩页、设备说明书、软件需求说明书、用户使用手册、应用系统相关接口、二次开发文档等）、资料、测试报告、验收报告和系统测试使用的测试数据等文档汇集成册提交给采购人，并提供电子文档。采购人在确定项目文档完成入库后，按项目进度组织验收工作。</w:t>
            </w:r>
          </w:p>
          <w:p>
            <w:pPr>
              <w:adjustRightInd w:val="0"/>
              <w:snapToGrid w:val="0"/>
              <w:spacing w:line="312" w:lineRule="auto"/>
              <w:ind w:firstLine="420" w:firstLineChars="200"/>
              <w:rPr>
                <w:color w:val="auto"/>
              </w:rPr>
            </w:pPr>
            <w:r>
              <w:rPr>
                <w:rFonts w:hint="eastAsia"/>
                <w:color w:val="auto"/>
              </w:rPr>
              <w:t>6.培训要求。成交供应商应明确承诺在项目完成时对采购人指定人员进行系统运维、二次开发等相关内容的技术培训，并提供具体的技术可实现方案。</w:t>
            </w:r>
          </w:p>
          <w:p>
            <w:pPr>
              <w:adjustRightInd w:val="0"/>
              <w:snapToGrid w:val="0"/>
              <w:spacing w:line="312" w:lineRule="auto"/>
              <w:ind w:firstLine="420" w:firstLineChars="200"/>
              <w:rPr>
                <w:color w:val="auto"/>
              </w:rPr>
            </w:pPr>
            <w:r>
              <w:rPr>
                <w:rFonts w:hint="eastAsia"/>
                <w:color w:val="auto"/>
              </w:rPr>
              <w:t>7.售后运维要求。成交供应商需提供三年的免费技术服务及免费升级服务，提供不低于一名技术工程师驻点一年服务（驻点服务按实际项目需求确定）；技术服务范围：服务器、操作系统、中间件、数据库和业务系统等在内的软件和硬件；服务流程：系统安装、产品使用培训、补丁升级、版本升级、系统调试、性能调优、系统管理、设备维修等服务；质保期内提供定期回访及巡检服务；</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color w:val="auto"/>
                <w:lang w:eastAsia="zh-CN"/>
              </w:rPr>
            </w:pPr>
            <w:r>
              <w:rPr>
                <w:rFonts w:hint="eastAsia"/>
                <w:color w:val="auto"/>
              </w:rPr>
              <w:t>8.故障响应时间。售后服务时间为7×24小时，成交供应商接到故障通知后1小时内响应，4小时内派认证工程师到达现场，8小时内解决问题，24小时内仍无法解决问题的，提供相同性能参数的备件替用。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75" w:type="dxa"/>
            <w:gridSpan w:val="6"/>
            <w:vAlign w:val="center"/>
          </w:tcPr>
          <w:p>
            <w:pPr>
              <w:bidi w:val="0"/>
              <w:rPr>
                <w:rFonts w:hint="eastAsia"/>
                <w:color w:val="auto"/>
              </w:rPr>
            </w:pPr>
            <w:r>
              <w:rPr>
                <w:rFonts w:hint="eastAsia"/>
                <w:color w:val="auto"/>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75" w:type="dxa"/>
            <w:gridSpan w:val="6"/>
            <w:vAlign w:val="center"/>
          </w:tcPr>
          <w:p>
            <w:pPr>
              <w:widowControl/>
              <w:spacing w:line="320" w:lineRule="exact"/>
              <w:ind w:firstLine="420" w:firstLineChars="200"/>
              <w:jc w:val="left"/>
              <w:rPr>
                <w:rFonts w:hint="eastAsia"/>
                <w:color w:val="auto"/>
                <w:sz w:val="21"/>
                <w:szCs w:val="21"/>
                <w:highlight w:val="none"/>
              </w:rPr>
            </w:pPr>
            <w:r>
              <w:rPr>
                <w:rFonts w:ascii="宋体" w:hAnsi="宋体" w:cs="宋体"/>
                <w:color w:val="auto"/>
                <w:sz w:val="21"/>
                <w:szCs w:val="21"/>
                <w:highlight w:val="none"/>
              </w:rPr>
              <w:t>▲</w:t>
            </w:r>
            <w:r>
              <w:rPr>
                <w:rFonts w:hint="eastAsia" w:ascii="宋体" w:hAnsi="宋体" w:cs="Tahoma"/>
                <w:bCs/>
                <w:color w:val="auto"/>
                <w:sz w:val="21"/>
                <w:szCs w:val="21"/>
                <w:highlight w:val="none"/>
              </w:rPr>
              <w:t>一、</w:t>
            </w:r>
            <w:r>
              <w:rPr>
                <w:rFonts w:hint="eastAsia"/>
                <w:color w:val="auto"/>
                <w:sz w:val="21"/>
                <w:szCs w:val="21"/>
                <w:highlight w:val="none"/>
              </w:rPr>
              <w:t>合同签订期：自成交通知书发出之日起 25日内。</w:t>
            </w:r>
          </w:p>
          <w:p>
            <w:pPr>
              <w:widowControl/>
              <w:spacing w:line="320" w:lineRule="exact"/>
              <w:ind w:firstLine="420" w:firstLineChars="200"/>
              <w:jc w:val="left"/>
              <w:rPr>
                <w:rFonts w:hint="eastAsia"/>
                <w:color w:val="auto"/>
                <w:sz w:val="21"/>
                <w:szCs w:val="21"/>
                <w:highlight w:val="none"/>
              </w:rPr>
            </w:pPr>
            <w:r>
              <w:rPr>
                <w:rFonts w:ascii="宋体" w:hAnsi="宋体" w:cs="宋体"/>
                <w:color w:val="auto"/>
                <w:sz w:val="21"/>
                <w:szCs w:val="21"/>
                <w:highlight w:val="none"/>
              </w:rPr>
              <w:t>▲</w:t>
            </w:r>
            <w:r>
              <w:rPr>
                <w:rFonts w:hint="eastAsia"/>
                <w:color w:val="auto"/>
                <w:sz w:val="21"/>
                <w:szCs w:val="21"/>
                <w:highlight w:val="none"/>
              </w:rPr>
              <w:t>二、质保期：按国家有关产品“三包”规定执行“三包”，质量保证期</w:t>
            </w:r>
            <w:r>
              <w:rPr>
                <w:rFonts w:hint="eastAsia"/>
                <w:color w:val="auto"/>
                <w:sz w:val="21"/>
                <w:szCs w:val="21"/>
                <w:highlight w:val="none"/>
                <w:lang w:val="en-US" w:eastAsia="zh-CN"/>
              </w:rPr>
              <w:t>1</w:t>
            </w:r>
            <w:r>
              <w:rPr>
                <w:rFonts w:hint="eastAsia"/>
                <w:color w:val="auto"/>
                <w:sz w:val="21"/>
                <w:szCs w:val="21"/>
                <w:highlight w:val="none"/>
              </w:rPr>
              <w:t>年（自交付并验收合格之日起计，国家有关产品质保期要求长于</w:t>
            </w:r>
            <w:r>
              <w:rPr>
                <w:rFonts w:hint="eastAsia"/>
                <w:color w:val="auto"/>
                <w:sz w:val="21"/>
                <w:szCs w:val="21"/>
                <w:highlight w:val="none"/>
                <w:lang w:eastAsia="zh-CN"/>
              </w:rPr>
              <w:t>一</w:t>
            </w:r>
            <w:r>
              <w:rPr>
                <w:rFonts w:hint="eastAsia"/>
                <w:color w:val="auto"/>
                <w:sz w:val="21"/>
                <w:szCs w:val="21"/>
                <w:highlight w:val="none"/>
              </w:rPr>
              <w:t>年的按国家质保期要求执行）。</w:t>
            </w:r>
          </w:p>
          <w:p>
            <w:pPr>
              <w:snapToGrid w:val="0"/>
              <w:spacing w:line="288" w:lineRule="auto"/>
              <w:ind w:firstLine="420" w:firstLineChars="200"/>
              <w:rPr>
                <w:rStyle w:val="46"/>
                <w:rFonts w:hint="eastAsia"/>
                <w:color w:val="auto"/>
                <w:sz w:val="21"/>
                <w:szCs w:val="21"/>
                <w:highlight w:val="none"/>
              </w:rPr>
            </w:pPr>
            <w:r>
              <w:rPr>
                <w:rFonts w:ascii="宋体" w:hAnsi="宋体" w:cs="宋体"/>
                <w:color w:val="auto"/>
                <w:sz w:val="21"/>
                <w:szCs w:val="21"/>
                <w:highlight w:val="none"/>
              </w:rPr>
              <w:t>▲</w:t>
            </w:r>
            <w:r>
              <w:rPr>
                <w:rFonts w:hint="eastAsia" w:ascii="宋体" w:hAnsi="宋体" w:cs="Tahoma"/>
                <w:bCs/>
                <w:color w:val="auto"/>
                <w:sz w:val="21"/>
                <w:szCs w:val="21"/>
                <w:highlight w:val="none"/>
              </w:rPr>
              <w:t>三、提交服务成果时间：自合同签订之日起</w:t>
            </w:r>
            <w:r>
              <w:rPr>
                <w:rFonts w:hint="eastAsia" w:ascii="宋体" w:hAnsi="宋体" w:cs="Tahoma"/>
                <w:bCs/>
                <w:color w:val="auto"/>
                <w:sz w:val="21"/>
                <w:szCs w:val="21"/>
                <w:highlight w:val="none"/>
                <w:lang w:val="en-US" w:eastAsia="zh-CN"/>
              </w:rPr>
              <w:t>30</w:t>
            </w:r>
            <w:r>
              <w:rPr>
                <w:rFonts w:hint="eastAsia" w:ascii="宋体" w:hAnsi="宋体" w:cs="Tahoma"/>
                <w:bCs/>
                <w:color w:val="auto"/>
                <w:sz w:val="21"/>
                <w:szCs w:val="21"/>
                <w:highlight w:val="none"/>
              </w:rPr>
              <w:t>日内提交服务成果完毕并经验收合格交付</w:t>
            </w:r>
            <w:r>
              <w:rPr>
                <w:rStyle w:val="46"/>
                <w:rFonts w:hint="eastAsia"/>
                <w:color w:val="auto"/>
                <w:sz w:val="21"/>
                <w:szCs w:val="21"/>
                <w:highlight w:val="none"/>
              </w:rPr>
              <w:t>。</w:t>
            </w:r>
          </w:p>
          <w:p>
            <w:pPr>
              <w:snapToGrid w:val="0"/>
              <w:spacing w:line="288" w:lineRule="auto"/>
              <w:ind w:firstLine="420" w:firstLineChars="200"/>
              <w:rPr>
                <w:rFonts w:hint="eastAsia" w:ascii="宋体" w:hAnsi="宋体" w:cs="Tahoma"/>
                <w:bCs/>
                <w:color w:val="auto"/>
                <w:sz w:val="21"/>
                <w:szCs w:val="21"/>
                <w:highlight w:val="none"/>
              </w:rPr>
            </w:pPr>
            <w:r>
              <w:rPr>
                <w:rFonts w:ascii="宋体" w:hAnsi="宋体" w:cs="宋体"/>
                <w:color w:val="auto"/>
                <w:sz w:val="21"/>
                <w:szCs w:val="21"/>
                <w:highlight w:val="none"/>
              </w:rPr>
              <w:t>▲</w:t>
            </w:r>
            <w:r>
              <w:rPr>
                <w:rFonts w:hint="eastAsia" w:ascii="宋体" w:hAnsi="宋体" w:cs="Tahoma"/>
                <w:bCs/>
                <w:color w:val="auto"/>
                <w:sz w:val="21"/>
                <w:szCs w:val="21"/>
                <w:highlight w:val="none"/>
              </w:rPr>
              <w:t>四、提交服务成果地点：采购人指定地点。</w:t>
            </w:r>
          </w:p>
          <w:p>
            <w:pPr>
              <w:snapToGrid w:val="0"/>
              <w:spacing w:line="288" w:lineRule="auto"/>
              <w:ind w:firstLine="420" w:firstLineChars="200"/>
              <w:rPr>
                <w:rFonts w:hint="eastAsia" w:ascii="宋体" w:hAnsi="宋体" w:cs="Tahoma"/>
                <w:bCs/>
                <w:color w:val="auto"/>
                <w:sz w:val="21"/>
                <w:szCs w:val="21"/>
                <w:highlight w:val="none"/>
              </w:rPr>
            </w:pPr>
            <w:r>
              <w:rPr>
                <w:rFonts w:hint="eastAsia" w:ascii="宋体" w:hAnsi="宋体" w:cs="Tahoma"/>
                <w:bCs/>
                <w:color w:val="auto"/>
                <w:sz w:val="21"/>
                <w:szCs w:val="21"/>
                <w:highlight w:val="none"/>
              </w:rPr>
              <w:t>五、交付方式：现场交付。</w:t>
            </w:r>
          </w:p>
          <w:p>
            <w:pPr>
              <w:snapToGrid w:val="0"/>
              <w:spacing w:line="288" w:lineRule="auto"/>
              <w:ind w:firstLine="420" w:firstLineChars="200"/>
              <w:rPr>
                <w:rFonts w:hint="eastAsia" w:ascii="宋体" w:hAnsi="宋体" w:cs="Tahoma"/>
                <w:bCs/>
                <w:color w:val="auto"/>
                <w:sz w:val="21"/>
                <w:szCs w:val="21"/>
                <w:highlight w:val="none"/>
              </w:rPr>
            </w:pPr>
            <w:r>
              <w:rPr>
                <w:rFonts w:ascii="宋体" w:hAnsi="宋体" w:cs="宋体"/>
                <w:color w:val="auto"/>
                <w:sz w:val="21"/>
                <w:szCs w:val="21"/>
                <w:highlight w:val="none"/>
              </w:rPr>
              <w:t>▲</w:t>
            </w:r>
            <w:r>
              <w:rPr>
                <w:rFonts w:hint="eastAsia" w:ascii="宋体" w:hAnsi="宋体" w:cs="Tahoma"/>
                <w:bCs/>
                <w:color w:val="auto"/>
                <w:sz w:val="21"/>
                <w:szCs w:val="21"/>
                <w:highlight w:val="none"/>
              </w:rPr>
              <w:t>六、售后服务要求</w:t>
            </w:r>
          </w:p>
          <w:p>
            <w:pPr>
              <w:widowControl/>
              <w:spacing w:line="300" w:lineRule="auto"/>
              <w:ind w:firstLine="420" w:firstLineChars="200"/>
              <w:jc w:val="left"/>
              <w:rPr>
                <w:color w:val="auto"/>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eastAsia="zh-CN"/>
              </w:rPr>
              <w:t>成交供应商需提供</w:t>
            </w:r>
            <w:r>
              <w:rPr>
                <w:rFonts w:hint="eastAsia" w:ascii="宋体" w:hAnsi="宋体" w:cs="宋体"/>
                <w:color w:val="auto"/>
                <w:kern w:val="0"/>
                <w:sz w:val="21"/>
                <w:szCs w:val="21"/>
                <w:highlight w:val="none"/>
                <w:lang w:val="en-US" w:eastAsia="zh-CN"/>
              </w:rPr>
              <w:t>三</w:t>
            </w:r>
            <w:r>
              <w:rPr>
                <w:rFonts w:hint="eastAsia" w:ascii="宋体" w:hAnsi="宋体" w:cs="宋体"/>
                <w:color w:val="auto"/>
                <w:kern w:val="0"/>
                <w:sz w:val="21"/>
                <w:szCs w:val="21"/>
                <w:highlight w:val="none"/>
                <w:lang w:eastAsia="zh-CN"/>
              </w:rPr>
              <w:t>年的免费技术服务及免费升级服务，提供不低于一名技术工程师驻点一年服务（驻点服务按实际项目需求确定）；技术服务范围：服务器、操作系统、中间件、数据库和业务系统等在内的软件和硬件；服务流程：系统安装、产品使用培训、补丁升级、版本升级、系统调试、性能调优、系统管理、设备维修等服务；质保期内提供定期回访及巡检服务</w:t>
            </w:r>
            <w:r>
              <w:rPr>
                <w:rFonts w:hint="eastAsia" w:ascii="宋体" w:hAnsi="宋体" w:cs="宋体"/>
                <w:color w:val="auto"/>
                <w:kern w:val="0"/>
                <w:sz w:val="21"/>
                <w:szCs w:val="21"/>
                <w:highlight w:val="none"/>
              </w:rPr>
              <w:t>。</w:t>
            </w:r>
          </w:p>
          <w:p>
            <w:pPr>
              <w:snapToGrid w:val="0"/>
              <w:spacing w:line="288" w:lineRule="auto"/>
              <w:ind w:firstLine="420" w:firstLineChars="200"/>
              <w:rPr>
                <w:rFonts w:hint="eastAsia" w:ascii="宋体" w:hAnsi="宋体" w:cs="Tahoma"/>
                <w:bCs/>
                <w:color w:val="auto"/>
                <w:sz w:val="21"/>
                <w:szCs w:val="21"/>
                <w:highlight w:val="none"/>
              </w:rPr>
            </w:pPr>
            <w:r>
              <w:rPr>
                <w:rFonts w:hint="eastAsia"/>
                <w:color w:val="auto"/>
                <w:sz w:val="21"/>
                <w:szCs w:val="21"/>
                <w:highlight w:val="none"/>
                <w:lang w:val="en-US" w:eastAsia="zh-CN"/>
              </w:rPr>
              <w:t>2.</w:t>
            </w:r>
            <w:r>
              <w:rPr>
                <w:rFonts w:hint="eastAsia"/>
                <w:color w:val="auto"/>
                <w:lang w:eastAsia="zh-CN"/>
              </w:rPr>
              <w:t>故障响应时间。售后服务时间为7×24小时，成交供应商接到故障通知后1小时内响应，4小时内派认证工程师到达现场，8小时内解决问题，24小时内仍无法解决问题的，提供相同性能参数的备件替用。</w:t>
            </w:r>
          </w:p>
          <w:p>
            <w:pPr>
              <w:snapToGrid w:val="0"/>
              <w:spacing w:line="288" w:lineRule="auto"/>
              <w:ind w:firstLine="420" w:firstLineChars="200"/>
              <w:rPr>
                <w:rFonts w:hint="eastAsia" w:ascii="宋体" w:hAnsi="宋体" w:cs="Tahoma"/>
                <w:bCs/>
                <w:color w:val="auto"/>
                <w:sz w:val="21"/>
                <w:szCs w:val="21"/>
                <w:highlight w:val="none"/>
              </w:rPr>
            </w:pPr>
            <w:r>
              <w:rPr>
                <w:rFonts w:hint="eastAsia" w:ascii="宋体" w:hAnsi="宋体" w:cs="Tahoma"/>
                <w:bCs/>
                <w:color w:val="auto"/>
                <w:sz w:val="21"/>
                <w:szCs w:val="21"/>
                <w:highlight w:val="none"/>
                <w:lang w:eastAsia="zh-CN"/>
              </w:rPr>
              <w:t>七</w:t>
            </w:r>
            <w:r>
              <w:rPr>
                <w:rFonts w:hint="eastAsia" w:ascii="宋体" w:hAnsi="宋体" w:cs="Tahoma"/>
                <w:bCs/>
                <w:color w:val="auto"/>
                <w:sz w:val="21"/>
                <w:szCs w:val="21"/>
                <w:highlight w:val="none"/>
              </w:rPr>
              <w:t>、验收条件及标准：</w:t>
            </w:r>
          </w:p>
          <w:p>
            <w:pPr>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（1）验收依据：采购文件、响应文件、合同及国家有关的标准规范规定，均为验收依据。</w:t>
            </w:r>
          </w:p>
          <w:p>
            <w:pPr>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（2）验收过程所产生的一切费用由成交人承担。</w:t>
            </w:r>
          </w:p>
          <w:p>
            <w:pPr>
              <w:pStyle w:val="2"/>
              <w:snapToGrid w:val="0"/>
              <w:spacing w:line="288" w:lineRule="auto"/>
              <w:ind w:firstLine="420" w:firstLineChars="200"/>
              <w:rPr>
                <w:rFonts w:hint="eastAsia" w:ascii="宋体" w:hAnsi="宋体" w:cs="Tahoma"/>
                <w:bCs/>
                <w:color w:val="auto"/>
                <w:sz w:val="21"/>
                <w:szCs w:val="21"/>
                <w:highlight w:val="none"/>
              </w:rPr>
            </w:pPr>
            <w:r>
              <w:rPr>
                <w:rFonts w:hint="eastAsia"/>
                <w:color w:val="auto"/>
                <w:sz w:val="21"/>
                <w:szCs w:val="21"/>
                <w:highlight w:val="none"/>
                <w:lang w:eastAsia="zh-CN"/>
              </w:rPr>
              <w:t>八</w:t>
            </w:r>
            <w:r>
              <w:rPr>
                <w:rFonts w:hint="eastAsia"/>
                <w:color w:val="auto"/>
                <w:sz w:val="21"/>
                <w:szCs w:val="21"/>
                <w:highlight w:val="none"/>
              </w:rPr>
              <w:t>、</w:t>
            </w:r>
            <w:r>
              <w:rPr>
                <w:rFonts w:hint="eastAsia" w:ascii="宋体" w:hAnsi="宋体" w:cs="Tahoma"/>
                <w:bCs/>
                <w:color w:val="auto"/>
                <w:sz w:val="21"/>
                <w:szCs w:val="21"/>
                <w:highlight w:val="none"/>
              </w:rPr>
              <w:t>其他要求：</w:t>
            </w:r>
          </w:p>
          <w:p>
            <w:pPr>
              <w:snapToGrid w:val="0"/>
              <w:spacing w:line="288" w:lineRule="auto"/>
              <w:ind w:firstLine="420" w:firstLineChars="200"/>
              <w:rPr>
                <w:rFonts w:hint="eastAsia" w:ascii="宋体" w:hAnsi="宋体" w:cs="Tahoma"/>
                <w:bCs/>
                <w:color w:val="auto"/>
                <w:sz w:val="21"/>
                <w:szCs w:val="21"/>
                <w:highlight w:val="none"/>
              </w:rPr>
            </w:pPr>
            <w:r>
              <w:rPr>
                <w:rFonts w:ascii="宋体" w:hAnsi="宋体" w:cs="宋体"/>
                <w:color w:val="auto"/>
                <w:sz w:val="21"/>
                <w:szCs w:val="21"/>
                <w:highlight w:val="none"/>
              </w:rPr>
              <w:t>▲</w:t>
            </w:r>
            <w:r>
              <w:rPr>
                <w:rFonts w:hint="eastAsia" w:ascii="宋体" w:hAnsi="宋体" w:cs="Tahoma"/>
                <w:bCs/>
                <w:color w:val="auto"/>
                <w:sz w:val="21"/>
                <w:szCs w:val="21"/>
                <w:highlight w:val="none"/>
              </w:rPr>
              <w:t>1.供应商竞标总报价不得超过项目采购预算金额。竞标报价为采购人指定地点的现场交付价，包括：</w:t>
            </w:r>
          </w:p>
          <w:p>
            <w:pPr>
              <w:snapToGrid w:val="0"/>
              <w:spacing w:line="288" w:lineRule="auto"/>
              <w:ind w:firstLine="420" w:firstLineChars="200"/>
              <w:rPr>
                <w:rFonts w:hint="eastAsia" w:ascii="宋体" w:hAnsi="宋体" w:cs="Tahoma"/>
                <w:bCs/>
                <w:color w:val="auto"/>
                <w:sz w:val="21"/>
                <w:szCs w:val="21"/>
                <w:highlight w:val="none"/>
              </w:rPr>
            </w:pPr>
            <w:r>
              <w:rPr>
                <w:rFonts w:hint="eastAsia" w:ascii="宋体" w:hAnsi="宋体" w:cs="Tahoma"/>
                <w:bCs/>
                <w:color w:val="auto"/>
                <w:sz w:val="21"/>
                <w:szCs w:val="21"/>
                <w:highlight w:val="none"/>
              </w:rPr>
              <w:t>（1）服务的价格；</w:t>
            </w:r>
          </w:p>
          <w:p>
            <w:pPr>
              <w:snapToGrid w:val="0"/>
              <w:spacing w:line="288" w:lineRule="auto"/>
              <w:ind w:firstLine="420" w:firstLineChars="200"/>
              <w:rPr>
                <w:rFonts w:hint="eastAsia" w:ascii="宋体" w:hAnsi="宋体" w:cs="Tahoma"/>
                <w:bCs/>
                <w:color w:val="auto"/>
                <w:sz w:val="21"/>
                <w:szCs w:val="21"/>
                <w:highlight w:val="none"/>
              </w:rPr>
            </w:pPr>
            <w:r>
              <w:rPr>
                <w:rFonts w:hint="eastAsia" w:ascii="宋体" w:hAnsi="宋体" w:cs="Tahoma"/>
                <w:bCs/>
                <w:color w:val="auto"/>
                <w:sz w:val="21"/>
                <w:szCs w:val="21"/>
                <w:highlight w:val="none"/>
              </w:rPr>
              <w:t>（2）服务的标准附件、备品备件、专用工具的价格；</w:t>
            </w:r>
          </w:p>
          <w:p>
            <w:pPr>
              <w:snapToGrid w:val="0"/>
              <w:spacing w:line="288" w:lineRule="auto"/>
              <w:ind w:firstLine="420" w:firstLineChars="200"/>
              <w:rPr>
                <w:rFonts w:hint="eastAsia" w:ascii="宋体" w:hAnsi="宋体" w:cs="Tahoma"/>
                <w:bCs/>
                <w:color w:val="auto"/>
                <w:sz w:val="21"/>
                <w:szCs w:val="21"/>
                <w:highlight w:val="none"/>
              </w:rPr>
            </w:pPr>
            <w:r>
              <w:rPr>
                <w:rFonts w:hint="eastAsia" w:ascii="宋体" w:hAnsi="宋体" w:cs="Tahoma"/>
                <w:bCs/>
                <w:color w:val="auto"/>
                <w:sz w:val="21"/>
                <w:szCs w:val="21"/>
                <w:highlight w:val="none"/>
              </w:rPr>
              <w:t>（3）开发、安装、调试、验收、培训、技术支持、售后服务等费用；</w:t>
            </w:r>
          </w:p>
          <w:p>
            <w:pPr>
              <w:snapToGrid w:val="0"/>
              <w:spacing w:line="288" w:lineRule="auto"/>
              <w:ind w:firstLine="420" w:firstLineChars="200"/>
              <w:rPr>
                <w:rFonts w:hint="eastAsia" w:ascii="宋体" w:hAnsi="宋体" w:cs="Tahoma"/>
                <w:bCs/>
                <w:color w:val="auto"/>
                <w:sz w:val="21"/>
                <w:szCs w:val="21"/>
                <w:highlight w:val="none"/>
              </w:rPr>
            </w:pPr>
            <w:r>
              <w:rPr>
                <w:rFonts w:hint="eastAsia" w:ascii="宋体" w:hAnsi="宋体" w:cs="Tahoma"/>
                <w:bCs/>
                <w:color w:val="auto"/>
                <w:sz w:val="21"/>
                <w:szCs w:val="21"/>
                <w:highlight w:val="none"/>
              </w:rPr>
              <w:t>（4）必要的保险费用和各项税费；</w:t>
            </w:r>
          </w:p>
          <w:p>
            <w:pPr>
              <w:snapToGrid w:val="0"/>
              <w:spacing w:line="288" w:lineRule="auto"/>
              <w:ind w:firstLine="422" w:firstLineChars="200"/>
              <w:rPr>
                <w:rFonts w:hint="eastAsia" w:ascii="宋体" w:hAnsi="宋体" w:cs="Tahoma"/>
                <w:b/>
                <w:color w:val="auto"/>
                <w:sz w:val="21"/>
                <w:szCs w:val="21"/>
                <w:highlight w:val="none"/>
              </w:rPr>
            </w:pPr>
            <w:r>
              <w:rPr>
                <w:rFonts w:hint="eastAsia" w:ascii="宋体" w:hAnsi="宋体" w:cs="Tahoma"/>
                <w:b/>
                <w:color w:val="auto"/>
                <w:sz w:val="21"/>
                <w:szCs w:val="21"/>
                <w:highlight w:val="none"/>
              </w:rPr>
              <w:t>本项目采购清单中未列明的但在实际使用中需要用到的辅助材料或设备、仪器、软件开发等均包括在报价中，后续不再考虑增加费用。</w:t>
            </w:r>
          </w:p>
          <w:p>
            <w:pPr>
              <w:keepNext w:val="0"/>
              <w:keepLines w:val="0"/>
              <w:pageBreakBefore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cs="Tahoma"/>
                <w:b/>
                <w:color w:val="auto"/>
                <w:sz w:val="21"/>
                <w:szCs w:val="21"/>
                <w:highlight w:val="none"/>
              </w:rPr>
            </w:pPr>
            <w:r>
              <w:rPr>
                <w:rFonts w:ascii="宋体" w:hAnsi="宋体" w:cs="宋体"/>
                <w:color w:val="auto"/>
                <w:sz w:val="21"/>
                <w:szCs w:val="21"/>
                <w:highlight w:val="none"/>
              </w:rPr>
              <w:t>▲</w:t>
            </w:r>
            <w:r>
              <w:rPr>
                <w:rFonts w:hint="eastAsia" w:ascii="宋体" w:hAnsi="宋体" w:cs="Tahoma"/>
                <w:b/>
                <w:color w:val="auto"/>
                <w:sz w:val="21"/>
                <w:szCs w:val="21"/>
                <w:highlight w:val="none"/>
              </w:rPr>
              <w:t>2.付款方式：</w:t>
            </w:r>
          </w:p>
          <w:p>
            <w:pPr>
              <w:keepNext w:val="0"/>
              <w:keepLines w:val="0"/>
              <w:pageBreakBefore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cs="Tahoma"/>
                <w:bCs/>
                <w:color w:val="auto"/>
                <w:sz w:val="21"/>
                <w:szCs w:val="21"/>
                <w:highlight w:val="none"/>
                <w:lang w:eastAsia="zh-CN"/>
              </w:rPr>
            </w:pPr>
            <w:r>
              <w:rPr>
                <w:rFonts w:hint="eastAsia" w:ascii="宋体" w:hAnsi="宋体" w:cs="Tahoma"/>
                <w:bCs/>
                <w:color w:val="auto"/>
                <w:sz w:val="21"/>
                <w:szCs w:val="21"/>
                <w:highlight w:val="none"/>
                <w:lang w:eastAsia="zh-CN"/>
              </w:rPr>
              <w:t>（</w:t>
            </w:r>
            <w:r>
              <w:rPr>
                <w:rFonts w:hint="eastAsia" w:ascii="宋体" w:hAnsi="宋体" w:cs="Tahoma"/>
                <w:bCs/>
                <w:color w:val="auto"/>
                <w:sz w:val="21"/>
                <w:szCs w:val="21"/>
                <w:highlight w:val="none"/>
                <w:lang w:val="en-US" w:eastAsia="zh-CN"/>
              </w:rPr>
              <w:t>1</w:t>
            </w:r>
            <w:r>
              <w:rPr>
                <w:rFonts w:hint="eastAsia" w:ascii="宋体" w:hAnsi="宋体" w:cs="Tahoma"/>
                <w:bCs/>
                <w:color w:val="auto"/>
                <w:sz w:val="21"/>
                <w:szCs w:val="21"/>
                <w:highlight w:val="none"/>
                <w:lang w:eastAsia="zh-CN"/>
              </w:rPr>
              <w:t>）采购人在合同签订后5个工作日内，支付合同总金额的30%，成交供应商将货物运至采购人指定场地或成交供应商将软件平台部署完毕，项目通过中期验收合格后5个工作日内，采购人支付至合同总金额的70%；项目最终验收合格后10个工作日内，采购人支付至合同金额的100%。</w:t>
            </w:r>
          </w:p>
          <w:p>
            <w:pPr>
              <w:keepNext w:val="0"/>
              <w:keepLines w:val="0"/>
              <w:pageBreakBefore w:val="0"/>
              <w:kinsoku/>
              <w:wordWrap/>
              <w:overflowPunct/>
              <w:topLinePunct w:val="0"/>
              <w:autoSpaceDE/>
              <w:autoSpaceDN/>
              <w:bidi w:val="0"/>
              <w:adjustRightInd/>
              <w:snapToGrid w:val="0"/>
              <w:spacing w:line="276" w:lineRule="auto"/>
              <w:ind w:firstLine="420" w:firstLineChars="200"/>
              <w:textAlignment w:val="auto"/>
              <w:rPr>
                <w:rFonts w:hint="eastAsia" w:ascii="宋体" w:hAnsi="宋体" w:cs="Tahoma"/>
                <w:bCs/>
                <w:color w:val="auto"/>
                <w:sz w:val="21"/>
                <w:szCs w:val="21"/>
                <w:highlight w:val="none"/>
                <w:lang w:eastAsia="zh-CN"/>
              </w:rPr>
            </w:pPr>
            <w:r>
              <w:rPr>
                <w:rFonts w:hint="eastAsia" w:ascii="宋体" w:hAnsi="宋体" w:cs="Tahoma"/>
                <w:bCs/>
                <w:color w:val="auto"/>
                <w:sz w:val="21"/>
                <w:szCs w:val="21"/>
                <w:highlight w:val="none"/>
                <w:lang w:eastAsia="zh-CN"/>
              </w:rPr>
              <w:t>（</w:t>
            </w:r>
            <w:r>
              <w:rPr>
                <w:rFonts w:hint="eastAsia" w:ascii="宋体" w:hAnsi="宋体" w:cs="Tahoma"/>
                <w:bCs/>
                <w:color w:val="auto"/>
                <w:sz w:val="21"/>
                <w:szCs w:val="21"/>
                <w:highlight w:val="none"/>
                <w:lang w:val="en-US" w:eastAsia="zh-CN"/>
              </w:rPr>
              <w:t>2</w:t>
            </w:r>
            <w:r>
              <w:rPr>
                <w:rFonts w:hint="eastAsia" w:ascii="宋体" w:hAnsi="宋体" w:cs="Tahoma"/>
                <w:bCs/>
                <w:color w:val="auto"/>
                <w:sz w:val="21"/>
                <w:szCs w:val="21"/>
                <w:highlight w:val="none"/>
                <w:lang w:eastAsia="zh-CN"/>
              </w:rPr>
              <w:t>）成交供应商在收到采购人支付的每笔款项后5个工作日内应按国家相关规定向采购人开具相应金额的正式发票。</w:t>
            </w:r>
          </w:p>
          <w:p>
            <w:pPr>
              <w:keepNext w:val="0"/>
              <w:keepLines w:val="0"/>
              <w:pageBreakBefore w:val="0"/>
              <w:widowControl/>
              <w:kinsoku/>
              <w:wordWrap/>
              <w:overflowPunct/>
              <w:topLinePunct w:val="0"/>
              <w:autoSpaceDE/>
              <w:autoSpaceDN/>
              <w:bidi w:val="0"/>
              <w:adjustRightInd/>
              <w:snapToGrid w:val="0"/>
              <w:spacing w:line="276" w:lineRule="auto"/>
              <w:ind w:firstLine="422" w:firstLineChars="200"/>
              <w:textAlignment w:val="auto"/>
              <w:rPr>
                <w:rFonts w:hint="eastAsia" w:ascii="宋体" w:hAnsi="宋体" w:cs="Tahoma"/>
                <w:bCs/>
                <w:color w:val="auto"/>
                <w:sz w:val="21"/>
                <w:szCs w:val="21"/>
                <w:highlight w:val="none"/>
              </w:rPr>
            </w:pPr>
            <w:r>
              <w:rPr>
                <w:rFonts w:ascii="宋体" w:hAnsi="宋体" w:cs="宋体"/>
                <w:b/>
                <w:bCs/>
                <w:color w:val="auto"/>
                <w:sz w:val="21"/>
                <w:szCs w:val="21"/>
                <w:highlight w:val="none"/>
              </w:rPr>
              <w:t>▲</w:t>
            </w:r>
            <w:r>
              <w:rPr>
                <w:rFonts w:hint="eastAsia" w:ascii="宋体" w:hAnsi="宋体" w:cs="Tahoma"/>
                <w:b/>
                <w:bCs/>
                <w:color w:val="auto"/>
                <w:sz w:val="21"/>
                <w:szCs w:val="21"/>
                <w:highlight w:val="none"/>
                <w:lang w:val="en-US" w:eastAsia="zh-CN"/>
              </w:rPr>
              <w:t>3</w:t>
            </w:r>
            <w:r>
              <w:rPr>
                <w:rFonts w:hint="eastAsia" w:ascii="宋体" w:hAnsi="宋体" w:cs="Tahoma"/>
                <w:b/>
                <w:bCs/>
                <w:color w:val="auto"/>
                <w:sz w:val="21"/>
                <w:szCs w:val="21"/>
                <w:highlight w:val="none"/>
              </w:rPr>
              <w:t>.</w:t>
            </w:r>
            <w:r>
              <w:rPr>
                <w:rFonts w:hint="eastAsia" w:ascii="宋体" w:hAnsi="宋体" w:cs="Tahoma"/>
                <w:b/>
                <w:bCs/>
                <w:color w:val="auto"/>
                <w:sz w:val="21"/>
                <w:szCs w:val="21"/>
                <w:highlight w:val="none"/>
                <w:lang w:eastAsia="zh-CN"/>
              </w:rPr>
              <w:t>履约保证金：</w:t>
            </w:r>
            <w:r>
              <w:rPr>
                <w:rFonts w:hint="eastAsia" w:ascii="宋体" w:hAnsi="宋体" w:cs="Tahoma"/>
                <w:bCs/>
                <w:color w:val="auto"/>
                <w:sz w:val="21"/>
                <w:szCs w:val="21"/>
                <w:highlight w:val="none"/>
              </w:rPr>
              <w:t>成交供应商收到中标通知后5个工作日内，将中标金额的5%缴纳给采购人作为履约保证金（其中对中标的中小企业收取的履约保证金数额不超过政府采购合同金额的2%），验收合格及由相关招标相关部门确认相关消防、监控、水电、网络、公共财物及场所的完好无损后一年后无质量问题，履约保证金一次性无息退还成交供应商。如最终验收与合同不符，由成交供应商承担一切违约责任。成交供应商中标项目涉及的消防、监控、水电、网络、公共财物及场所如有损坏，由成交单位在</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人限定期限完成整改并恢复原样。逾期未完成整改的，</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人有权另行安排维修，由此产生的一切费用由</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单位承担，并且</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人有权从履约保证金中扣减相关费用，如履约保证金不足以满足维修需要，成交单位应在收到</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人通知之日起3日内予以补足，否则</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人有权从应付的项目结算款中予以先行扣减后再支付剩余结算款。</w:t>
            </w:r>
          </w:p>
          <w:p>
            <w:pPr>
              <w:keepNext w:val="0"/>
              <w:keepLines w:val="0"/>
              <w:pageBreakBefore w:val="0"/>
              <w:widowControl/>
              <w:kinsoku/>
              <w:wordWrap/>
              <w:overflowPunct/>
              <w:topLinePunct w:val="0"/>
              <w:autoSpaceDE/>
              <w:autoSpaceDN/>
              <w:bidi w:val="0"/>
              <w:adjustRightInd/>
              <w:snapToGrid w:val="0"/>
              <w:spacing w:line="276"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履约保证金的形式：供应商可以选择电汇、转账、支票、汇票、本票、保函等形式缴纳或提交。</w:t>
            </w:r>
          </w:p>
          <w:p>
            <w:pPr>
              <w:keepNext w:val="0"/>
              <w:keepLines w:val="0"/>
              <w:pageBreakBefore w:val="0"/>
              <w:widowControl/>
              <w:kinsoku/>
              <w:wordWrap/>
              <w:overflowPunct/>
              <w:topLinePunct w:val="0"/>
              <w:autoSpaceDE/>
              <w:autoSpaceDN/>
              <w:bidi w:val="0"/>
              <w:adjustRightInd/>
              <w:snapToGrid w:val="0"/>
              <w:spacing w:line="276"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保证金缴纳的账号信息：</w:t>
            </w:r>
          </w:p>
          <w:p>
            <w:pPr>
              <w:keepNext w:val="0"/>
              <w:keepLines w:val="0"/>
              <w:pageBreakBefore w:val="0"/>
              <w:widowControl/>
              <w:kinsoku/>
              <w:wordWrap/>
              <w:overflowPunct/>
              <w:topLinePunct w:val="0"/>
              <w:autoSpaceDE/>
              <w:autoSpaceDN/>
              <w:bidi w:val="0"/>
              <w:adjustRightInd/>
              <w:snapToGrid w:val="0"/>
              <w:spacing w:line="276"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开户名称：广西国际商务职业技术学院</w:t>
            </w:r>
          </w:p>
          <w:p>
            <w:pPr>
              <w:keepNext w:val="0"/>
              <w:keepLines w:val="0"/>
              <w:pageBreakBefore w:val="0"/>
              <w:widowControl/>
              <w:kinsoku/>
              <w:wordWrap/>
              <w:overflowPunct/>
              <w:topLinePunct w:val="0"/>
              <w:autoSpaceDE/>
              <w:autoSpaceDN/>
              <w:bidi w:val="0"/>
              <w:adjustRightInd/>
              <w:snapToGrid w:val="0"/>
              <w:spacing w:line="276"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 xml:space="preserve">开户银行：中国银行南宁高新区科技支行 </w:t>
            </w:r>
          </w:p>
          <w:p>
            <w:pPr>
              <w:keepNext w:val="0"/>
              <w:keepLines w:val="0"/>
              <w:pageBreakBefore w:val="0"/>
              <w:widowControl/>
              <w:kinsoku/>
              <w:wordWrap/>
              <w:overflowPunct/>
              <w:topLinePunct w:val="0"/>
              <w:autoSpaceDE/>
              <w:autoSpaceDN/>
              <w:bidi w:val="0"/>
              <w:adjustRightInd/>
              <w:snapToGrid w:val="0"/>
              <w:spacing w:line="276" w:lineRule="auto"/>
              <w:ind w:firstLine="420" w:firstLineChars="200"/>
              <w:textAlignment w:val="auto"/>
              <w:rPr>
                <w:rFonts w:hint="default" w:ascii="宋体" w:hAnsi="宋体" w:eastAsia="宋体" w:cs="Tahoma"/>
                <w:bCs/>
                <w:color w:val="auto"/>
                <w:sz w:val="21"/>
                <w:szCs w:val="21"/>
                <w:highlight w:val="none"/>
                <w:lang w:val="en-US" w:eastAsia="zh-CN"/>
              </w:rPr>
            </w:pPr>
            <w:r>
              <w:rPr>
                <w:rFonts w:hint="eastAsia" w:ascii="宋体" w:hAnsi="宋体" w:cs="Tahoma"/>
                <w:bCs/>
                <w:color w:val="auto"/>
                <w:sz w:val="21"/>
                <w:szCs w:val="21"/>
                <w:highlight w:val="none"/>
              </w:rPr>
              <w:t>银行账号：614581859133</w:t>
            </w:r>
          </w:p>
          <w:p>
            <w:pPr>
              <w:snapToGrid w:val="0"/>
              <w:spacing w:line="288" w:lineRule="auto"/>
              <w:ind w:firstLine="420" w:firstLineChars="200"/>
              <w:rPr>
                <w:rFonts w:hint="eastAsia"/>
                <w:color w:val="auto"/>
                <w:sz w:val="21"/>
                <w:szCs w:val="21"/>
                <w:highlight w:val="none"/>
              </w:rPr>
            </w:pPr>
            <w:r>
              <w:rPr>
                <w:rFonts w:hint="eastAsia" w:ascii="宋体" w:hAnsi="宋体" w:cs="Tahoma"/>
                <w:bCs/>
                <w:color w:val="auto"/>
                <w:sz w:val="21"/>
                <w:szCs w:val="21"/>
                <w:highlight w:val="none"/>
                <w:lang w:val="en-US" w:eastAsia="zh-CN"/>
              </w:rPr>
              <w:t>4</w:t>
            </w:r>
            <w:r>
              <w:rPr>
                <w:rFonts w:hint="eastAsia" w:ascii="宋体" w:hAnsi="宋体" w:cs="Tahoma"/>
                <w:bCs/>
                <w:color w:val="auto"/>
                <w:sz w:val="21"/>
                <w:szCs w:val="21"/>
                <w:highlight w:val="none"/>
              </w:rPr>
              <w:t>.成交供应商提供的采购标的应符合国家知识产权法律、法规的规定且非假冒伪劣品；成交供应商还应保证采购人不受到第三方关于侵犯知识产权及专利权、商标权或工业设计权等知识产权方面的指控，若任何第三方提出此方面指控均与采购人无关，成交供应商应与第三方交涉，并承担可能发生的一切法律责任、费用和后果；若采购人因此而遭致损失（包括但不限于律师费、诉讼费、鉴定费、诉讼过程采购人所产生的交通费等），则成交供应商应赔偿该损失。</w:t>
            </w:r>
            <w:r>
              <w:rPr>
                <w:rFonts w:hint="eastAsia" w:ascii="宋体" w:hAnsi="宋体" w:cs="Tahoma"/>
                <w:b/>
                <w:bCs w:val="0"/>
                <w:color w:val="auto"/>
                <w:sz w:val="21"/>
                <w:szCs w:val="21"/>
                <w:highlight w:val="none"/>
              </w:rPr>
              <w:t>本项目服务成果版权归采购人所有。</w:t>
            </w:r>
          </w:p>
          <w:p>
            <w:pPr>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.若成交人提供的采购标的不符合国家知识产权法律、法规的规定或被有关主管机关认定为假冒伪劣品，则成交人成交资格将被取消；采购人还将按照有关法律、法规和规章的规定进行处理。</w:t>
            </w:r>
          </w:p>
          <w:p>
            <w:pPr>
              <w:snapToGrid w:val="0"/>
              <w:spacing w:line="288" w:lineRule="auto"/>
              <w:ind w:firstLine="420" w:firstLineChars="200"/>
              <w:rPr>
                <w:color w:val="auto"/>
                <w:sz w:val="21"/>
                <w:szCs w:val="21"/>
                <w:highlight w:val="none"/>
              </w:rPr>
            </w:pPr>
            <w:r>
              <w:rPr>
                <w:rFonts w:hint="eastAsia"/>
                <w:color w:val="auto"/>
                <w:sz w:val="21"/>
                <w:szCs w:val="21"/>
                <w:highlight w:val="none"/>
                <w:lang w:val="en-US" w:eastAsia="zh-CN"/>
              </w:rPr>
              <w:t>6</w:t>
            </w:r>
            <w:r>
              <w:rPr>
                <w:rFonts w:hint="eastAsia"/>
                <w:color w:val="auto"/>
                <w:sz w:val="21"/>
                <w:szCs w:val="21"/>
                <w:highlight w:val="none"/>
              </w:rPr>
              <w:t>.供应商须确保响应文件中的人员信息真实、有效，承诺签订合同时提供人员名单。成交供应商不得将项目非法分包或转包给任何单位和个人，否则釆购人有权即刻终止合同，并要求成交供应商赔偿相应损失。</w:t>
            </w:r>
          </w:p>
          <w:p>
            <w:pPr>
              <w:bidi w:val="0"/>
              <w:ind w:firstLine="422" w:firstLineChars="200"/>
              <w:rPr>
                <w:rFonts w:hint="eastAsia"/>
                <w:color w:val="auto"/>
              </w:rPr>
            </w:pPr>
            <w:r>
              <w:rPr>
                <w:rFonts w:ascii="宋体" w:hAnsi="宋体" w:cs="宋体"/>
                <w:b/>
                <w:bCs/>
                <w:color w:val="auto"/>
                <w:sz w:val="21"/>
                <w:szCs w:val="21"/>
                <w:highlight w:val="none"/>
              </w:rPr>
              <w:t>▲</w:t>
            </w:r>
            <w:r>
              <w:rPr>
                <w:rFonts w:hint="eastAsia" w:ascii="宋体" w:hAnsi="宋体" w:cs="Tahoma"/>
                <w:bCs/>
                <w:color w:val="auto"/>
                <w:sz w:val="21"/>
                <w:szCs w:val="21"/>
                <w:highlight w:val="none"/>
                <w:lang w:val="en-US" w:eastAsia="zh-CN"/>
              </w:rPr>
              <w:t>7</w:t>
            </w:r>
            <w:r>
              <w:rPr>
                <w:rFonts w:hint="eastAsia" w:ascii="宋体" w:hAnsi="宋体" w:cs="Tahoma"/>
                <w:bCs/>
                <w:color w:val="auto"/>
                <w:sz w:val="21"/>
                <w:szCs w:val="21"/>
                <w:highlight w:val="none"/>
              </w:rPr>
              <w:t>.合同履行要求：为了保证本次服务的质量，供应商在全部服务、货物交付安装前，采购人有权对供服务、货物产品进行测试预验收，以确认产品的技术指标和性能是否达到采购文件中所规定以及响应文件所承诺的技术功能要求，若测试结果不能满足采购文件参数要求以及响应文件所承诺，采购人有权不予以接收，如供应商无法在规定时间内提供达到采购文件中所规定以及响应文件所承诺的服务、货物产品，采购人有权单方面终止合同，供应商履约保证金不予退还，并且保留追究供应商的相关法律责任。采购人有权邀请本项目竞标应商参与预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75" w:type="dxa"/>
            <w:gridSpan w:val="6"/>
            <w:vAlign w:val="center"/>
          </w:tcPr>
          <w:p>
            <w:pPr>
              <w:widowControl/>
              <w:spacing w:line="320" w:lineRule="exact"/>
              <w:jc w:val="left"/>
              <w:rPr>
                <w:rFonts w:hint="eastAsia" w:ascii="宋体" w:cs="宋体"/>
                <w:b/>
                <w:bCs/>
                <w:color w:val="auto"/>
                <w:kern w:val="0"/>
                <w:highlight w:val="none"/>
              </w:rPr>
            </w:pPr>
            <w:r>
              <w:rPr>
                <w:rFonts w:hint="eastAsia" w:ascii="宋体" w:cs="宋体"/>
                <w:b/>
                <w:bCs/>
                <w:color w:val="auto"/>
                <w:kern w:val="0"/>
                <w:highlight w:val="none"/>
              </w:rPr>
              <w:t>其他说明：</w:t>
            </w:r>
          </w:p>
          <w:p>
            <w:pPr>
              <w:pStyle w:val="21"/>
              <w:spacing w:line="320" w:lineRule="exact"/>
              <w:rPr>
                <w:rFonts w:cs="宋体"/>
                <w:b/>
                <w:bCs/>
                <w:color w:val="auto"/>
                <w:highlight w:val="none"/>
              </w:rPr>
            </w:pPr>
            <w:r>
              <w:rPr>
                <w:rFonts w:hint="eastAsia" w:cs="宋体"/>
                <w:b/>
                <w:bCs/>
                <w:color w:val="auto"/>
                <w:highlight w:val="none"/>
              </w:rPr>
              <w:t>1.</w:t>
            </w:r>
            <w:r>
              <w:rPr>
                <w:rFonts w:hint="eastAsia"/>
                <w:b/>
                <w:color w:val="auto"/>
                <w:highlight w:val="none"/>
              </w:rPr>
              <w:t>本需求一览表中标注“</w:t>
            </w:r>
            <w:r>
              <w:rPr>
                <w:rFonts w:hAnsi="宋体" w:cs="宋体"/>
                <w:color w:val="auto"/>
                <w:sz w:val="24"/>
                <w:szCs w:val="24"/>
                <w:highlight w:val="none"/>
              </w:rPr>
              <w:t>▲</w:t>
            </w:r>
            <w:r>
              <w:rPr>
                <w:rFonts w:hint="eastAsia"/>
                <w:b/>
                <w:color w:val="auto"/>
                <w:highlight w:val="none"/>
              </w:rPr>
              <w:t>”号的内容为实质性要求和条件，磋商</w:t>
            </w:r>
            <w:r>
              <w:rPr>
                <w:rFonts w:hint="eastAsia" w:cs="宋体"/>
                <w:b/>
                <w:bCs/>
                <w:color w:val="auto"/>
                <w:highlight w:val="none"/>
              </w:rPr>
              <w:t>供应商须满足或响应，若无法完全满足，将会被认定为无效磋商。</w:t>
            </w:r>
          </w:p>
          <w:p>
            <w:pPr>
              <w:pStyle w:val="21"/>
              <w:spacing w:line="320" w:lineRule="exact"/>
              <w:rPr>
                <w:rFonts w:hint="eastAsia"/>
                <w:color w:val="auto"/>
              </w:rPr>
            </w:pPr>
            <w:r>
              <w:rPr>
                <w:rFonts w:hint="eastAsia" w:cs="宋体"/>
                <w:b/>
                <w:bCs/>
                <w:color w:val="auto"/>
                <w:highlight w:val="none"/>
              </w:rPr>
              <w:t>2.磋商小组</w:t>
            </w:r>
            <w:r>
              <w:rPr>
                <w:rFonts w:cs="宋体"/>
                <w:b/>
                <w:bCs/>
                <w:color w:val="auto"/>
                <w:highlight w:val="none"/>
              </w:rPr>
              <w:t>认为</w:t>
            </w:r>
            <w:r>
              <w:rPr>
                <w:rFonts w:hint="eastAsia" w:cs="宋体"/>
                <w:b/>
                <w:bCs/>
                <w:color w:val="auto"/>
                <w:highlight w:val="none"/>
              </w:rPr>
              <w:t>磋商供应商</w:t>
            </w:r>
            <w:r>
              <w:rPr>
                <w:rFonts w:cs="宋体"/>
                <w:b/>
                <w:bCs/>
                <w:color w:val="auto"/>
                <w:highlight w:val="none"/>
              </w:rPr>
              <w:t>的</w:t>
            </w:r>
            <w:r>
              <w:rPr>
                <w:rFonts w:hint="eastAsia" w:cs="宋体"/>
                <w:b/>
                <w:bCs/>
                <w:color w:val="auto"/>
                <w:highlight w:val="none"/>
              </w:rPr>
              <w:t>磋商</w:t>
            </w:r>
            <w:r>
              <w:rPr>
                <w:rFonts w:cs="宋体"/>
                <w:b/>
                <w:bCs/>
                <w:color w:val="auto"/>
                <w:highlight w:val="none"/>
              </w:rPr>
              <w:t>报价明显低于其他通过符合性审查</w:t>
            </w:r>
            <w:r>
              <w:rPr>
                <w:rFonts w:hint="eastAsia" w:cs="宋体"/>
                <w:b/>
                <w:bCs/>
                <w:color w:val="auto"/>
                <w:highlight w:val="none"/>
              </w:rPr>
              <w:t>磋商供应商</w:t>
            </w:r>
            <w:r>
              <w:rPr>
                <w:rFonts w:cs="宋体"/>
                <w:b/>
                <w:bCs/>
                <w:color w:val="auto"/>
                <w:highlight w:val="none"/>
              </w:rPr>
              <w:t>的</w:t>
            </w:r>
            <w:r>
              <w:rPr>
                <w:rFonts w:hint="eastAsia" w:cs="宋体"/>
                <w:b/>
                <w:bCs/>
                <w:color w:val="auto"/>
                <w:highlight w:val="none"/>
              </w:rPr>
              <w:t>磋商</w:t>
            </w:r>
            <w:r>
              <w:rPr>
                <w:rFonts w:cs="宋体"/>
                <w:b/>
                <w:bCs/>
                <w:color w:val="auto"/>
                <w:highlight w:val="none"/>
              </w:rPr>
              <w:t>报价，有可能影响产品</w:t>
            </w:r>
            <w:r>
              <w:rPr>
                <w:rFonts w:hint="eastAsia" w:cs="宋体"/>
                <w:b/>
                <w:bCs/>
                <w:color w:val="auto"/>
                <w:highlight w:val="none"/>
              </w:rPr>
              <w:t>（服务）</w:t>
            </w:r>
            <w:r>
              <w:rPr>
                <w:rFonts w:cs="宋体"/>
                <w:b/>
                <w:bCs/>
                <w:color w:val="auto"/>
                <w:highlight w:val="none"/>
              </w:rPr>
              <w:t>质量或者不能诚信履约的，应当要求其在</w:t>
            </w:r>
            <w:r>
              <w:rPr>
                <w:rFonts w:hint="eastAsia" w:cs="宋体"/>
                <w:b/>
                <w:bCs/>
                <w:color w:val="auto"/>
                <w:highlight w:val="none"/>
              </w:rPr>
              <w:t>磋商</w:t>
            </w:r>
            <w:r>
              <w:rPr>
                <w:rFonts w:cs="宋体"/>
                <w:b/>
                <w:bCs/>
                <w:color w:val="auto"/>
                <w:highlight w:val="none"/>
              </w:rPr>
              <w:t>现场合理的时间内提供书面说明，必要时提交相关证明材料；</w:t>
            </w:r>
            <w:r>
              <w:rPr>
                <w:rFonts w:hint="eastAsia" w:cs="宋体"/>
                <w:b/>
                <w:bCs/>
                <w:color w:val="auto"/>
                <w:highlight w:val="none"/>
              </w:rPr>
              <w:t>磋商供应商</w:t>
            </w:r>
            <w:r>
              <w:rPr>
                <w:rFonts w:cs="宋体"/>
                <w:b/>
                <w:bCs/>
                <w:color w:val="auto"/>
                <w:highlight w:val="none"/>
              </w:rPr>
              <w:t>不能证明其</w:t>
            </w:r>
            <w:r>
              <w:rPr>
                <w:rFonts w:hint="eastAsia" w:cs="宋体"/>
                <w:b/>
                <w:bCs/>
                <w:color w:val="auto"/>
                <w:highlight w:val="none"/>
              </w:rPr>
              <w:t>磋商</w:t>
            </w:r>
            <w:r>
              <w:rPr>
                <w:rFonts w:cs="宋体"/>
                <w:b/>
                <w:bCs/>
                <w:color w:val="auto"/>
                <w:highlight w:val="none"/>
              </w:rPr>
              <w:t>报价合理性的，</w:t>
            </w:r>
            <w:r>
              <w:rPr>
                <w:rFonts w:hint="eastAsia" w:cs="宋体"/>
                <w:b/>
                <w:bCs/>
                <w:color w:val="auto"/>
                <w:highlight w:val="none"/>
              </w:rPr>
              <w:t>磋商小组</w:t>
            </w:r>
            <w:r>
              <w:rPr>
                <w:rFonts w:cs="宋体"/>
                <w:b/>
                <w:bCs/>
                <w:color w:val="auto"/>
                <w:highlight w:val="none"/>
              </w:rPr>
              <w:t>应当将其作为无效</w:t>
            </w:r>
            <w:r>
              <w:rPr>
                <w:rFonts w:hint="eastAsia" w:cs="宋体"/>
                <w:b/>
                <w:bCs/>
                <w:color w:val="auto"/>
                <w:highlight w:val="none"/>
              </w:rPr>
              <w:t>磋商</w:t>
            </w:r>
            <w:r>
              <w:rPr>
                <w:rFonts w:cs="宋体"/>
                <w:b/>
                <w:bCs/>
                <w:color w:val="auto"/>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75" w:type="dxa"/>
            <w:gridSpan w:val="6"/>
            <w:vAlign w:val="center"/>
          </w:tcPr>
          <w:p>
            <w:pPr>
              <w:widowControl/>
              <w:spacing w:line="320" w:lineRule="exact"/>
              <w:jc w:val="left"/>
              <w:rPr>
                <w:rFonts w:hint="eastAsia"/>
                <w:color w:val="auto"/>
              </w:rPr>
            </w:pPr>
            <w:r>
              <w:rPr>
                <w:rFonts w:hint="eastAsia" w:ascii="宋体" w:cs="宋体"/>
                <w:b/>
                <w:bCs/>
                <w:color w:val="auto"/>
                <w:kern w:val="0"/>
                <w:highlight w:val="none"/>
              </w:rPr>
              <w:t>可磋商内容：</w:t>
            </w:r>
            <w:r>
              <w:rPr>
                <w:rFonts w:hint="eastAsia"/>
                <w:b/>
                <w:color w:val="auto"/>
                <w:highlight w:val="none"/>
              </w:rPr>
              <w:t>本需求一览表中未标注“</w:t>
            </w:r>
            <w:r>
              <w:rPr>
                <w:rFonts w:ascii="宋体" w:hAnsi="宋体" w:cs="宋体"/>
                <w:color w:val="auto"/>
                <w:sz w:val="24"/>
                <w:szCs w:val="24"/>
                <w:highlight w:val="none"/>
              </w:rPr>
              <w:t>▲</w:t>
            </w:r>
            <w:r>
              <w:rPr>
                <w:rFonts w:hint="eastAsia"/>
                <w:b/>
                <w:color w:val="auto"/>
                <w:highlight w:val="none"/>
              </w:rPr>
              <w:t>”号的内容为</w:t>
            </w:r>
            <w:r>
              <w:rPr>
                <w:rFonts w:hint="eastAsia" w:ascii="Arial" w:hAnsi="Arial" w:cs="Arial"/>
                <w:b/>
                <w:color w:val="auto"/>
                <w:kern w:val="0"/>
                <w:highlight w:val="none"/>
              </w:rPr>
              <w:t>可磋商内容。</w:t>
            </w:r>
          </w:p>
        </w:tc>
      </w:tr>
    </w:tbl>
    <w:p>
      <w:pPr>
        <w:rPr>
          <w:color w:val="auto"/>
          <w:lang w:val="zh-CN"/>
        </w:rPr>
      </w:pPr>
      <w:r>
        <w:rPr>
          <w:rFonts w:ascii="宋体" w:hAnsi="宋体" w:cs="宋体"/>
          <w:b/>
          <w:color w:val="auto"/>
          <w:kern w:val="0"/>
          <w:highlight w:val="none"/>
          <w:lang w:val="zh-CN"/>
        </w:rPr>
        <w:br w:type="page"/>
      </w:r>
    </w:p>
    <w:p>
      <w:pPr>
        <w:pStyle w:val="37"/>
        <w:rPr>
          <w:color w:val="auto"/>
          <w:lang w:val="zh-CN"/>
        </w:rPr>
        <w:sectPr>
          <w:pgSz w:w="11906" w:h="16838"/>
          <w:pgMar w:top="1247" w:right="1247" w:bottom="1247" w:left="1474" w:header="851" w:footer="992" w:gutter="0"/>
          <w:cols w:space="720" w:num="1"/>
          <w:titlePg/>
          <w:docGrid w:type="lines" w:linePitch="312" w:charSpace="0"/>
        </w:sectPr>
      </w:pPr>
    </w:p>
    <w:p>
      <w:pPr>
        <w:pStyle w:val="26"/>
        <w:rPr>
          <w:rFonts w:hint="eastAsia"/>
          <w:color w:val="auto"/>
          <w:lang w:val="zh-CN"/>
        </w:rPr>
      </w:pPr>
    </w:p>
    <w:p>
      <w:pPr>
        <w:pStyle w:val="2"/>
        <w:outlineLvl w:val="1"/>
        <w:rPr>
          <w:color w:val="auto"/>
        </w:rPr>
      </w:pPr>
      <w:r>
        <w:rPr>
          <w:rFonts w:hint="eastAsia" w:ascii="宋体" w:hAnsi="宋体" w:eastAsia="宋体" w:cs="宋体"/>
          <w:b/>
          <w:bCs w:val="0"/>
          <w:color w:val="auto"/>
          <w:kern w:val="0"/>
          <w:sz w:val="21"/>
          <w:szCs w:val="21"/>
          <w:lang w:val="zh-CN" w:eastAsia="zh-CN" w:bidi="ar-SA"/>
        </w:rPr>
        <w:t>分标</w:t>
      </w:r>
      <w:r>
        <w:rPr>
          <w:rFonts w:hint="eastAsia" w:ascii="宋体" w:hAnsi="宋体" w:cs="宋体"/>
          <w:b/>
          <w:bCs w:val="0"/>
          <w:color w:val="auto"/>
          <w:kern w:val="0"/>
          <w:sz w:val="21"/>
          <w:szCs w:val="21"/>
          <w:lang w:val="en-US" w:eastAsia="zh-CN" w:bidi="ar-SA"/>
        </w:rPr>
        <w:t>2</w:t>
      </w:r>
      <w:r>
        <w:rPr>
          <w:rFonts w:hint="eastAsia" w:ascii="宋体" w:hAnsi="宋体" w:eastAsia="宋体" w:cs="宋体"/>
          <w:b/>
          <w:bCs w:val="0"/>
          <w:color w:val="auto"/>
          <w:kern w:val="0"/>
          <w:sz w:val="21"/>
          <w:szCs w:val="21"/>
          <w:lang w:val="zh-CN" w:eastAsia="zh-CN" w:bidi="ar-SA"/>
        </w:rPr>
        <w:t>：社团活动管理系统建设项目</w:t>
      </w:r>
      <w:r>
        <w:rPr>
          <w:rFonts w:hint="eastAsia" w:ascii="宋体" w:hAnsi="宋体" w:eastAsia="宋体" w:cs="宋体"/>
          <w:b/>
          <w:bCs w:val="0"/>
          <w:color w:val="auto"/>
          <w:kern w:val="0"/>
          <w:sz w:val="21"/>
          <w:szCs w:val="21"/>
          <w:lang w:val="en-US" w:eastAsia="zh-CN" w:bidi="ar-SA"/>
        </w:rPr>
        <w:t xml:space="preserve">   </w:t>
      </w:r>
      <w:r>
        <w:rPr>
          <w:rFonts w:hint="eastAsia" w:ascii="宋体" w:hAnsi="宋体" w:eastAsia="宋体" w:cs="宋体"/>
          <w:b/>
          <w:bCs w:val="0"/>
          <w:color w:val="auto"/>
          <w:kern w:val="0"/>
          <w:sz w:val="21"/>
          <w:szCs w:val="21"/>
          <w:lang w:val="zh-CN" w:eastAsia="zh-CN" w:bidi="ar-SA"/>
        </w:rPr>
        <w:t>采购预算：</w:t>
      </w:r>
      <w:r>
        <w:rPr>
          <w:rFonts w:hint="eastAsia" w:ascii="宋体" w:hAnsi="宋体" w:cs="宋体"/>
          <w:b/>
          <w:bCs w:val="0"/>
          <w:color w:val="auto"/>
          <w:kern w:val="0"/>
          <w:sz w:val="21"/>
          <w:szCs w:val="21"/>
          <w:lang w:val="en-US" w:eastAsia="zh-CN" w:bidi="ar-SA"/>
        </w:rPr>
        <w:t>2</w:t>
      </w:r>
      <w:r>
        <w:rPr>
          <w:rFonts w:hint="eastAsia" w:ascii="宋体" w:hAnsi="宋体" w:eastAsia="宋体" w:cs="宋体"/>
          <w:b/>
          <w:bCs w:val="0"/>
          <w:color w:val="auto"/>
          <w:kern w:val="0"/>
          <w:sz w:val="21"/>
          <w:szCs w:val="21"/>
          <w:lang w:val="zh-CN" w:eastAsia="zh-CN" w:bidi="ar-SA"/>
        </w:rPr>
        <w:t>00000.00</w:t>
      </w:r>
      <w:r>
        <w:rPr>
          <w:rFonts w:hint="eastAsia" w:ascii="宋体" w:hAnsi="宋体" w:eastAsia="宋体" w:cs="宋体"/>
          <w:b/>
          <w:bCs w:val="0"/>
          <w:color w:val="auto"/>
          <w:kern w:val="0"/>
          <w:sz w:val="21"/>
          <w:szCs w:val="21"/>
          <w:lang w:val="en-US" w:eastAsia="zh-CN" w:bidi="ar-SA"/>
        </w:rPr>
        <w:t>元</w:t>
      </w:r>
    </w:p>
    <w:tbl>
      <w:tblPr>
        <w:tblStyle w:val="39"/>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838"/>
        <w:gridCol w:w="546"/>
        <w:gridCol w:w="493"/>
        <w:gridCol w:w="1207"/>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1" w:type="dxa"/>
            <w:vAlign w:val="center"/>
          </w:tcPr>
          <w:p>
            <w:pPr>
              <w:bidi w:val="0"/>
              <w:rPr>
                <w:rFonts w:hint="eastAsia"/>
                <w:b/>
                <w:bCs/>
                <w:color w:val="auto"/>
                <w:sz w:val="21"/>
                <w:szCs w:val="21"/>
              </w:rPr>
            </w:pPr>
            <w:r>
              <w:rPr>
                <w:rFonts w:hint="eastAsia"/>
                <w:b/>
                <w:bCs/>
                <w:color w:val="auto"/>
                <w:sz w:val="21"/>
                <w:szCs w:val="21"/>
              </w:rPr>
              <w:t>序号</w:t>
            </w:r>
          </w:p>
        </w:tc>
        <w:tc>
          <w:tcPr>
            <w:tcW w:w="838" w:type="dxa"/>
            <w:vAlign w:val="center"/>
          </w:tcPr>
          <w:p>
            <w:pPr>
              <w:bidi w:val="0"/>
              <w:rPr>
                <w:rFonts w:hint="eastAsia"/>
                <w:b/>
                <w:bCs/>
                <w:color w:val="auto"/>
                <w:sz w:val="21"/>
                <w:szCs w:val="21"/>
                <w:lang w:eastAsia="zh-CN"/>
              </w:rPr>
            </w:pPr>
            <w:r>
              <w:rPr>
                <w:rFonts w:hint="eastAsia"/>
                <w:b/>
                <w:bCs/>
                <w:color w:val="auto"/>
                <w:sz w:val="21"/>
                <w:szCs w:val="21"/>
              </w:rPr>
              <w:t>服务名称</w:t>
            </w:r>
          </w:p>
        </w:tc>
        <w:tc>
          <w:tcPr>
            <w:tcW w:w="546" w:type="dxa"/>
            <w:vAlign w:val="center"/>
          </w:tcPr>
          <w:p>
            <w:pPr>
              <w:bidi w:val="0"/>
              <w:rPr>
                <w:rFonts w:hint="eastAsia"/>
                <w:b/>
                <w:bCs/>
                <w:color w:val="auto"/>
                <w:sz w:val="21"/>
                <w:szCs w:val="21"/>
              </w:rPr>
            </w:pPr>
            <w:r>
              <w:rPr>
                <w:rFonts w:hint="eastAsia"/>
                <w:b/>
                <w:bCs/>
                <w:color w:val="auto"/>
                <w:sz w:val="21"/>
                <w:szCs w:val="21"/>
              </w:rPr>
              <w:t>单位</w:t>
            </w:r>
          </w:p>
        </w:tc>
        <w:tc>
          <w:tcPr>
            <w:tcW w:w="493" w:type="dxa"/>
            <w:vAlign w:val="center"/>
          </w:tcPr>
          <w:p>
            <w:pPr>
              <w:bidi w:val="0"/>
              <w:rPr>
                <w:rFonts w:hint="eastAsia"/>
                <w:b/>
                <w:bCs/>
                <w:color w:val="auto"/>
                <w:sz w:val="21"/>
                <w:szCs w:val="21"/>
                <w:lang w:val="en-US" w:eastAsia="zh-CN"/>
              </w:rPr>
            </w:pPr>
            <w:r>
              <w:rPr>
                <w:rFonts w:hint="eastAsia"/>
                <w:b/>
                <w:bCs/>
                <w:color w:val="auto"/>
                <w:sz w:val="21"/>
                <w:szCs w:val="21"/>
              </w:rPr>
              <w:t>数量</w:t>
            </w:r>
          </w:p>
        </w:tc>
        <w:tc>
          <w:tcPr>
            <w:tcW w:w="1207" w:type="dxa"/>
            <w:vAlign w:val="center"/>
          </w:tcPr>
          <w:p>
            <w:pPr>
              <w:bidi w:val="0"/>
              <w:rPr>
                <w:rFonts w:hint="eastAsia"/>
                <w:b/>
                <w:bCs/>
                <w:color w:val="auto"/>
                <w:sz w:val="21"/>
                <w:szCs w:val="21"/>
              </w:rPr>
            </w:pPr>
            <w:r>
              <w:rPr>
                <w:rFonts w:hint="eastAsia"/>
                <w:b/>
                <w:bCs/>
                <w:color w:val="auto"/>
                <w:sz w:val="21"/>
                <w:szCs w:val="21"/>
                <w:lang w:eastAsia="zh-CN"/>
              </w:rPr>
              <w:t>分项预算合计（元）</w:t>
            </w:r>
          </w:p>
        </w:tc>
        <w:tc>
          <w:tcPr>
            <w:tcW w:w="6050" w:type="dxa"/>
            <w:vAlign w:val="center"/>
          </w:tcPr>
          <w:p>
            <w:pPr>
              <w:bidi w:val="0"/>
              <w:rPr>
                <w:rFonts w:hint="eastAsia"/>
                <w:b/>
                <w:bCs/>
                <w:color w:val="auto"/>
                <w:sz w:val="21"/>
                <w:szCs w:val="21"/>
              </w:rPr>
            </w:pPr>
            <w:r>
              <w:rPr>
                <w:rFonts w:hint="eastAsia"/>
                <w:b/>
                <w:bCs/>
                <w:color w:val="auto"/>
                <w:sz w:val="21"/>
                <w:szCs w:val="21"/>
              </w:rPr>
              <w:t>服务内容及技术要求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41" w:type="dxa"/>
            <w:vAlign w:val="center"/>
          </w:tcPr>
          <w:p>
            <w:pPr>
              <w:bidi w:val="0"/>
              <w:rPr>
                <w:rFonts w:hint="eastAsia"/>
                <w:color w:val="auto"/>
                <w:sz w:val="21"/>
                <w:szCs w:val="21"/>
                <w:lang w:val="en-US" w:eastAsia="zh-CN"/>
              </w:rPr>
            </w:pPr>
            <w:r>
              <w:rPr>
                <w:rFonts w:hint="eastAsia"/>
                <w:color w:val="auto"/>
                <w:sz w:val="21"/>
                <w:szCs w:val="21"/>
                <w:lang w:val="en-US" w:eastAsia="zh-CN"/>
              </w:rPr>
              <w:t>1</w:t>
            </w:r>
          </w:p>
        </w:tc>
        <w:tc>
          <w:tcPr>
            <w:tcW w:w="838" w:type="dxa"/>
            <w:vAlign w:val="center"/>
          </w:tcPr>
          <w:p>
            <w:pPr>
              <w:bidi w:val="0"/>
              <w:rPr>
                <w:rFonts w:hint="eastAsia"/>
                <w:color w:val="auto"/>
                <w:sz w:val="21"/>
                <w:szCs w:val="21"/>
              </w:rPr>
            </w:pPr>
            <w:r>
              <w:rPr>
                <w:rFonts w:hint="eastAsia"/>
                <w:color w:val="auto"/>
                <w:sz w:val="21"/>
                <w:szCs w:val="21"/>
              </w:rPr>
              <w:t>社团活动管理系统建设项目</w:t>
            </w:r>
          </w:p>
        </w:tc>
        <w:tc>
          <w:tcPr>
            <w:tcW w:w="546" w:type="dxa"/>
            <w:vAlign w:val="center"/>
          </w:tcPr>
          <w:p>
            <w:pPr>
              <w:bidi w:val="0"/>
              <w:rPr>
                <w:rFonts w:hint="eastAsia"/>
                <w:color w:val="auto"/>
                <w:sz w:val="21"/>
                <w:szCs w:val="21"/>
                <w:lang w:val="en-US" w:eastAsia="zh-CN"/>
              </w:rPr>
            </w:pPr>
            <w:r>
              <w:rPr>
                <w:rFonts w:hint="eastAsia"/>
                <w:color w:val="auto"/>
                <w:sz w:val="21"/>
                <w:szCs w:val="21"/>
                <w:lang w:val="en-US" w:eastAsia="zh-CN"/>
              </w:rPr>
              <w:t>项</w:t>
            </w:r>
          </w:p>
        </w:tc>
        <w:tc>
          <w:tcPr>
            <w:tcW w:w="493" w:type="dxa"/>
            <w:vAlign w:val="center"/>
          </w:tcPr>
          <w:p>
            <w:pPr>
              <w:bidi w:val="0"/>
              <w:rPr>
                <w:rFonts w:hint="eastAsia"/>
                <w:color w:val="auto"/>
                <w:sz w:val="21"/>
                <w:szCs w:val="21"/>
                <w:lang w:val="en-US" w:eastAsia="zh-CN"/>
              </w:rPr>
            </w:pPr>
            <w:r>
              <w:rPr>
                <w:rFonts w:hint="eastAsia"/>
                <w:color w:val="auto"/>
                <w:sz w:val="21"/>
                <w:szCs w:val="21"/>
                <w:lang w:val="en-US" w:eastAsia="zh-CN"/>
              </w:rPr>
              <w:t>1</w:t>
            </w:r>
          </w:p>
        </w:tc>
        <w:tc>
          <w:tcPr>
            <w:tcW w:w="1207" w:type="dxa"/>
            <w:vAlign w:val="center"/>
          </w:tcPr>
          <w:p>
            <w:pPr>
              <w:bidi w:val="0"/>
              <w:rPr>
                <w:rFonts w:hint="eastAsia"/>
                <w:color w:val="auto"/>
                <w:sz w:val="21"/>
                <w:szCs w:val="21"/>
                <w:lang w:val="en-US" w:eastAsia="zh-CN"/>
              </w:rPr>
            </w:pPr>
            <w:r>
              <w:rPr>
                <w:rFonts w:hint="eastAsia"/>
                <w:color w:val="auto"/>
                <w:sz w:val="21"/>
                <w:szCs w:val="21"/>
                <w:lang w:val="en-US" w:eastAsia="zh-CN"/>
              </w:rPr>
              <w:t>200000.00</w:t>
            </w:r>
          </w:p>
        </w:tc>
        <w:tc>
          <w:tcPr>
            <w:tcW w:w="6050"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2" w:firstLineChars="200"/>
              <w:jc w:val="lef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一、需求分析</w:t>
            </w:r>
          </w:p>
          <w:p>
            <w:pPr>
              <w:pStyle w:val="38"/>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提高活动效率和效果、满足学生多样化需求、促进资源整合和共享、增强学生信息化素养、推动学校教育信息化发展</w:t>
            </w:r>
            <w:r>
              <w:rPr>
                <w:rFonts w:hint="eastAsia" w:ascii="宋体" w:hAnsi="宋体" w:cs="宋体"/>
                <w:color w:val="auto"/>
                <w:sz w:val="21"/>
                <w:szCs w:val="21"/>
                <w:lang w:val="en-US" w:eastAsia="zh-CN"/>
              </w:rPr>
              <w:t>。</w:t>
            </w:r>
          </w:p>
          <w:p>
            <w:pPr>
              <w:pStyle w:val="38"/>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2" w:firstLineChars="20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二、系统设计</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通过社团信息管理、社团活动管理、社团活动统计、社团活动移动端四个模块的功能实现学生社团活动的数字化管理。</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2" w:firstLineChars="20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三、软件开发</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82" w:firstLineChars="200"/>
              <w:jc w:val="left"/>
              <w:rPr>
                <w:rFonts w:hint="eastAsia" w:ascii="宋体" w:hAnsi="宋体" w:eastAsia="宋体" w:cs="宋体"/>
                <w:color w:val="auto"/>
                <w:sz w:val="21"/>
                <w:szCs w:val="21"/>
                <w:lang w:val="en-US" w:eastAsia="zh-CN"/>
              </w:rPr>
            </w:pPr>
            <w:r>
              <w:rPr>
                <w:rFonts w:hint="eastAsia"/>
                <w:b/>
                <w:bCs/>
                <w:color w:val="auto"/>
                <w:lang w:eastAsia="zh-CN"/>
              </w:rPr>
              <w:t>▲</w:t>
            </w:r>
            <w:r>
              <w:rPr>
                <w:rFonts w:hint="eastAsia" w:ascii="宋体" w:hAnsi="宋体" w:eastAsia="宋体" w:cs="宋体"/>
                <w:color w:val="auto"/>
                <w:sz w:val="21"/>
                <w:szCs w:val="21"/>
                <w:lang w:val="en-US" w:eastAsia="zh-CN"/>
              </w:rPr>
              <w:t>（一）社团信息管理</w:t>
            </w:r>
          </w:p>
          <w:p>
            <w:pPr>
              <w:pStyle w:val="38"/>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1.社团信息管理</w:t>
            </w:r>
          </w:p>
          <w:p>
            <w:pPr>
              <w:pStyle w:val="38"/>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自定义社团分类，新增或导入社团注册信息，维护社团成员职务，支持学生加入社团申请审核流程，实现社团成员信息管理。</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2.社团信息数据支撑</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社团管理功能可为校级数据中心提供社团相关数据，包括社团名称、挂靠单位名称、社团负责人姓名、指导教师姓名、学生姓名、参加日期、社团职务。</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（二）社团活动管理</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82" w:firstLineChars="200"/>
              <w:jc w:val="left"/>
              <w:rPr>
                <w:rFonts w:hint="eastAsia" w:ascii="宋体" w:hAnsi="宋体" w:eastAsia="宋体" w:cs="宋体"/>
                <w:color w:val="auto"/>
                <w:sz w:val="21"/>
                <w:szCs w:val="21"/>
                <w:lang w:val="en-US" w:eastAsia="zh-CN"/>
              </w:rPr>
            </w:pPr>
            <w:r>
              <w:rPr>
                <w:rFonts w:hint="eastAsia"/>
                <w:b/>
                <w:bCs/>
                <w:color w:val="auto"/>
                <w:lang w:eastAsia="zh-CN"/>
              </w:rPr>
              <w:t>▲</w:t>
            </w:r>
            <w:r>
              <w:rPr>
                <w:rFonts w:hint="eastAsia" w:ascii="宋体" w:hAnsi="宋体" w:eastAsia="宋体" w:cs="宋体"/>
                <w:color w:val="auto"/>
                <w:sz w:val="21"/>
                <w:szCs w:val="21"/>
                <w:lang w:val="en-US" w:eastAsia="zh-CN"/>
              </w:rPr>
              <w:t>1.活动部署</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管理办法及规则设置后，即可开展社团活动。在活动前，需进行活动安排部署。</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活动流程管理</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学校可以根据不同的业务场景定义不同的审核机制，如某项活动由班级发起，提交给二级学院审核，再提交给校团委审核，若是学校社团发起的活动则先由社团指导老师审核，再由校团委审核。</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活动发布授权</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社团活动动均只能由授权人员发布；可授权给教师或学生发布活动。</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指导老师名单</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导入指导老师名单，发布活动可关联指导老师，生成指导老师指导的活动统计，为考核提供数据依据。</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活动主题发布</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可结合学校办学特色和活动精神，发布活动主题，各组织能够积极响应并围绕主题开展活动，并按主题统计活动情况。</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2.活动开展</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活动负责人可根据所在的组织层级、组织性质以及学校的要求，发布课程活动，开展社团活动。</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（1）活动开展审核</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活动负责人通过电脑端或者手机端，填写提交活动申请。活动信息内容包含活动主题、活动详情、活动开展时间、活动报名要求及规则。</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系统根据活动发布的组织或者活动级别，按照对应的活动审核流程进行流转。具有权限的人员可查看所需审核活动列表，查看活动的详情并进行审核，包含指导老师审核、二级学院审核、校团委复核。</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（2）活动报名及管理</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审核通过的活动呈现至社团活动首页，学生可通过移动端或PC端查看活动详情，可对活动进行收藏、分享、评论，以及报名参与。报名时，基本信息自动回填，学生填写其他报名信息，提交后完成报名。</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活动组织者可通过PC端或者移动端，查看活动的名额、报名人数、报名人员详情，如活动为评审制，需对报名人员进行录取。支持导出报名花名册。</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（3）活动签到及管理</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已录取学生参加活动，通过扫描签到二维码进行签到，或者由活动组织方扫描学生手机端签到二维码完成签到。</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活动组织者查看活动签到记录，可对未签到学生进行补签，支持批量补签，以及对违规学生进行签退。签退的学生不计入活动参与列表。</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各级管理人员查看权限范围的所有活动的签到详情，包含活动录取人数、签到人数、签到率，签到名单。</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3.活动评价</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活动结束后，参加活动的学生可以通过移动端进行活动评价。活动组织者可通过移动端和PC端查询活动评价内容，管理者可查看所有活动的评价人数、评价综合得分及各学生的评价详情。可结合活动参与率、活动评价得分，评估活动质量，淘汰低质活动，改善活动内容。</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4.社团活动数据支撑</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社团活动管理可为校本级数据中心提供社团活动的相关数据，包括社团活动名称、社团名称、活动发布时间、活动指导教师姓名、活动级别、活动报名人数、学生姓名、社团活动类型、参加社团活动时间。</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▲（三）社团活动统计</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1.全校活动统计</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以可视化的方式统计全校活动开展情况，包含学校人数、活动发布次数、参与总人数、活动评价平均分、签到率、人均参与数，活动组织分布，活动级别分布。</w:t>
            </w:r>
          </w:p>
          <w:p>
            <w:pPr>
              <w:pStyle w:val="38"/>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2.组织活动统计</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按照组织类型，统计各组织活动开展情况，包含活动总数、活动人次、签到率、评价平均分、活动数目详情，支持将汇总表导出。</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3.活动人次统计</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按学院统计各学院参与活动的情况，包含总人数、活动总人次、人均参与活动数、签到率。</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4.活动明细统计</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按活动名称，统计活动的参与详情。包含报名人数、录取人数、签到率、评价平均分。</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（四）社团活动移动端</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1.活动首页</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学生及教师可查看所有学校发布的活动，被推荐的活动将置顶展示。可通过筛选条件查询学生想查看的活动内容。</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2.主题活动</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可以按主题查询主题活动，快速定位需要报名的活动。</w:t>
            </w:r>
          </w:p>
          <w:p>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3.组织查询</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420" w:leftChars="200" w:right="0" w:righ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查询学校所有活动组织简介，活动风采，并可申请加入组织。4.我的待办</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汇总用户当前所有待办记录，包含活动审核、报名管理、申报审核。</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5.活动开展</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在移动端进行活动发布、活动审核、活动报名、活动签到。</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发布活动</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具有权限的活动组织者可通过手机端发起活动，设置活动的基础信息、活动时间地点、活动报名设置。 </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活动审核</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活动审核人员可通过手机端对活动进行审核。  </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活动报名</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1）学生活动报名</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学生查看了解活动详情，包含活动简介、活动参与人员、历史活动评分、活动评论及回复，活动须知等内容</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对于有兴趣的活动，学生可以先收藏活动，在我的活动列表快速查询已收藏活动，再进行报名。也可以将活动分享给身边的同学一起报名。</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学生进入活动报名表填写页面，学生基本信息自动回填，填写其他报名信息项，填写完成后提交报名。</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2）活动报名管理</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活动组织者查看学生报名信息，如报名为评审制，需要进行录取操作，如为先报先得，可以查询学生报名名单。</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活动签到</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1）学生活动签到</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活动组织者可提供活动二维码供活动报名学生扫码签到，也可以通过自己的手机端扫描学生的活动二维码进行活动签到。 </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2）活动签到管理</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活动组织者查看活动签到记录，可对未签到学生进行补签，支持批量补签，以及对违规学生进行签退。签退的学生不计入活动参与列表。</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6.活动评价</w:t>
            </w:r>
          </w:p>
          <w:p>
            <w:pPr>
              <w:pStyle w:val="38"/>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在移动端对活动进行评价。</w:t>
            </w:r>
          </w:p>
          <w:p>
            <w:pPr>
              <w:pStyle w:val="38"/>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学生活动评价</w:t>
            </w:r>
          </w:p>
          <w:p>
            <w:pPr>
              <w:pStyle w:val="38"/>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活动结束后，参加活动的学生可以通过移动端进行活动评价，如果不评价，将无法参与下一次活动。</w:t>
            </w:r>
          </w:p>
          <w:p>
            <w:pPr>
              <w:pStyle w:val="38"/>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活动评价查询</w:t>
            </w:r>
          </w:p>
          <w:p>
            <w:pPr>
              <w:pStyle w:val="38"/>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活动结束后，查看学生对活动的评价。</w:t>
            </w:r>
          </w:p>
          <w:p>
            <w:pPr>
              <w:pStyle w:val="38"/>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7.学生成长记录</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按时间记录学生参与的所有二课活动（含自主申报），及所获奖项。供学生查询自己的成长记录。</w:t>
            </w:r>
          </w:p>
          <w:p>
            <w:pPr>
              <w:pStyle w:val="37"/>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firstLine="422" w:firstLineChars="20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四、系统测试</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420" w:firstLineChars="200"/>
              <w:jc w:val="left"/>
              <w:rPr>
                <w:rFonts w:hint="default"/>
                <w:color w:val="auto"/>
                <w:sz w:val="21"/>
                <w:szCs w:val="21"/>
                <w:lang w:val="en-US" w:eastAsia="zh-CN"/>
              </w:rPr>
            </w:pPr>
            <w:r>
              <w:rPr>
                <w:rFonts w:hint="eastAsia" w:ascii="宋体" w:hAnsi="宋体" w:cs="宋体"/>
                <w:color w:val="auto"/>
              </w:rPr>
              <w:t>系统满足网络安全要求，在应用系统这一安全层面对身份鉴别、访问控制、安全审计、入侵防范、数据完整性、数据保密性、数据备份恢复、个人信息保护等安全控制点进行测试，项目验收时提供社团活动管理系统的有第三方信息安全评测机构出具的安全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75" w:type="dxa"/>
            <w:gridSpan w:val="6"/>
            <w:vAlign w:val="center"/>
          </w:tcPr>
          <w:p>
            <w:pPr>
              <w:bidi w:val="0"/>
              <w:rPr>
                <w:rFonts w:hint="eastAsia"/>
                <w:color w:val="auto"/>
                <w:sz w:val="21"/>
                <w:szCs w:val="21"/>
              </w:rPr>
            </w:pPr>
            <w:r>
              <w:rPr>
                <w:rFonts w:hint="eastAsia"/>
                <w:color w:val="auto"/>
                <w:sz w:val="21"/>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75" w:type="dxa"/>
            <w:gridSpan w:val="6"/>
            <w:vAlign w:val="center"/>
          </w:tcPr>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color w:val="auto"/>
                <w:sz w:val="21"/>
                <w:szCs w:val="21"/>
                <w:highlight w:val="none"/>
              </w:rPr>
            </w:pPr>
            <w:r>
              <w:rPr>
                <w:rFonts w:ascii="宋体" w:hAnsi="宋体" w:cs="宋体"/>
                <w:color w:val="auto"/>
                <w:sz w:val="21"/>
                <w:szCs w:val="21"/>
                <w:highlight w:val="none"/>
              </w:rPr>
              <w:t>▲</w:t>
            </w:r>
            <w:r>
              <w:rPr>
                <w:rFonts w:hint="eastAsia" w:ascii="宋体" w:hAnsi="宋体" w:cs="Tahoma"/>
                <w:bCs/>
                <w:color w:val="auto"/>
                <w:sz w:val="21"/>
                <w:szCs w:val="21"/>
                <w:highlight w:val="none"/>
              </w:rPr>
              <w:t>一、</w:t>
            </w:r>
            <w:r>
              <w:rPr>
                <w:rFonts w:hint="eastAsia"/>
                <w:color w:val="auto"/>
                <w:sz w:val="21"/>
                <w:szCs w:val="21"/>
                <w:highlight w:val="none"/>
              </w:rPr>
              <w:t>合同签订期：自成交通知书发出之日起 25日内。</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color w:val="auto"/>
                <w:sz w:val="21"/>
                <w:szCs w:val="21"/>
                <w:highlight w:val="none"/>
              </w:rPr>
            </w:pPr>
            <w:r>
              <w:rPr>
                <w:rFonts w:ascii="宋体" w:hAnsi="宋体" w:cs="宋体"/>
                <w:color w:val="auto"/>
                <w:sz w:val="21"/>
                <w:szCs w:val="21"/>
                <w:highlight w:val="none"/>
              </w:rPr>
              <w:t>▲</w:t>
            </w:r>
            <w:r>
              <w:rPr>
                <w:rFonts w:hint="eastAsia"/>
                <w:color w:val="auto"/>
                <w:sz w:val="21"/>
                <w:szCs w:val="21"/>
                <w:highlight w:val="none"/>
              </w:rPr>
              <w:t>二、质保期：按国家有关产品“三包”规定执行“三包”，质量保证期</w:t>
            </w:r>
            <w:r>
              <w:rPr>
                <w:rFonts w:hint="eastAsia"/>
                <w:color w:val="auto"/>
                <w:sz w:val="21"/>
                <w:szCs w:val="21"/>
                <w:highlight w:val="none"/>
                <w:lang w:val="en-US" w:eastAsia="zh-CN"/>
              </w:rPr>
              <w:t>1</w:t>
            </w:r>
            <w:r>
              <w:rPr>
                <w:rFonts w:hint="eastAsia"/>
                <w:color w:val="auto"/>
                <w:sz w:val="21"/>
                <w:szCs w:val="21"/>
                <w:highlight w:val="none"/>
              </w:rPr>
              <w:t>年（自交付并验收合格之日起计，国家有关产品质保期要求长于</w:t>
            </w:r>
            <w:r>
              <w:rPr>
                <w:rFonts w:hint="eastAsia"/>
                <w:color w:val="auto"/>
                <w:sz w:val="21"/>
                <w:szCs w:val="21"/>
                <w:highlight w:val="none"/>
                <w:lang w:eastAsia="zh-CN"/>
              </w:rPr>
              <w:t>一</w:t>
            </w:r>
            <w:r>
              <w:rPr>
                <w:rFonts w:hint="eastAsia"/>
                <w:color w:val="auto"/>
                <w:sz w:val="21"/>
                <w:szCs w:val="21"/>
                <w:highlight w:val="none"/>
              </w:rPr>
              <w:t>年的按国家质保期要求执行）。</w:t>
            </w:r>
          </w:p>
          <w:p>
            <w:pPr>
              <w:keepNext w:val="0"/>
              <w:keepLines w:val="0"/>
              <w:pageBreakBefore w:val="0"/>
              <w:kinsoku/>
              <w:wordWrap/>
              <w:overflowPunct/>
              <w:topLinePunct w:val="0"/>
              <w:autoSpaceDE/>
              <w:autoSpaceDN/>
              <w:bidi w:val="0"/>
              <w:adjustRightInd/>
              <w:snapToGrid w:val="0"/>
              <w:spacing w:line="312" w:lineRule="auto"/>
              <w:ind w:firstLine="420" w:firstLineChars="200"/>
              <w:rPr>
                <w:rStyle w:val="46"/>
                <w:rFonts w:hint="eastAsia"/>
                <w:color w:val="auto"/>
                <w:sz w:val="21"/>
                <w:szCs w:val="21"/>
                <w:highlight w:val="none"/>
              </w:rPr>
            </w:pPr>
            <w:r>
              <w:rPr>
                <w:rFonts w:ascii="宋体" w:hAnsi="宋体" w:cs="宋体"/>
                <w:color w:val="auto"/>
                <w:sz w:val="21"/>
                <w:szCs w:val="21"/>
                <w:highlight w:val="none"/>
              </w:rPr>
              <w:t>▲</w:t>
            </w:r>
            <w:r>
              <w:rPr>
                <w:rFonts w:hint="eastAsia" w:ascii="宋体" w:hAnsi="宋体" w:cs="Tahoma"/>
                <w:bCs/>
                <w:color w:val="auto"/>
                <w:sz w:val="21"/>
                <w:szCs w:val="21"/>
                <w:highlight w:val="none"/>
              </w:rPr>
              <w:t>三、提交服务成果时间：自合同签订之日起</w:t>
            </w:r>
            <w:r>
              <w:rPr>
                <w:rFonts w:hint="eastAsia" w:ascii="宋体" w:hAnsi="宋体" w:cs="Tahoma"/>
                <w:bCs/>
                <w:color w:val="auto"/>
                <w:sz w:val="21"/>
                <w:szCs w:val="21"/>
                <w:highlight w:val="none"/>
                <w:lang w:val="en-US" w:eastAsia="zh-CN"/>
              </w:rPr>
              <w:t>30</w:t>
            </w:r>
            <w:r>
              <w:rPr>
                <w:rFonts w:hint="eastAsia" w:ascii="宋体" w:hAnsi="宋体" w:cs="Tahoma"/>
                <w:bCs/>
                <w:color w:val="auto"/>
                <w:sz w:val="21"/>
                <w:szCs w:val="21"/>
                <w:highlight w:val="none"/>
              </w:rPr>
              <w:t>日内提交服务成果完毕并经验收合格交付</w:t>
            </w:r>
            <w:r>
              <w:rPr>
                <w:rStyle w:val="46"/>
                <w:rFonts w:hint="eastAsia"/>
                <w:color w:val="auto"/>
                <w:sz w:val="21"/>
                <w:szCs w:val="21"/>
                <w:highlight w:val="none"/>
              </w:rPr>
              <w:t>。</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cs="Tahoma"/>
                <w:bCs/>
                <w:color w:val="auto"/>
                <w:sz w:val="21"/>
                <w:szCs w:val="21"/>
                <w:highlight w:val="none"/>
              </w:rPr>
            </w:pPr>
            <w:r>
              <w:rPr>
                <w:rFonts w:ascii="宋体" w:hAnsi="宋体" w:cs="宋体"/>
                <w:color w:val="auto"/>
                <w:sz w:val="21"/>
                <w:szCs w:val="21"/>
                <w:highlight w:val="none"/>
              </w:rPr>
              <w:t>▲</w:t>
            </w:r>
            <w:r>
              <w:rPr>
                <w:rFonts w:hint="eastAsia" w:ascii="宋体" w:hAnsi="宋体" w:cs="Tahoma"/>
                <w:bCs/>
                <w:color w:val="auto"/>
                <w:sz w:val="21"/>
                <w:szCs w:val="21"/>
                <w:highlight w:val="none"/>
              </w:rPr>
              <w:t>四、提交服务成果地点：采购人指定地点。</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cs="Tahoma"/>
                <w:bCs/>
                <w:color w:val="auto"/>
                <w:sz w:val="21"/>
                <w:szCs w:val="21"/>
                <w:highlight w:val="none"/>
              </w:rPr>
            </w:pPr>
            <w:r>
              <w:rPr>
                <w:rFonts w:hint="eastAsia" w:ascii="宋体" w:hAnsi="宋体" w:cs="Tahoma"/>
                <w:bCs/>
                <w:color w:val="auto"/>
                <w:sz w:val="21"/>
                <w:szCs w:val="21"/>
                <w:highlight w:val="none"/>
              </w:rPr>
              <w:t>五、交付方式：现场交付。</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cs="Tahoma"/>
                <w:b/>
                <w:bCs/>
                <w:color w:val="auto"/>
                <w:sz w:val="21"/>
                <w:szCs w:val="21"/>
                <w:highlight w:val="none"/>
              </w:rPr>
            </w:pPr>
            <w:r>
              <w:rPr>
                <w:rFonts w:ascii="宋体" w:hAnsi="宋体" w:cs="宋体"/>
                <w:color w:val="auto"/>
                <w:sz w:val="21"/>
                <w:szCs w:val="21"/>
                <w:highlight w:val="none"/>
              </w:rPr>
              <w:t>▲</w:t>
            </w:r>
            <w:r>
              <w:rPr>
                <w:rFonts w:hint="eastAsia" w:ascii="宋体" w:hAnsi="宋体" w:cs="Tahoma"/>
                <w:b/>
                <w:bCs/>
                <w:color w:val="auto"/>
                <w:sz w:val="21"/>
                <w:szCs w:val="21"/>
                <w:highlight w:val="none"/>
              </w:rPr>
              <w:t>六、质保和运维要求</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供应商提供三年的免费技术服务及免费升级服务，主要运维内容包括：</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（1）运行状态监控</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监控社团活动管理系统的性能状态以及资源使用情况，分析系统整体性能；从性能角度，对参数配置、数据分布、SQL与应用等各个关健点进行逐步分析；定位并解决平台瓶颈或问题，确保系统的可用性。</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（2）系统调整</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软件在使用过一段时间后，可能由于操作习惯、便利性以及人员变动等问题，根据实际需要对软件界面、操作方式、功能细节进行改造。在不改变整体框架和业务流程的情况下对系统进行调整，更好地为用户服务与时俱进，以提高软件使用友好度。</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（3）日常维护</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1）为用户提供日常咨询服务，对各类常见问题进行疑难解答；</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2）对系统出现的故障、BUG进行诊断和修复。</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（4）故障响应时间</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供应商需提供服务时间为7×24小时，接到我校故障通知后1小时内响应，4小时内派运维工程师到达现场，8小时内解决问题，24小时内仍无法解决问题的，提供相同性能参数的备件替用。</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ascii="宋体" w:hAnsi="宋体" w:eastAsia="宋体" w:cs="宋体"/>
                <w:color w:val="auto"/>
                <w:kern w:val="0"/>
                <w:sz w:val="21"/>
                <w:szCs w:val="21"/>
                <w:highlight w:val="none"/>
                <w:lang w:val="en-US" w:eastAsia="zh-CN"/>
              </w:rPr>
            </w:pPr>
            <w:r>
              <w:rPr>
                <w:rFonts w:ascii="宋体" w:hAnsi="宋体" w:cs="宋体"/>
                <w:color w:val="auto"/>
                <w:sz w:val="21"/>
                <w:szCs w:val="21"/>
                <w:highlight w:val="none"/>
              </w:rPr>
              <w:t>▲</w:t>
            </w:r>
            <w:r>
              <w:rPr>
                <w:rFonts w:hint="eastAsia" w:ascii="宋体" w:hAnsi="宋体" w:cs="宋体"/>
                <w:b/>
                <w:bCs/>
                <w:color w:val="auto"/>
                <w:kern w:val="0"/>
                <w:sz w:val="21"/>
                <w:szCs w:val="21"/>
                <w:highlight w:val="none"/>
                <w:lang w:eastAsia="zh-CN"/>
              </w:rPr>
              <w:t>七、安全和性能要求</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1、系统基于微服务架构体系设计，能够实现平台的开放式结构，通过微服务架构确保系统的灵活和稳定。</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2、系统运行稳定，在软件功能抽查测试过程中未发现数据丢失、系统紊乱和致命死机现象，并可以连续无故障运行2小时以上。</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系统满足网络安全要求，在应用系统这一安全层面对身份鉴别、访问控制、安全审计、入侵防范、数据完整性、数据保密性、数据备份恢复、个人信息保护等安全控制点进行测试，项目验收时提供社团活动管理系统的第三方信息安全评测机构出具的安全测评报告。</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ascii="宋体" w:hAnsi="宋体" w:eastAsia="宋体" w:cs="宋体"/>
                <w:b/>
                <w:bCs/>
                <w:color w:val="auto"/>
                <w:kern w:val="0"/>
                <w:sz w:val="21"/>
                <w:szCs w:val="21"/>
                <w:highlight w:val="none"/>
                <w:lang w:val="en-US" w:eastAsia="zh-CN"/>
              </w:rPr>
            </w:pPr>
            <w:r>
              <w:rPr>
                <w:rFonts w:ascii="宋体" w:hAnsi="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rPr>
              <w:t>八、与教育部职业院校数据中台对接要求</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关于进一步推进职业院校数字校园建设试点的通知》，进一步加强职业院校数字校园建设，以数字化转型赋能职业教育高质量发展，加快完善校本级数据中心的建设，并按照院校中台数据对接标准持续自动推送数据。按照《全国职业教育智慧大脑院校中台（高职/中职）数据标准及接口规范（试行）》、《全国职业院校大数据中心建设指南》，对接数据一共包括85张表，其中来源团委有4张数据表，目前学校尚无信息化系统可持续提供业务数据，因此需要建设社团活动管理系统，按照对接要求提供社团活动管理的相关数据，完善学生育人体系数据，支撑与院校中台数据对接。4张数据表主要内容</w:t>
            </w:r>
            <w:r>
              <w:rPr>
                <w:rFonts w:hint="eastAsia" w:ascii="宋体" w:hAnsi="宋体" w:cs="宋体"/>
                <w:color w:val="auto"/>
                <w:kern w:val="0"/>
                <w:sz w:val="21"/>
                <w:szCs w:val="21"/>
                <w:highlight w:val="none"/>
                <w:lang w:val="en-US" w:eastAsia="zh-CN"/>
              </w:rPr>
              <w:t>如下</w:t>
            </w:r>
            <w:r>
              <w:rPr>
                <w:rFonts w:hint="eastAsia" w:ascii="宋体" w:hAnsi="宋体" w:eastAsia="宋体" w:cs="宋体"/>
                <w:color w:val="auto"/>
                <w:kern w:val="0"/>
                <w:sz w:val="21"/>
                <w:szCs w:val="21"/>
                <w:highlight w:val="none"/>
                <w:lang w:val="en-US" w:eastAsia="zh-CN"/>
              </w:rPr>
              <w:t>：</w:t>
            </w:r>
          </w:p>
          <w:tbl>
            <w:tblPr>
              <w:tblStyle w:val="39"/>
              <w:tblW w:w="8722" w:type="dxa"/>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
              <w:gridCol w:w="817"/>
              <w:gridCol w:w="1117"/>
              <w:gridCol w:w="872"/>
              <w:gridCol w:w="766"/>
              <w:gridCol w:w="1150"/>
              <w:gridCol w:w="1784"/>
              <w:gridCol w:w="1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数据子类表名</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数据子类表中文名称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主要来源</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上报频率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上报数据范围</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数据子类描述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需求数据举例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ODS_STXHJBSJ</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社团（协会）基本数据子类表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团委</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学期</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全量数据</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本数据子类规定了学生社团、协会的基本数据项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社团名称、挂靠单位名称、社团负责人姓名、指导教师姓名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ODS_XSCYSTSJ</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学生参与社团数据子类表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团委</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学期</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 2020 级入学以来所有学生数据</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本数据子类规定了学生参与社团的基本数据项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社团名称、学生姓名、参加日期、社团职务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ODS_JBSTHDSJ</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举办社团活动数据子类表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团委</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学期</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 2023 年 2 月开始</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本数据子类规定了举办社团活动的基本数据项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社团活动名称、社团名称、活动发布时间、活动指导教师姓名、活动级别、活动报名人数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ODS_CJSTHDSJ</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参加社团活动数据子类表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团委</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学期</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 2023 年 2 月开始</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本数据子类规定了学生参与社团活动的基本数据项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学生姓名、社团活动名称、社团活动类型、参加社团活动时间、颁奖单位、指导教师姓名</w:t>
                  </w:r>
                </w:p>
              </w:tc>
            </w:tr>
          </w:tbl>
          <w:p>
            <w:pPr>
              <w:pStyle w:val="26"/>
              <w:keepNext w:val="0"/>
              <w:keepLines w:val="0"/>
              <w:pageBreakBefore w:val="0"/>
              <w:kinsoku/>
              <w:wordWrap/>
              <w:overflowPunct/>
              <w:topLinePunct w:val="0"/>
              <w:autoSpaceDE/>
              <w:autoSpaceDN/>
              <w:bidi w:val="0"/>
              <w:adjustRightInd/>
              <w:snapToGrid w:val="0"/>
              <w:spacing w:line="312" w:lineRule="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left"/>
              <w:rPr>
                <w:rFonts w:hint="eastAsia" w:ascii="宋体" w:hAnsi="宋体" w:eastAsia="宋体" w:cs="宋体"/>
                <w:b/>
                <w:bCs/>
                <w:color w:val="auto"/>
                <w:kern w:val="0"/>
                <w:sz w:val="21"/>
                <w:szCs w:val="21"/>
                <w:highlight w:val="none"/>
                <w:lang w:val="en-US" w:eastAsia="zh-CN"/>
              </w:rPr>
            </w:pPr>
            <w:r>
              <w:rPr>
                <w:rFonts w:ascii="宋体" w:hAnsi="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rPr>
              <w:t>九、其他安全要求</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网络安全。信息系统的安全性的达到《信息安全技术——网络安全等级保护基本要求》（GB/T22239-2019）中要求的备案和测评要求。供应商须负责保障社团活动管理系统网络安全，按照校方要求，做好网络安全保障。</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（1）供应商在服务期内负责应用系统所在操作系统、系统运行和维护所依赖的相关组件的安装、配置，确保符合网络安全要求，不开放不必要的端口，不存在已公布或已知的漏洞或隐患。</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（2）系统支持HTTPS，能根据需求使用HTTPS访问。</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（3）系统具有完善、有效的用户角色权限控制机制，确保资源和数据的权限授权和控制粒度符合业务需求。应用用户的权限最小化，控制用户对功能、文件、数据等的访问。</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社团活动管理系统在架构、设计、编码等各方面符合可信计算的规范和要求，确保系统不存在各类已知的安全漏洞隐患，包括但不限于：SQL注入、跨站脚本执行、任意文件或未经校验文件上传、任意文件下载、越权访问、命令执行、应用程序错误信息或服务器信息泄露、httphost头攻击等常见漏洞；使用明文或在程序/脚本文件中写死密码；在网页源码中暴露应用处理逻辑等敏感信息；表单信息有效性缺少服务器端后台校验；系统留有“后门”，设计违反或者绕过安全规则的任何类型的入口和设计文档中未说明的任何模式的隐藏入口。</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（5）系统详细记录所有用户操作日志，确保每个用户每个行为可追溯。系统各类各级访问日志、操作日志符合《网络安全法》要求，至少保留六个月以上。</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（6）系统在上线试运行前先通过第三方检测机构的系统安全检测，并出具报告。相关费用包含在项目总体报价中。</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接口开发和数据对接。为确保数据顺利对接，供应商提供社团活动管理系统的数据字典，社团活动管理系统实现与采购人现有数字校园的统一信息门户平台、统一公共数据中心和身份认证系统进行集成和整合，实现数据交互和单点登录等；</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供应商指定专门人员负责系统相关接口的开发和调试，无偿提供社团活动管理系统数据接口，如不能及时提供接口，将不组织验收。提供的数据接口满足B/S开发模式和H5规范，能在IE浏览器（版本号不低于11）和谷歌浏览器（版本号不低于90）上正常运行，无需安装任何客户端或浏览器插件等即可实现调试和对接；供应商能够及时维护数据接口，确保接口有效和安全，如接口升级须及时向学校提交升级后的新接口。</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4.项目管理。项目实施前供应商提供实施方案，经学校相关负责人同意方可开工实施建设，否则不予验收。</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项目文档。供应商负责在项目完成时将全部有关文件（至少包括设计方案、实施方案、软件需求说明书、用户使用手册、应用系统相关接口、二次开发文档等）、资料、测试报告、验收报告和系统测试使用的测试数据等文档汇集成册提交给学校，并提供电子文档。供应商在确定项目文档完成入库后，按项目进度组织验收工作。</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6.培训要求。供应商明确承诺在项目完成时对学校指定人员进行系统运维、二次开发等相关内容的技术培训，并提供具体的技术可实现方案。</w:t>
            </w:r>
          </w:p>
          <w:p>
            <w:pPr>
              <w:keepNext w:val="0"/>
              <w:keepLines w:val="0"/>
              <w:pageBreakBefore w:val="0"/>
              <w:kinsoku/>
              <w:wordWrap/>
              <w:overflowPunct/>
              <w:topLinePunct w:val="0"/>
              <w:autoSpaceDE/>
              <w:autoSpaceDN/>
              <w:bidi w:val="0"/>
              <w:adjustRightInd/>
              <w:snapToGrid w:val="0"/>
              <w:spacing w:line="312" w:lineRule="auto"/>
              <w:ind w:firstLine="422" w:firstLineChars="200"/>
              <w:rPr>
                <w:rFonts w:hint="eastAsia" w:ascii="宋体" w:hAnsi="宋体" w:cs="Tahoma"/>
                <w:b/>
                <w:bCs w:val="0"/>
                <w:color w:val="auto"/>
                <w:sz w:val="21"/>
                <w:szCs w:val="21"/>
                <w:highlight w:val="none"/>
              </w:rPr>
            </w:pPr>
            <w:r>
              <w:rPr>
                <w:rFonts w:hint="eastAsia" w:ascii="宋体" w:hAnsi="宋体" w:cs="Tahoma"/>
                <w:b/>
                <w:bCs w:val="0"/>
                <w:color w:val="auto"/>
                <w:sz w:val="21"/>
                <w:szCs w:val="21"/>
                <w:highlight w:val="none"/>
                <w:lang w:eastAsia="zh-CN"/>
              </w:rPr>
              <w:t>十</w:t>
            </w:r>
            <w:r>
              <w:rPr>
                <w:rFonts w:hint="eastAsia" w:ascii="宋体" w:hAnsi="宋体" w:cs="Tahoma"/>
                <w:b/>
                <w:bCs w:val="0"/>
                <w:color w:val="auto"/>
                <w:sz w:val="21"/>
                <w:szCs w:val="21"/>
                <w:highlight w:val="none"/>
              </w:rPr>
              <w:t>、验收条件及标准：</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color w:val="auto"/>
                <w:sz w:val="21"/>
                <w:szCs w:val="21"/>
                <w:highlight w:val="none"/>
              </w:rPr>
            </w:pPr>
            <w:r>
              <w:rPr>
                <w:rFonts w:hint="eastAsia"/>
                <w:color w:val="auto"/>
                <w:sz w:val="21"/>
                <w:szCs w:val="21"/>
                <w:highlight w:val="none"/>
              </w:rPr>
              <w:t>（1）验收依据：采购文件、响应文件、合同及国家有关的标准规范规定，均为验收依据。</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color w:val="auto"/>
                <w:sz w:val="21"/>
                <w:szCs w:val="21"/>
                <w:highlight w:val="none"/>
              </w:rPr>
            </w:pPr>
            <w:r>
              <w:rPr>
                <w:rFonts w:hint="eastAsia"/>
                <w:color w:val="auto"/>
                <w:sz w:val="21"/>
                <w:szCs w:val="21"/>
                <w:highlight w:val="none"/>
              </w:rPr>
              <w:t>（2）验收过程所产生的一切费用由成交人承担。</w:t>
            </w:r>
          </w:p>
          <w:p>
            <w:pPr>
              <w:pStyle w:val="2"/>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cs="Tahoma"/>
                <w:bCs/>
                <w:color w:val="auto"/>
                <w:sz w:val="21"/>
                <w:szCs w:val="21"/>
                <w:highlight w:val="none"/>
              </w:rPr>
            </w:pPr>
            <w:r>
              <w:rPr>
                <w:rFonts w:hint="eastAsia"/>
                <w:color w:val="auto"/>
                <w:sz w:val="21"/>
                <w:szCs w:val="21"/>
                <w:highlight w:val="none"/>
                <w:lang w:eastAsia="zh-CN"/>
              </w:rPr>
              <w:t>十一</w:t>
            </w:r>
            <w:r>
              <w:rPr>
                <w:rFonts w:hint="eastAsia"/>
                <w:color w:val="auto"/>
                <w:sz w:val="21"/>
                <w:szCs w:val="21"/>
                <w:highlight w:val="none"/>
              </w:rPr>
              <w:t>、</w:t>
            </w:r>
            <w:r>
              <w:rPr>
                <w:rFonts w:hint="eastAsia" w:ascii="宋体" w:hAnsi="宋体" w:cs="Tahoma"/>
                <w:bCs/>
                <w:color w:val="auto"/>
                <w:sz w:val="21"/>
                <w:szCs w:val="21"/>
                <w:highlight w:val="none"/>
              </w:rPr>
              <w:t>其他要求：</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cs="Tahoma"/>
                <w:bCs/>
                <w:color w:val="auto"/>
                <w:sz w:val="21"/>
                <w:szCs w:val="21"/>
                <w:highlight w:val="none"/>
              </w:rPr>
            </w:pPr>
            <w:r>
              <w:rPr>
                <w:rFonts w:ascii="宋体" w:hAnsi="宋体" w:cs="宋体"/>
                <w:color w:val="auto"/>
                <w:sz w:val="21"/>
                <w:szCs w:val="21"/>
                <w:highlight w:val="none"/>
              </w:rPr>
              <w:t>▲</w:t>
            </w:r>
            <w:r>
              <w:rPr>
                <w:rFonts w:hint="eastAsia" w:ascii="宋体" w:hAnsi="宋体" w:cs="Tahoma"/>
                <w:bCs/>
                <w:color w:val="auto"/>
                <w:sz w:val="21"/>
                <w:szCs w:val="21"/>
                <w:highlight w:val="none"/>
              </w:rPr>
              <w:t>1.供应商竞标总报价不得超过项目采购预算金额。竞标报价为采购人指定地点的现场交付价，包括：</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cs="Tahoma"/>
                <w:bCs/>
                <w:color w:val="auto"/>
                <w:sz w:val="21"/>
                <w:szCs w:val="21"/>
                <w:highlight w:val="none"/>
              </w:rPr>
            </w:pPr>
            <w:r>
              <w:rPr>
                <w:rFonts w:hint="eastAsia" w:ascii="宋体" w:hAnsi="宋体" w:cs="Tahoma"/>
                <w:bCs/>
                <w:color w:val="auto"/>
                <w:sz w:val="21"/>
                <w:szCs w:val="21"/>
                <w:highlight w:val="none"/>
              </w:rPr>
              <w:t>（1）服务的价格；</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cs="Tahoma"/>
                <w:bCs/>
                <w:color w:val="auto"/>
                <w:sz w:val="21"/>
                <w:szCs w:val="21"/>
                <w:highlight w:val="none"/>
              </w:rPr>
            </w:pPr>
            <w:r>
              <w:rPr>
                <w:rFonts w:hint="eastAsia" w:ascii="宋体" w:hAnsi="宋体" w:cs="Tahoma"/>
                <w:bCs/>
                <w:color w:val="auto"/>
                <w:sz w:val="21"/>
                <w:szCs w:val="21"/>
                <w:highlight w:val="none"/>
              </w:rPr>
              <w:t>（2）服务的标准附件、备品备件、专用工具的价格；</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cs="Tahoma"/>
                <w:bCs/>
                <w:color w:val="auto"/>
                <w:sz w:val="21"/>
                <w:szCs w:val="21"/>
                <w:highlight w:val="none"/>
              </w:rPr>
            </w:pPr>
            <w:r>
              <w:rPr>
                <w:rFonts w:hint="eastAsia" w:ascii="宋体" w:hAnsi="宋体" w:cs="Tahoma"/>
                <w:bCs/>
                <w:color w:val="auto"/>
                <w:sz w:val="21"/>
                <w:szCs w:val="21"/>
                <w:highlight w:val="none"/>
              </w:rPr>
              <w:t>（3）开发、安装、调试、验收、培训、技术支持、售后服务等费用；</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ascii="宋体" w:hAnsi="宋体" w:cs="Tahoma"/>
                <w:bCs/>
                <w:color w:val="auto"/>
                <w:sz w:val="21"/>
                <w:szCs w:val="21"/>
                <w:highlight w:val="none"/>
              </w:rPr>
            </w:pPr>
            <w:r>
              <w:rPr>
                <w:rFonts w:hint="eastAsia" w:ascii="宋体" w:hAnsi="宋体" w:cs="Tahoma"/>
                <w:bCs/>
                <w:color w:val="auto"/>
                <w:sz w:val="21"/>
                <w:szCs w:val="21"/>
                <w:highlight w:val="none"/>
              </w:rPr>
              <w:t>（4）必要的保险费用和各项税费；</w:t>
            </w:r>
          </w:p>
          <w:p>
            <w:pPr>
              <w:keepNext w:val="0"/>
              <w:keepLines w:val="0"/>
              <w:pageBreakBefore w:val="0"/>
              <w:kinsoku/>
              <w:wordWrap/>
              <w:overflowPunct/>
              <w:topLinePunct w:val="0"/>
              <w:autoSpaceDE/>
              <w:autoSpaceDN/>
              <w:bidi w:val="0"/>
              <w:adjustRightInd/>
              <w:snapToGrid w:val="0"/>
              <w:spacing w:line="312" w:lineRule="auto"/>
              <w:ind w:firstLine="422" w:firstLineChars="200"/>
              <w:rPr>
                <w:rFonts w:hint="eastAsia" w:ascii="宋体" w:hAnsi="宋体" w:cs="Tahoma"/>
                <w:b/>
                <w:color w:val="auto"/>
                <w:sz w:val="21"/>
                <w:szCs w:val="21"/>
                <w:highlight w:val="none"/>
              </w:rPr>
            </w:pPr>
            <w:r>
              <w:rPr>
                <w:rFonts w:hint="eastAsia" w:ascii="宋体" w:hAnsi="宋体" w:cs="Tahoma"/>
                <w:b/>
                <w:color w:val="auto"/>
                <w:sz w:val="21"/>
                <w:szCs w:val="21"/>
                <w:highlight w:val="none"/>
              </w:rPr>
              <w:t>本项目采购清单中未列明的但在实际使用中需要用到的辅助材料或设备、仪器、软件开发等均包括在报价中，后续不再考虑增加费用。</w:t>
            </w:r>
          </w:p>
          <w:p>
            <w:pPr>
              <w:keepNext w:val="0"/>
              <w:keepLines w:val="0"/>
              <w:pageBreakBefore w:val="0"/>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
                <w:color w:val="auto"/>
                <w:sz w:val="21"/>
                <w:szCs w:val="21"/>
                <w:highlight w:val="none"/>
              </w:rPr>
            </w:pPr>
            <w:r>
              <w:rPr>
                <w:rFonts w:ascii="宋体" w:hAnsi="宋体" w:cs="宋体"/>
                <w:color w:val="auto"/>
                <w:sz w:val="21"/>
                <w:szCs w:val="21"/>
                <w:highlight w:val="none"/>
              </w:rPr>
              <w:t>▲</w:t>
            </w:r>
            <w:r>
              <w:rPr>
                <w:rFonts w:hint="eastAsia" w:ascii="宋体" w:hAnsi="宋体" w:cs="Tahoma"/>
                <w:b/>
                <w:color w:val="auto"/>
                <w:sz w:val="21"/>
                <w:szCs w:val="21"/>
                <w:highlight w:val="none"/>
              </w:rPr>
              <w:t>2.付款方式：</w:t>
            </w:r>
          </w:p>
          <w:p>
            <w:pPr>
              <w:keepNext w:val="0"/>
              <w:keepLines w:val="0"/>
              <w:pageBreakBefore w:val="0"/>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lang w:eastAsia="zh-CN"/>
              </w:rPr>
            </w:pPr>
            <w:r>
              <w:rPr>
                <w:rFonts w:hint="eastAsia" w:ascii="宋体" w:hAnsi="宋体" w:cs="Tahoma"/>
                <w:bCs/>
                <w:color w:val="auto"/>
                <w:sz w:val="21"/>
                <w:szCs w:val="21"/>
                <w:highlight w:val="none"/>
                <w:lang w:eastAsia="zh-CN"/>
              </w:rPr>
              <w:t>（</w:t>
            </w:r>
            <w:r>
              <w:rPr>
                <w:rFonts w:hint="eastAsia" w:ascii="宋体" w:hAnsi="宋体" w:cs="Tahoma"/>
                <w:bCs/>
                <w:color w:val="auto"/>
                <w:sz w:val="21"/>
                <w:szCs w:val="21"/>
                <w:highlight w:val="none"/>
                <w:lang w:val="en-US" w:eastAsia="zh-CN"/>
              </w:rPr>
              <w:t>1</w:t>
            </w:r>
            <w:r>
              <w:rPr>
                <w:rFonts w:hint="eastAsia" w:ascii="宋体" w:hAnsi="宋体" w:cs="Tahoma"/>
                <w:bCs/>
                <w:color w:val="auto"/>
                <w:sz w:val="21"/>
                <w:szCs w:val="21"/>
                <w:highlight w:val="none"/>
                <w:lang w:eastAsia="zh-CN"/>
              </w:rPr>
              <w:t>）采购人在合同签订后5个工作日内，支付合同总金额的30%，成交供应商将货物运至采购人指定场地或成交供应商将软件平台部署完毕，项目通过中期验收合格后5个工作日内，采购人支付至合同总金额的70%；项目最终验收合格后10个工作日内，采购人支付至合同金额的100%。</w:t>
            </w:r>
          </w:p>
          <w:p>
            <w:pPr>
              <w:keepNext w:val="0"/>
              <w:keepLines w:val="0"/>
              <w:pageBreakBefore w:val="0"/>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lang w:eastAsia="zh-CN"/>
              </w:rPr>
            </w:pPr>
            <w:r>
              <w:rPr>
                <w:rFonts w:hint="eastAsia" w:ascii="宋体" w:hAnsi="宋体" w:cs="Tahoma"/>
                <w:bCs/>
                <w:color w:val="auto"/>
                <w:sz w:val="21"/>
                <w:szCs w:val="21"/>
                <w:highlight w:val="none"/>
                <w:lang w:eastAsia="zh-CN"/>
              </w:rPr>
              <w:t>（</w:t>
            </w:r>
            <w:r>
              <w:rPr>
                <w:rFonts w:hint="eastAsia" w:ascii="宋体" w:hAnsi="宋体" w:cs="Tahoma"/>
                <w:bCs/>
                <w:color w:val="auto"/>
                <w:sz w:val="21"/>
                <w:szCs w:val="21"/>
                <w:highlight w:val="none"/>
                <w:lang w:val="en-US" w:eastAsia="zh-CN"/>
              </w:rPr>
              <w:t>2</w:t>
            </w:r>
            <w:r>
              <w:rPr>
                <w:rFonts w:hint="eastAsia" w:ascii="宋体" w:hAnsi="宋体" w:cs="Tahoma"/>
                <w:bCs/>
                <w:color w:val="auto"/>
                <w:sz w:val="21"/>
                <w:szCs w:val="21"/>
                <w:highlight w:val="none"/>
                <w:lang w:eastAsia="zh-CN"/>
              </w:rPr>
              <w:t>）成交供应商在收到采购人支付的每笔款项后5个工作日内应按国家相关规定向采购人开具相应金额的正式发票。</w:t>
            </w:r>
          </w:p>
          <w:p>
            <w:pPr>
              <w:keepNext w:val="0"/>
              <w:keepLines w:val="0"/>
              <w:pageBreakBefore w:val="0"/>
              <w:widowControl/>
              <w:kinsoku/>
              <w:wordWrap/>
              <w:overflowPunct/>
              <w:topLinePunct w:val="0"/>
              <w:autoSpaceDE/>
              <w:autoSpaceDN/>
              <w:bidi w:val="0"/>
              <w:adjustRightInd/>
              <w:snapToGrid w:val="0"/>
              <w:spacing w:line="312" w:lineRule="auto"/>
              <w:ind w:firstLine="422" w:firstLineChars="200"/>
              <w:textAlignment w:val="auto"/>
              <w:rPr>
                <w:rFonts w:hint="eastAsia" w:ascii="宋体" w:hAnsi="宋体" w:cs="Tahoma"/>
                <w:bCs/>
                <w:color w:val="auto"/>
                <w:sz w:val="21"/>
                <w:szCs w:val="21"/>
                <w:highlight w:val="none"/>
              </w:rPr>
            </w:pPr>
            <w:r>
              <w:rPr>
                <w:rFonts w:ascii="宋体" w:hAnsi="宋体" w:cs="宋体"/>
                <w:b/>
                <w:bCs/>
                <w:color w:val="auto"/>
                <w:sz w:val="21"/>
                <w:szCs w:val="21"/>
                <w:highlight w:val="none"/>
              </w:rPr>
              <w:t>▲</w:t>
            </w:r>
            <w:r>
              <w:rPr>
                <w:rFonts w:hint="eastAsia" w:ascii="宋体" w:hAnsi="宋体" w:cs="Tahoma"/>
                <w:b/>
                <w:bCs/>
                <w:color w:val="auto"/>
                <w:sz w:val="21"/>
                <w:szCs w:val="21"/>
                <w:highlight w:val="none"/>
                <w:lang w:val="en-US" w:eastAsia="zh-CN"/>
              </w:rPr>
              <w:t>3.履约保证金</w:t>
            </w:r>
            <w:r>
              <w:rPr>
                <w:rFonts w:hint="eastAsia" w:ascii="宋体" w:hAnsi="宋体" w:cs="Tahoma"/>
                <w:bCs/>
                <w:color w:val="auto"/>
                <w:sz w:val="21"/>
                <w:szCs w:val="21"/>
                <w:highlight w:val="none"/>
                <w:lang w:val="en-US" w:eastAsia="zh-CN"/>
              </w:rPr>
              <w:t>：</w:t>
            </w:r>
            <w:r>
              <w:rPr>
                <w:rFonts w:hint="eastAsia" w:ascii="宋体" w:hAnsi="宋体" w:cs="Tahoma"/>
                <w:bCs/>
                <w:color w:val="auto"/>
                <w:sz w:val="21"/>
                <w:szCs w:val="21"/>
                <w:highlight w:val="none"/>
              </w:rPr>
              <w:t>成交供应商收到中标通知后5个工作日内，将中标金额的5%缴纳给采购人作为履约保证金（其中对中标的中小企业收取的履约保证金数额不超过政府采购合同金额的2%），验收合格及由相关招标相关部门确认相关消防、监控、水电、网络、公共财物及场所的完好无损后一年后无质量问题，履约保证金一次性无息退还成交供应商。如最终验收与合同不符，由成交供应商承担一切违约责任。成交供应商中标项目涉及的消防、监控、水电、网络、公共财物及场所如有损坏，由成交单位在</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人限定期限完成整改并恢复原样。逾期未完成整改的，</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人有权另行安排维修，由此产生的一切费用由</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单位承担，并且</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人有权从履约保证金中扣减相关费用，如履约保证金不足以满足维修需要，成交单位应在收到</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人通知之日起3日内予以补足，否则</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人有权从应付的项目结算款中予以先行扣减后再支付剩余结算款。</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履约保证金的形式：供应商可以选择电汇、转账、支票、汇票、本票、保函等形式缴纳或提交。</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保证金缴纳的账号信息：</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开户名称：广西国际商务职业技术学院</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 xml:space="preserve">开户银行：中国银行南宁高新区科技支行 </w:t>
            </w:r>
          </w:p>
          <w:p>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default" w:ascii="宋体" w:hAnsi="宋体" w:eastAsia="宋体" w:cs="Tahoma"/>
                <w:bCs/>
                <w:color w:val="auto"/>
                <w:sz w:val="21"/>
                <w:szCs w:val="21"/>
                <w:highlight w:val="none"/>
                <w:lang w:val="en-US" w:eastAsia="zh-CN"/>
              </w:rPr>
            </w:pPr>
            <w:r>
              <w:rPr>
                <w:rFonts w:hint="eastAsia" w:ascii="宋体" w:hAnsi="宋体" w:cs="Tahoma"/>
                <w:bCs/>
                <w:color w:val="auto"/>
                <w:sz w:val="21"/>
                <w:szCs w:val="21"/>
                <w:highlight w:val="none"/>
              </w:rPr>
              <w:t>银行账号：614581859133</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color w:val="auto"/>
                <w:sz w:val="21"/>
                <w:szCs w:val="21"/>
                <w:highlight w:val="none"/>
              </w:rPr>
            </w:pPr>
            <w:r>
              <w:rPr>
                <w:rFonts w:hint="eastAsia" w:ascii="宋体" w:hAnsi="宋体" w:cs="Tahoma"/>
                <w:bCs/>
                <w:color w:val="auto"/>
                <w:sz w:val="21"/>
                <w:szCs w:val="21"/>
                <w:highlight w:val="none"/>
                <w:lang w:val="en-US" w:eastAsia="zh-CN"/>
              </w:rPr>
              <w:t>4</w:t>
            </w:r>
            <w:r>
              <w:rPr>
                <w:rFonts w:hint="eastAsia" w:ascii="宋体" w:hAnsi="宋体" w:cs="Tahoma"/>
                <w:bCs/>
                <w:color w:val="auto"/>
                <w:sz w:val="21"/>
                <w:szCs w:val="21"/>
                <w:highlight w:val="none"/>
              </w:rPr>
              <w:t>.成交供应商提供的采购标的应符合国家知识产权法律、法规的规定且非假冒伪劣品；成交供应商还应保证采购人不受到第三方关于侵犯知识产权及专利权、商标权或工业设计权等知识产权方面的指控，若任何第三方提出此方面指控均与采购人无关，成交供应商应与第三方交涉，并承担可能发生的一切法律责任、费用和后果；若采购人因此而遭致损失（包括但不限于律师费、诉讼费、鉴定费、诉讼过程采购人所产生的交通费等），则成交供应商应赔偿该损失。</w:t>
            </w:r>
            <w:r>
              <w:rPr>
                <w:rFonts w:hint="eastAsia" w:ascii="宋体" w:hAnsi="宋体" w:cs="Tahoma"/>
                <w:b/>
                <w:bCs w:val="0"/>
                <w:color w:val="auto"/>
                <w:sz w:val="21"/>
                <w:szCs w:val="21"/>
                <w:highlight w:val="none"/>
              </w:rPr>
              <w:t>本项目服务成果版权归采购人所有。</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.若成交人提供的采购标的不符合国家知识产权法律、法规的规定或被有关主管机关认定为假冒伪劣品，则成交人成交资格将被取消；采购人还将按照有关法律、法规和规章的规定进行处理。</w:t>
            </w:r>
          </w:p>
          <w:p>
            <w:pPr>
              <w:keepNext w:val="0"/>
              <w:keepLines w:val="0"/>
              <w:pageBreakBefore w:val="0"/>
              <w:kinsoku/>
              <w:wordWrap/>
              <w:overflowPunct/>
              <w:topLinePunct w:val="0"/>
              <w:autoSpaceDE/>
              <w:autoSpaceDN/>
              <w:bidi w:val="0"/>
              <w:adjustRightInd/>
              <w:snapToGrid w:val="0"/>
              <w:spacing w:line="312" w:lineRule="auto"/>
              <w:ind w:firstLine="420" w:firstLineChars="200"/>
              <w:rPr>
                <w:color w:val="auto"/>
                <w:sz w:val="21"/>
                <w:szCs w:val="21"/>
                <w:highlight w:val="none"/>
              </w:rPr>
            </w:pPr>
            <w:r>
              <w:rPr>
                <w:rFonts w:hint="eastAsia"/>
                <w:color w:val="auto"/>
                <w:sz w:val="21"/>
                <w:szCs w:val="21"/>
                <w:highlight w:val="none"/>
                <w:lang w:val="en-US" w:eastAsia="zh-CN"/>
              </w:rPr>
              <w:t>6</w:t>
            </w:r>
            <w:r>
              <w:rPr>
                <w:rFonts w:hint="eastAsia"/>
                <w:color w:val="auto"/>
                <w:sz w:val="21"/>
                <w:szCs w:val="21"/>
                <w:highlight w:val="none"/>
              </w:rPr>
              <w:t>.供应商须确保响应文件中的人员信息真实、有效，承诺签订合同时提供人员名单。成交供应商不得将项目非法分包或转包给任何单位和个人，否则釆购人有权即刻终止合同，并要求成交供应商赔偿相应损失。</w:t>
            </w:r>
          </w:p>
          <w:p>
            <w:pPr>
              <w:keepNext w:val="0"/>
              <w:keepLines w:val="0"/>
              <w:pageBreakBefore w:val="0"/>
              <w:kinsoku/>
              <w:wordWrap/>
              <w:overflowPunct/>
              <w:topLinePunct w:val="0"/>
              <w:autoSpaceDE/>
              <w:autoSpaceDN/>
              <w:bidi w:val="0"/>
              <w:adjustRightInd/>
              <w:snapToGrid w:val="0"/>
              <w:spacing w:line="312" w:lineRule="auto"/>
              <w:ind w:firstLine="420" w:firstLineChars="200"/>
              <w:rPr>
                <w:rFonts w:hint="eastAsia"/>
                <w:color w:val="auto"/>
                <w:sz w:val="21"/>
                <w:szCs w:val="21"/>
              </w:rPr>
            </w:pPr>
            <w:r>
              <w:rPr>
                <w:rFonts w:hint="eastAsia" w:ascii="宋体" w:hAnsi="宋体" w:cs="Tahoma"/>
                <w:bCs/>
                <w:color w:val="auto"/>
                <w:sz w:val="21"/>
                <w:szCs w:val="21"/>
                <w:highlight w:val="none"/>
                <w:lang w:val="en-US" w:eastAsia="zh-CN"/>
              </w:rPr>
              <w:t>7</w:t>
            </w:r>
            <w:r>
              <w:rPr>
                <w:rFonts w:hint="eastAsia" w:ascii="宋体" w:hAnsi="宋体" w:cs="Tahoma"/>
                <w:bCs/>
                <w:color w:val="auto"/>
                <w:sz w:val="21"/>
                <w:szCs w:val="21"/>
                <w:highlight w:val="none"/>
              </w:rPr>
              <w:t>.合同履行要求：为了保证本次服务的质量，供应商在全部服务、货物交付安装前，采购人有权对供服务、货物产品进行测试预验收，以确认产品的技术指标和性能是否达到采购文件中所规定以及响应文件所承诺的技术功能要求，若测试结果不能满足采购文件参数要求以及响应文件所承诺，采购人有权不予以接收，如供应商无法在规定时间内提供达到采购文件中所规定以及响应文件所承诺的服务、货物产品，采购人有权单方面终止合同，供应商履约保证金不予退还，并且保留追究供应商的相关法律责任。采购人有权邀请本项目竞标应商参与预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75" w:type="dxa"/>
            <w:gridSpan w:val="6"/>
            <w:vAlign w:val="center"/>
          </w:tcPr>
          <w:p>
            <w:pPr>
              <w:widowControl/>
              <w:spacing w:line="320" w:lineRule="exact"/>
              <w:jc w:val="left"/>
              <w:rPr>
                <w:rFonts w:hint="eastAsia" w:ascii="宋体" w:cs="宋体"/>
                <w:b/>
                <w:bCs/>
                <w:color w:val="auto"/>
                <w:kern w:val="0"/>
                <w:sz w:val="21"/>
                <w:szCs w:val="21"/>
                <w:highlight w:val="none"/>
              </w:rPr>
            </w:pPr>
            <w:r>
              <w:rPr>
                <w:rFonts w:hint="eastAsia" w:ascii="宋体" w:cs="宋体"/>
                <w:b/>
                <w:bCs/>
                <w:color w:val="auto"/>
                <w:kern w:val="0"/>
                <w:sz w:val="21"/>
                <w:szCs w:val="21"/>
                <w:highlight w:val="none"/>
              </w:rPr>
              <w:t>其他说明：</w:t>
            </w:r>
          </w:p>
          <w:p>
            <w:pPr>
              <w:pStyle w:val="21"/>
              <w:spacing w:line="320" w:lineRule="exact"/>
              <w:rPr>
                <w:rFonts w:cs="宋体"/>
                <w:b/>
                <w:bCs/>
                <w:color w:val="auto"/>
                <w:sz w:val="21"/>
                <w:szCs w:val="21"/>
                <w:highlight w:val="none"/>
              </w:rPr>
            </w:pPr>
            <w:r>
              <w:rPr>
                <w:rFonts w:hint="eastAsia" w:cs="宋体"/>
                <w:b/>
                <w:bCs/>
                <w:color w:val="auto"/>
                <w:sz w:val="21"/>
                <w:szCs w:val="21"/>
                <w:highlight w:val="none"/>
              </w:rPr>
              <w:t>1.</w:t>
            </w:r>
            <w:r>
              <w:rPr>
                <w:rFonts w:hint="eastAsia"/>
                <w:b/>
                <w:color w:val="auto"/>
                <w:sz w:val="21"/>
                <w:szCs w:val="21"/>
                <w:highlight w:val="none"/>
              </w:rPr>
              <w:t>本需求一览表中标注“</w:t>
            </w:r>
            <w:r>
              <w:rPr>
                <w:rFonts w:hAnsi="宋体" w:cs="宋体"/>
                <w:color w:val="auto"/>
                <w:sz w:val="21"/>
                <w:szCs w:val="21"/>
                <w:highlight w:val="none"/>
              </w:rPr>
              <w:t>▲</w:t>
            </w:r>
            <w:r>
              <w:rPr>
                <w:rFonts w:hint="eastAsia"/>
                <w:b/>
                <w:color w:val="auto"/>
                <w:sz w:val="21"/>
                <w:szCs w:val="21"/>
                <w:highlight w:val="none"/>
              </w:rPr>
              <w:t>”号的内容为实质性要求和条件，磋商</w:t>
            </w:r>
            <w:r>
              <w:rPr>
                <w:rFonts w:hint="eastAsia" w:cs="宋体"/>
                <w:b/>
                <w:bCs/>
                <w:color w:val="auto"/>
                <w:sz w:val="21"/>
                <w:szCs w:val="21"/>
                <w:highlight w:val="none"/>
              </w:rPr>
              <w:t>供应商须满足或响应，若无法完全满足，将会被认定为无效磋商。</w:t>
            </w:r>
          </w:p>
          <w:p>
            <w:pPr>
              <w:pStyle w:val="21"/>
              <w:spacing w:line="320" w:lineRule="exact"/>
              <w:rPr>
                <w:rFonts w:hint="eastAsia"/>
                <w:color w:val="auto"/>
                <w:sz w:val="21"/>
                <w:szCs w:val="21"/>
              </w:rPr>
            </w:pPr>
            <w:r>
              <w:rPr>
                <w:rFonts w:hint="eastAsia" w:cs="宋体"/>
                <w:b/>
                <w:bCs/>
                <w:color w:val="auto"/>
                <w:sz w:val="21"/>
                <w:szCs w:val="21"/>
                <w:highlight w:val="none"/>
              </w:rPr>
              <w:t>2.磋商小组</w:t>
            </w:r>
            <w:r>
              <w:rPr>
                <w:rFonts w:cs="宋体"/>
                <w:b/>
                <w:bCs/>
                <w:color w:val="auto"/>
                <w:sz w:val="21"/>
                <w:szCs w:val="21"/>
                <w:highlight w:val="none"/>
              </w:rPr>
              <w:t>认为</w:t>
            </w:r>
            <w:r>
              <w:rPr>
                <w:rFonts w:hint="eastAsia" w:cs="宋体"/>
                <w:b/>
                <w:bCs/>
                <w:color w:val="auto"/>
                <w:sz w:val="21"/>
                <w:szCs w:val="21"/>
                <w:highlight w:val="none"/>
              </w:rPr>
              <w:t>磋商供应商</w:t>
            </w:r>
            <w:r>
              <w:rPr>
                <w:rFonts w:cs="宋体"/>
                <w:b/>
                <w:bCs/>
                <w:color w:val="auto"/>
                <w:sz w:val="21"/>
                <w:szCs w:val="21"/>
                <w:highlight w:val="none"/>
              </w:rPr>
              <w:t>的</w:t>
            </w:r>
            <w:r>
              <w:rPr>
                <w:rFonts w:hint="eastAsia" w:cs="宋体"/>
                <w:b/>
                <w:bCs/>
                <w:color w:val="auto"/>
                <w:sz w:val="21"/>
                <w:szCs w:val="21"/>
                <w:highlight w:val="none"/>
              </w:rPr>
              <w:t>磋商</w:t>
            </w:r>
            <w:r>
              <w:rPr>
                <w:rFonts w:cs="宋体"/>
                <w:b/>
                <w:bCs/>
                <w:color w:val="auto"/>
                <w:sz w:val="21"/>
                <w:szCs w:val="21"/>
                <w:highlight w:val="none"/>
              </w:rPr>
              <w:t>报价明显低于其他通过符合性审查</w:t>
            </w:r>
            <w:r>
              <w:rPr>
                <w:rFonts w:hint="eastAsia" w:cs="宋体"/>
                <w:b/>
                <w:bCs/>
                <w:color w:val="auto"/>
                <w:sz w:val="21"/>
                <w:szCs w:val="21"/>
                <w:highlight w:val="none"/>
              </w:rPr>
              <w:t>磋商供应商</w:t>
            </w:r>
            <w:r>
              <w:rPr>
                <w:rFonts w:cs="宋体"/>
                <w:b/>
                <w:bCs/>
                <w:color w:val="auto"/>
                <w:sz w:val="21"/>
                <w:szCs w:val="21"/>
                <w:highlight w:val="none"/>
              </w:rPr>
              <w:t>的</w:t>
            </w:r>
            <w:r>
              <w:rPr>
                <w:rFonts w:hint="eastAsia" w:cs="宋体"/>
                <w:b/>
                <w:bCs/>
                <w:color w:val="auto"/>
                <w:sz w:val="21"/>
                <w:szCs w:val="21"/>
                <w:highlight w:val="none"/>
              </w:rPr>
              <w:t>磋商</w:t>
            </w:r>
            <w:r>
              <w:rPr>
                <w:rFonts w:cs="宋体"/>
                <w:b/>
                <w:bCs/>
                <w:color w:val="auto"/>
                <w:sz w:val="21"/>
                <w:szCs w:val="21"/>
                <w:highlight w:val="none"/>
              </w:rPr>
              <w:t>报价，有可能影响产品</w:t>
            </w:r>
            <w:r>
              <w:rPr>
                <w:rFonts w:hint="eastAsia" w:cs="宋体"/>
                <w:b/>
                <w:bCs/>
                <w:color w:val="auto"/>
                <w:sz w:val="21"/>
                <w:szCs w:val="21"/>
                <w:highlight w:val="none"/>
              </w:rPr>
              <w:t>（服务）</w:t>
            </w:r>
            <w:r>
              <w:rPr>
                <w:rFonts w:cs="宋体"/>
                <w:b/>
                <w:bCs/>
                <w:color w:val="auto"/>
                <w:sz w:val="21"/>
                <w:szCs w:val="21"/>
                <w:highlight w:val="none"/>
              </w:rPr>
              <w:t>质量或者不能诚信履约的，应当要求其在</w:t>
            </w:r>
            <w:r>
              <w:rPr>
                <w:rFonts w:hint="eastAsia" w:cs="宋体"/>
                <w:b/>
                <w:bCs/>
                <w:color w:val="auto"/>
                <w:sz w:val="21"/>
                <w:szCs w:val="21"/>
                <w:highlight w:val="none"/>
              </w:rPr>
              <w:t>磋商</w:t>
            </w:r>
            <w:r>
              <w:rPr>
                <w:rFonts w:cs="宋体"/>
                <w:b/>
                <w:bCs/>
                <w:color w:val="auto"/>
                <w:sz w:val="21"/>
                <w:szCs w:val="21"/>
                <w:highlight w:val="none"/>
              </w:rPr>
              <w:t>现场合理的时间内提供书面说明，必要时提交相关证明材料；</w:t>
            </w:r>
            <w:r>
              <w:rPr>
                <w:rFonts w:hint="eastAsia" w:cs="宋体"/>
                <w:b/>
                <w:bCs/>
                <w:color w:val="auto"/>
                <w:sz w:val="21"/>
                <w:szCs w:val="21"/>
                <w:highlight w:val="none"/>
              </w:rPr>
              <w:t>磋商供应商</w:t>
            </w:r>
            <w:r>
              <w:rPr>
                <w:rFonts w:cs="宋体"/>
                <w:b/>
                <w:bCs/>
                <w:color w:val="auto"/>
                <w:sz w:val="21"/>
                <w:szCs w:val="21"/>
                <w:highlight w:val="none"/>
              </w:rPr>
              <w:t>不能证明其</w:t>
            </w:r>
            <w:r>
              <w:rPr>
                <w:rFonts w:hint="eastAsia" w:cs="宋体"/>
                <w:b/>
                <w:bCs/>
                <w:color w:val="auto"/>
                <w:sz w:val="21"/>
                <w:szCs w:val="21"/>
                <w:highlight w:val="none"/>
              </w:rPr>
              <w:t>磋商</w:t>
            </w:r>
            <w:r>
              <w:rPr>
                <w:rFonts w:cs="宋体"/>
                <w:b/>
                <w:bCs/>
                <w:color w:val="auto"/>
                <w:sz w:val="21"/>
                <w:szCs w:val="21"/>
                <w:highlight w:val="none"/>
              </w:rPr>
              <w:t>报价合理性的，</w:t>
            </w:r>
            <w:r>
              <w:rPr>
                <w:rFonts w:hint="eastAsia" w:cs="宋体"/>
                <w:b/>
                <w:bCs/>
                <w:color w:val="auto"/>
                <w:sz w:val="21"/>
                <w:szCs w:val="21"/>
                <w:highlight w:val="none"/>
              </w:rPr>
              <w:t>磋商小组</w:t>
            </w:r>
            <w:r>
              <w:rPr>
                <w:rFonts w:cs="宋体"/>
                <w:b/>
                <w:bCs/>
                <w:color w:val="auto"/>
                <w:sz w:val="21"/>
                <w:szCs w:val="21"/>
                <w:highlight w:val="none"/>
              </w:rPr>
              <w:t>应当将其作为无效</w:t>
            </w:r>
            <w:r>
              <w:rPr>
                <w:rFonts w:hint="eastAsia" w:cs="宋体"/>
                <w:b/>
                <w:bCs/>
                <w:color w:val="auto"/>
                <w:sz w:val="21"/>
                <w:szCs w:val="21"/>
                <w:highlight w:val="none"/>
              </w:rPr>
              <w:t>磋商</w:t>
            </w:r>
            <w:r>
              <w:rPr>
                <w:rFonts w:cs="宋体"/>
                <w:b/>
                <w:bCs/>
                <w:color w:val="auto"/>
                <w:sz w:val="21"/>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75" w:type="dxa"/>
            <w:gridSpan w:val="6"/>
            <w:vAlign w:val="center"/>
          </w:tcPr>
          <w:p>
            <w:pPr>
              <w:widowControl/>
              <w:spacing w:line="320" w:lineRule="exact"/>
              <w:jc w:val="left"/>
              <w:rPr>
                <w:rFonts w:hint="eastAsia"/>
                <w:color w:val="auto"/>
                <w:sz w:val="21"/>
                <w:szCs w:val="21"/>
              </w:rPr>
            </w:pPr>
            <w:r>
              <w:rPr>
                <w:rFonts w:hint="eastAsia" w:ascii="宋体" w:cs="宋体"/>
                <w:b/>
                <w:bCs/>
                <w:color w:val="auto"/>
                <w:kern w:val="0"/>
                <w:sz w:val="21"/>
                <w:szCs w:val="21"/>
                <w:highlight w:val="none"/>
              </w:rPr>
              <w:t>可磋商内容：</w:t>
            </w:r>
            <w:r>
              <w:rPr>
                <w:rFonts w:hint="eastAsia"/>
                <w:b/>
                <w:color w:val="auto"/>
                <w:sz w:val="21"/>
                <w:szCs w:val="21"/>
                <w:highlight w:val="none"/>
              </w:rPr>
              <w:t>本需求一览表中未标注“</w:t>
            </w:r>
            <w:r>
              <w:rPr>
                <w:rFonts w:ascii="宋体" w:hAnsi="宋体" w:cs="宋体"/>
                <w:color w:val="auto"/>
                <w:sz w:val="21"/>
                <w:szCs w:val="21"/>
                <w:highlight w:val="none"/>
              </w:rPr>
              <w:t>▲</w:t>
            </w:r>
            <w:r>
              <w:rPr>
                <w:rFonts w:hint="eastAsia"/>
                <w:b/>
                <w:color w:val="auto"/>
                <w:sz w:val="21"/>
                <w:szCs w:val="21"/>
                <w:highlight w:val="none"/>
              </w:rPr>
              <w:t>”号的内容为</w:t>
            </w:r>
            <w:r>
              <w:rPr>
                <w:rFonts w:hint="eastAsia" w:ascii="Arial" w:hAnsi="Arial" w:cs="Arial"/>
                <w:b/>
                <w:color w:val="auto"/>
                <w:kern w:val="0"/>
                <w:sz w:val="21"/>
                <w:szCs w:val="21"/>
                <w:highlight w:val="none"/>
              </w:rPr>
              <w:t>可磋商内容。</w:t>
            </w:r>
          </w:p>
        </w:tc>
      </w:tr>
    </w:tbl>
    <w:p>
      <w:pPr>
        <w:pStyle w:val="37"/>
        <w:rPr>
          <w:color w:val="auto"/>
          <w:lang w:val="zh-CN"/>
        </w:rPr>
        <w:sectPr>
          <w:pgSz w:w="11906" w:h="16838"/>
          <w:pgMar w:top="1247" w:right="1247" w:bottom="1247" w:left="1474" w:header="851" w:footer="992" w:gutter="0"/>
          <w:cols w:space="720" w:num="1"/>
          <w:titlePg/>
          <w:docGrid w:type="lines" w:linePitch="312" w:charSpace="0"/>
        </w:sectPr>
      </w:pPr>
    </w:p>
    <w:p>
      <w:pPr>
        <w:shd w:val="clear"/>
        <w:jc w:val="left"/>
        <w:rPr>
          <w:rFonts w:ascii="Arial Unicode MS" w:hAnsi="Arial Unicode MS" w:eastAsia="Arial Unicode MS" w:cs="Arial Unicode MS"/>
          <w:color w:val="auto"/>
          <w:kern w:val="0"/>
          <w:sz w:val="32"/>
          <w:szCs w:val="32"/>
          <w:highlight w:val="none"/>
        </w:rPr>
      </w:pPr>
      <w:r>
        <w:rPr>
          <w:rFonts w:hint="eastAsia" w:ascii="微软雅黑" w:hAnsi="微软雅黑" w:eastAsia="微软雅黑" w:cs="微软雅黑"/>
          <w:color w:val="auto"/>
          <w:kern w:val="0"/>
          <w:sz w:val="32"/>
          <w:szCs w:val="32"/>
          <w:highlight w:val="none"/>
        </w:rPr>
        <w:t>附件</w:t>
      </w:r>
      <w:r>
        <w:rPr>
          <w:rFonts w:hint="eastAsia" w:ascii="Arial Unicode MS" w:hAnsi="Arial Unicode MS" w:eastAsia="微软雅黑" w:cs="Arial Unicode MS"/>
          <w:color w:val="auto"/>
          <w:kern w:val="0"/>
          <w:sz w:val="32"/>
          <w:szCs w:val="32"/>
          <w:highlight w:val="none"/>
        </w:rPr>
        <w:t>1</w:t>
      </w:r>
      <w:r>
        <w:rPr>
          <w:rFonts w:hint="eastAsia" w:ascii="微软雅黑" w:hAnsi="微软雅黑" w:eastAsia="微软雅黑" w:cs="微软雅黑"/>
          <w:color w:val="auto"/>
          <w:kern w:val="0"/>
          <w:sz w:val="32"/>
          <w:szCs w:val="32"/>
          <w:highlight w:val="none"/>
        </w:rPr>
        <w:t>：</w:t>
      </w:r>
    </w:p>
    <w:p>
      <w:pPr>
        <w:shd w:val="clear"/>
        <w:spacing w:line="528" w:lineRule="exact"/>
        <w:jc w:val="center"/>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39"/>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pPr>
              <w:widowControl/>
              <w:shd w:val="clear"/>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pPr>
              <w:widowControl/>
              <w:shd w:val="clear"/>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pPr>
              <w:widowControl/>
              <w:shd w:val="clear"/>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pPr>
              <w:widowControl/>
              <w:shd w:val="clear"/>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pPr>
              <w:widowControl/>
              <w:shd w:val="clear"/>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shd w:val="clear"/>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hd w:val="clear"/>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hd w:val="clear"/>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hd w:val="clear"/>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hd w:val="clear"/>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hd w:val="clear"/>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hd w:val="clear"/>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hd w:val="clear"/>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hd w:val="clear"/>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hd w:val="clear"/>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hd w:val="clear"/>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hd w:val="clear"/>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hd w:val="clear"/>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hd w:val="clear"/>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hd w:val="clear"/>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shd w:val="clear"/>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shd w:val="clear"/>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hd w:val="clear"/>
        <w:spacing w:line="560" w:lineRule="exact"/>
        <w:ind w:firstLine="525" w:firstLineChars="250"/>
        <w:rPr>
          <w:rFonts w:ascii="仿宋_GB2312" w:hAnsi="仿宋" w:eastAsia="仿宋_GB2312"/>
          <w:color w:val="auto"/>
          <w:highlight w:val="none"/>
        </w:rPr>
      </w:pPr>
      <w:r>
        <w:rPr>
          <w:rFonts w:hint="eastAsia" w:ascii="仿宋_GB2312" w:hAnsi="仿宋" w:eastAsia="仿宋_GB2312"/>
          <w:color w:val="auto"/>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hd w:val="clear"/>
        <w:rPr>
          <w:rFonts w:ascii="宋体" w:hAnsi="宋体" w:cs="宋体"/>
          <w:b/>
          <w:color w:val="auto"/>
          <w:kern w:val="0"/>
          <w:highlight w:val="none"/>
          <w:lang w:val="zh-CN"/>
        </w:rPr>
      </w:pPr>
    </w:p>
    <w:p>
      <w:pPr>
        <w:pStyle w:val="2"/>
        <w:shd w:val="clear"/>
        <w:rPr>
          <w:rFonts w:ascii="宋体" w:hAnsi="宋体"/>
          <w:color w:val="auto"/>
          <w:highlight w:val="none"/>
        </w:rPr>
      </w:pPr>
      <w:r>
        <w:rPr>
          <w:rFonts w:hint="eastAsia" w:ascii="宋体" w:hAnsi="宋体" w:cs="宋体"/>
          <w:b/>
          <w:bCs/>
          <w:color w:val="auto"/>
          <w:kern w:val="0"/>
          <w:highlight w:val="none"/>
          <w:lang w:val="zh-CN"/>
        </w:rPr>
        <w:br w:type="page"/>
      </w:r>
      <w:r>
        <w:rPr>
          <w:rFonts w:hint="eastAsia" w:ascii="宋体" w:hAnsi="宋体"/>
          <w:color w:val="auto"/>
          <w:highlight w:val="none"/>
        </w:rPr>
        <w:t xml:space="preserve"> </w:t>
      </w:r>
    </w:p>
    <w:p>
      <w:pPr>
        <w:shd w:val="clear"/>
        <w:adjustRightInd w:val="0"/>
        <w:snapToGrid w:val="0"/>
        <w:spacing w:line="440" w:lineRule="exact"/>
        <w:ind w:firstLine="424" w:firstLineChars="201"/>
        <w:rPr>
          <w:rFonts w:ascii="宋体" w:hAnsi="宋体"/>
          <w:b/>
          <w:bCs/>
          <w:color w:val="auto"/>
          <w:highlight w:val="none"/>
        </w:rPr>
      </w:pPr>
      <w:r>
        <w:rPr>
          <w:rFonts w:hint="eastAsia" w:ascii="宋体" w:hAnsi="宋体"/>
          <w:b/>
          <w:bCs/>
          <w:color w:val="auto"/>
          <w:highlight w:val="none"/>
        </w:rPr>
        <w:t xml:space="preserve"> </w:t>
      </w:r>
    </w:p>
    <w:p>
      <w:pPr>
        <w:shd w:val="clear"/>
        <w:adjustRightInd w:val="0"/>
        <w:snapToGrid w:val="0"/>
        <w:spacing w:line="440" w:lineRule="exact"/>
        <w:ind w:firstLine="424" w:firstLineChars="201"/>
        <w:rPr>
          <w:rFonts w:ascii="宋体" w:hAnsi="宋体"/>
          <w:b/>
          <w:bCs/>
          <w:color w:val="auto"/>
          <w:highlight w:val="none"/>
        </w:rPr>
      </w:pPr>
      <w:r>
        <w:rPr>
          <w:rFonts w:hint="eastAsia" w:ascii="宋体" w:hAnsi="宋体"/>
          <w:b/>
          <w:bCs/>
          <w:color w:val="auto"/>
          <w:highlight w:val="none"/>
        </w:rPr>
        <w:t xml:space="preserve"> </w:t>
      </w:r>
    </w:p>
    <w:p>
      <w:pPr>
        <w:shd w:val="clear"/>
        <w:adjustRightInd w:val="0"/>
        <w:snapToGrid w:val="0"/>
        <w:spacing w:line="440" w:lineRule="exact"/>
        <w:ind w:firstLine="424" w:firstLineChars="201"/>
        <w:rPr>
          <w:rFonts w:ascii="宋体" w:hAnsi="宋体"/>
          <w:b/>
          <w:bCs/>
          <w:color w:val="auto"/>
          <w:highlight w:val="none"/>
        </w:rPr>
      </w:pPr>
      <w:r>
        <w:rPr>
          <w:rFonts w:hint="eastAsia" w:ascii="宋体" w:hAnsi="宋体"/>
          <w:b/>
          <w:bCs/>
          <w:color w:val="auto"/>
          <w:highlight w:val="none"/>
        </w:rPr>
        <w:t xml:space="preserve"> </w:t>
      </w:r>
    </w:p>
    <w:p>
      <w:pPr>
        <w:shd w:val="clear"/>
        <w:adjustRightInd w:val="0"/>
        <w:snapToGrid w:val="0"/>
        <w:spacing w:line="440" w:lineRule="exact"/>
        <w:ind w:firstLine="424" w:firstLineChars="201"/>
        <w:rPr>
          <w:rFonts w:ascii="宋体" w:hAnsi="宋体"/>
          <w:b/>
          <w:bCs/>
          <w:color w:val="auto"/>
          <w:highlight w:val="none"/>
        </w:rPr>
      </w:pPr>
      <w:r>
        <w:rPr>
          <w:rFonts w:hint="eastAsia" w:ascii="宋体" w:hAnsi="宋体"/>
          <w:b/>
          <w:bCs/>
          <w:color w:val="auto"/>
          <w:highlight w:val="none"/>
        </w:rPr>
        <w:t xml:space="preserve"> </w:t>
      </w:r>
    </w:p>
    <w:p>
      <w:pPr>
        <w:shd w:val="clear"/>
        <w:adjustRightInd w:val="0"/>
        <w:snapToGrid w:val="0"/>
        <w:spacing w:line="440" w:lineRule="exact"/>
        <w:ind w:firstLine="424" w:firstLineChars="201"/>
        <w:rPr>
          <w:rFonts w:ascii="宋体" w:hAnsi="宋体"/>
          <w:b/>
          <w:bCs/>
          <w:color w:val="auto"/>
          <w:highlight w:val="none"/>
        </w:rPr>
      </w:pPr>
      <w:r>
        <w:rPr>
          <w:rFonts w:hint="eastAsia" w:ascii="宋体" w:hAnsi="宋体"/>
          <w:b/>
          <w:bCs/>
          <w:color w:val="auto"/>
          <w:highlight w:val="none"/>
        </w:rPr>
        <w:t xml:space="preserve"> </w:t>
      </w:r>
    </w:p>
    <w:p>
      <w:pPr>
        <w:shd w:val="clear"/>
        <w:adjustRightInd w:val="0"/>
        <w:snapToGrid w:val="0"/>
        <w:spacing w:line="440" w:lineRule="exact"/>
        <w:ind w:firstLine="424" w:firstLineChars="201"/>
        <w:rPr>
          <w:rFonts w:ascii="宋体" w:hAnsi="宋体"/>
          <w:b/>
          <w:bCs/>
          <w:color w:val="auto"/>
          <w:highlight w:val="none"/>
        </w:rPr>
      </w:pPr>
      <w:r>
        <w:rPr>
          <w:rFonts w:hint="eastAsia" w:ascii="宋体" w:hAnsi="宋体"/>
          <w:b/>
          <w:bCs/>
          <w:color w:val="auto"/>
          <w:highlight w:val="none"/>
        </w:rPr>
        <w:t xml:space="preserve"> </w:t>
      </w:r>
    </w:p>
    <w:p>
      <w:pPr>
        <w:shd w:val="clear"/>
        <w:adjustRightInd w:val="0"/>
        <w:snapToGrid w:val="0"/>
        <w:spacing w:line="440" w:lineRule="exact"/>
        <w:ind w:firstLine="424" w:firstLineChars="201"/>
        <w:rPr>
          <w:rFonts w:ascii="宋体" w:hAnsi="宋体"/>
          <w:b/>
          <w:bCs/>
          <w:color w:val="auto"/>
          <w:highlight w:val="none"/>
        </w:rPr>
      </w:pPr>
      <w:r>
        <w:rPr>
          <w:rFonts w:hint="eastAsia" w:ascii="宋体" w:hAnsi="宋体"/>
          <w:b/>
          <w:bCs/>
          <w:color w:val="auto"/>
          <w:highlight w:val="none"/>
        </w:rPr>
        <w:t xml:space="preserve"> </w:t>
      </w:r>
    </w:p>
    <w:p>
      <w:pPr>
        <w:shd w:val="clear"/>
        <w:adjustRightInd w:val="0"/>
        <w:snapToGrid w:val="0"/>
        <w:spacing w:line="440" w:lineRule="exact"/>
        <w:ind w:firstLine="424" w:firstLineChars="201"/>
        <w:rPr>
          <w:rFonts w:ascii="宋体" w:hAnsi="宋体"/>
          <w:b/>
          <w:bCs/>
          <w:color w:val="auto"/>
          <w:highlight w:val="none"/>
        </w:rPr>
      </w:pPr>
      <w:r>
        <w:rPr>
          <w:rFonts w:hint="eastAsia" w:ascii="宋体" w:hAnsi="宋体"/>
          <w:b/>
          <w:bCs/>
          <w:color w:val="auto"/>
          <w:highlight w:val="none"/>
        </w:rPr>
        <w:t xml:space="preserve"> </w:t>
      </w:r>
    </w:p>
    <w:p>
      <w:pPr>
        <w:shd w:val="clear"/>
        <w:adjustRightInd w:val="0"/>
        <w:snapToGrid w:val="0"/>
        <w:spacing w:line="440" w:lineRule="exact"/>
        <w:ind w:firstLine="424" w:firstLineChars="201"/>
        <w:rPr>
          <w:rFonts w:ascii="宋体" w:hAnsi="宋体"/>
          <w:b/>
          <w:bCs/>
          <w:color w:val="auto"/>
          <w:highlight w:val="none"/>
        </w:rPr>
      </w:pPr>
      <w:r>
        <w:rPr>
          <w:rFonts w:hint="eastAsia" w:ascii="宋体" w:hAnsi="宋体"/>
          <w:b/>
          <w:bCs/>
          <w:color w:val="auto"/>
          <w:highlight w:val="none"/>
        </w:rPr>
        <w:t xml:space="preserve"> </w:t>
      </w:r>
    </w:p>
    <w:p>
      <w:pPr>
        <w:shd w:val="clear"/>
        <w:adjustRightInd w:val="0"/>
        <w:snapToGrid w:val="0"/>
        <w:spacing w:line="440" w:lineRule="exact"/>
        <w:ind w:firstLine="424" w:firstLineChars="201"/>
        <w:rPr>
          <w:rFonts w:ascii="宋体" w:hAnsi="宋体"/>
          <w:b/>
          <w:bCs/>
          <w:color w:val="auto"/>
          <w:highlight w:val="none"/>
        </w:rPr>
      </w:pPr>
      <w:r>
        <w:rPr>
          <w:rFonts w:hint="eastAsia" w:ascii="宋体" w:hAnsi="宋体"/>
          <w:b/>
          <w:bCs/>
          <w:color w:val="auto"/>
          <w:highlight w:val="none"/>
        </w:rPr>
        <w:t xml:space="preserve"> </w:t>
      </w:r>
    </w:p>
    <w:p>
      <w:pPr>
        <w:pStyle w:val="3"/>
        <w:shd w:val="clear"/>
        <w:jc w:val="center"/>
        <w:rPr>
          <w:rFonts w:ascii="宋体" w:hAnsi="宋体"/>
          <w:color w:val="auto"/>
          <w:highlight w:val="none"/>
        </w:rPr>
      </w:pPr>
      <w:bookmarkStart w:id="15" w:name="_Toc18481387"/>
      <w:bookmarkEnd w:id="15"/>
      <w:bookmarkStart w:id="16" w:name="_Toc857"/>
      <w:bookmarkStart w:id="17" w:name="_Toc12437"/>
      <w:bookmarkStart w:id="18" w:name="_Toc25028"/>
      <w:r>
        <w:rPr>
          <w:rFonts w:hint="eastAsia" w:ascii="宋体" w:hAnsi="宋体"/>
          <w:color w:val="auto"/>
          <w:highlight w:val="none"/>
        </w:rPr>
        <w:t>第四章  竞争性磋商响应文件格式</w:t>
      </w:r>
      <w:bookmarkEnd w:id="16"/>
      <w:bookmarkEnd w:id="17"/>
      <w:bookmarkEnd w:id="18"/>
    </w:p>
    <w:p>
      <w:pPr>
        <w:shd w:val="clear"/>
        <w:rPr>
          <w:color w:val="auto"/>
          <w:highlight w:val="none"/>
        </w:rPr>
      </w:pPr>
      <w:r>
        <w:rPr>
          <w:rFonts w:hint="eastAsia"/>
          <w:color w:val="auto"/>
          <w:highlight w:val="none"/>
        </w:rPr>
        <w:t xml:space="preserve"> </w:t>
      </w:r>
    </w:p>
    <w:p>
      <w:pPr>
        <w:pageBreakBefore/>
        <w:shd w:val="clear"/>
        <w:rPr>
          <w:b/>
          <w:color w:val="auto"/>
          <w:sz w:val="28"/>
          <w:szCs w:val="28"/>
          <w:highlight w:val="none"/>
        </w:rPr>
      </w:pPr>
      <w:r>
        <w:rPr>
          <w:rFonts w:hint="eastAsia"/>
          <w:b/>
          <w:color w:val="auto"/>
          <w:sz w:val="28"/>
          <w:szCs w:val="28"/>
          <w:highlight w:val="none"/>
        </w:rPr>
        <w:t>一、 竞争性磋商响应文件外包装封面及竞争性磋商响应文件封面格式</w:t>
      </w:r>
    </w:p>
    <w:p>
      <w:pPr>
        <w:shd w:val="clear"/>
        <w:snapToGrid w:val="0"/>
        <w:spacing w:before="156" w:beforeLines="50" w:after="50" w:line="360" w:lineRule="exact"/>
        <w:rPr>
          <w:rFonts w:ascii="宋体" w:hAnsi="宋体"/>
          <w:b/>
          <w:color w:val="auto"/>
          <w:highlight w:val="none"/>
        </w:rPr>
      </w:pPr>
      <w:r>
        <w:rPr>
          <w:rFonts w:hint="eastAsia" w:ascii="宋体" w:hAnsi="宋体"/>
          <w:b/>
          <w:color w:val="auto"/>
          <w:highlight w:val="none"/>
        </w:rPr>
        <w:t xml:space="preserve">一）. 竞争性磋商响应文件的外包装封面格式： </w:t>
      </w:r>
    </w:p>
    <w:p>
      <w:pPr>
        <w:shd w:val="clear"/>
        <w:snapToGrid w:val="0"/>
        <w:spacing w:before="156" w:beforeLines="50" w:after="50" w:line="360" w:lineRule="exact"/>
        <w:rPr>
          <w:rFonts w:ascii="宋体" w:hAnsi="宋体"/>
          <w:color w:val="auto"/>
          <w:highlight w:val="none"/>
        </w:rPr>
      </w:pPr>
    </w:p>
    <w:p>
      <w:pPr>
        <w:shd w:val="clear"/>
        <w:snapToGrid w:val="0"/>
        <w:spacing w:before="156" w:beforeLines="50" w:after="50" w:line="360" w:lineRule="exact"/>
        <w:ind w:firstLine="3518" w:firstLineChars="1095"/>
        <w:rPr>
          <w:rFonts w:ascii="宋体" w:hAnsi="宋体"/>
          <w:color w:val="auto"/>
          <w:sz w:val="32"/>
          <w:szCs w:val="32"/>
          <w:highlight w:val="none"/>
        </w:rPr>
      </w:pPr>
      <w:r>
        <w:rPr>
          <w:rFonts w:hint="eastAsia" w:ascii="宋体" w:hAnsi="宋体"/>
          <w:b/>
          <w:color w:val="auto"/>
          <w:sz w:val="32"/>
          <w:szCs w:val="32"/>
          <w:highlight w:val="none"/>
        </w:rPr>
        <w:t>竞争性磋商响应文件</w:t>
      </w:r>
      <w:r>
        <w:rPr>
          <w:rFonts w:hint="eastAsia" w:ascii="宋体" w:hAnsi="宋体"/>
          <w:b/>
          <w:bCs/>
          <w:color w:val="auto"/>
          <w:sz w:val="32"/>
          <w:szCs w:val="32"/>
          <w:highlight w:val="none"/>
        </w:rPr>
        <w:t xml:space="preserve">              </w:t>
      </w:r>
    </w:p>
    <w:p>
      <w:pPr>
        <w:shd w:val="clear"/>
        <w:snapToGrid w:val="0"/>
        <w:spacing w:before="156" w:beforeLines="50" w:after="50" w:line="360" w:lineRule="exact"/>
        <w:ind w:firstLine="630" w:firstLineChars="300"/>
        <w:rPr>
          <w:rFonts w:ascii="宋体" w:hAnsi="宋体"/>
          <w:bCs/>
          <w:color w:val="auto"/>
          <w:highlight w:val="none"/>
        </w:rPr>
      </w:pPr>
      <w:r>
        <w:rPr>
          <w:rFonts w:hint="eastAsia" w:ascii="宋体" w:hAnsi="宋体"/>
          <w:color w:val="auto"/>
          <w:highlight w:val="none"/>
        </w:rPr>
        <w:t>项目名称</w:t>
      </w:r>
      <w:r>
        <w:rPr>
          <w:rFonts w:hint="eastAsia" w:ascii="宋体" w:hAnsi="宋体"/>
          <w:bCs/>
          <w:color w:val="auto"/>
          <w:highlight w:val="none"/>
        </w:rPr>
        <w:t>：</w:t>
      </w:r>
    </w:p>
    <w:p>
      <w:pPr>
        <w:shd w:val="clear"/>
        <w:snapToGrid w:val="0"/>
        <w:spacing w:before="156" w:beforeLines="50" w:after="50" w:line="360" w:lineRule="exact"/>
        <w:ind w:firstLine="630" w:firstLineChars="300"/>
        <w:rPr>
          <w:rFonts w:ascii="宋体" w:hAnsi="宋体"/>
          <w:bCs/>
          <w:color w:val="auto"/>
          <w:highlight w:val="none"/>
        </w:rPr>
      </w:pPr>
      <w:r>
        <w:rPr>
          <w:rFonts w:hint="eastAsia" w:ascii="宋体" w:hAnsi="宋体"/>
          <w:color w:val="auto"/>
          <w:highlight w:val="none"/>
        </w:rPr>
        <w:t>项目编号</w:t>
      </w:r>
      <w:r>
        <w:rPr>
          <w:rFonts w:hint="eastAsia" w:ascii="宋体" w:hAnsi="宋体"/>
          <w:bCs/>
          <w:color w:val="auto"/>
          <w:highlight w:val="none"/>
        </w:rPr>
        <w:t>：</w:t>
      </w:r>
    </w:p>
    <w:p>
      <w:pPr>
        <w:shd w:val="clear"/>
        <w:snapToGrid w:val="0"/>
        <w:spacing w:before="156" w:beforeLines="50" w:after="50" w:line="360" w:lineRule="exact"/>
        <w:ind w:firstLine="630" w:firstLineChars="300"/>
        <w:rPr>
          <w:rFonts w:ascii="宋体" w:hAnsi="宋体"/>
          <w:bCs/>
          <w:color w:val="auto"/>
          <w:highlight w:val="none"/>
        </w:rPr>
      </w:pPr>
      <w:r>
        <w:rPr>
          <w:rFonts w:hint="eastAsia" w:ascii="宋体" w:hAnsi="宋体"/>
          <w:bCs/>
          <w:color w:val="auto"/>
          <w:highlight w:val="none"/>
        </w:rPr>
        <w:t>分标号：</w:t>
      </w:r>
    </w:p>
    <w:p>
      <w:pPr>
        <w:pStyle w:val="8"/>
        <w:shd w:val="clear"/>
        <w:snapToGrid w:val="0"/>
        <w:spacing w:before="50" w:after="50" w:line="440" w:lineRule="exact"/>
        <w:ind w:firstLine="630" w:firstLineChars="300"/>
        <w:rPr>
          <w:rFonts w:ascii="宋体" w:hAnsi="宋体"/>
          <w:bCs/>
          <w:color w:val="auto"/>
          <w:szCs w:val="21"/>
          <w:highlight w:val="none"/>
        </w:rPr>
      </w:pPr>
      <w:r>
        <w:rPr>
          <w:rFonts w:hint="eastAsia" w:ascii="宋体" w:hAnsi="宋体"/>
          <w:color w:val="auto"/>
          <w:szCs w:val="21"/>
          <w:highlight w:val="none"/>
        </w:rPr>
        <w:t>供应商名称</w:t>
      </w:r>
      <w:r>
        <w:rPr>
          <w:rFonts w:hint="eastAsia" w:ascii="宋体" w:hAnsi="宋体"/>
          <w:bCs/>
          <w:color w:val="auto"/>
          <w:szCs w:val="21"/>
          <w:highlight w:val="none"/>
        </w:rPr>
        <w:t>：</w:t>
      </w:r>
    </w:p>
    <w:p>
      <w:pPr>
        <w:pStyle w:val="8"/>
        <w:shd w:val="clear"/>
        <w:snapToGrid w:val="0"/>
        <w:spacing w:before="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（截标时才能启封）</w:t>
      </w:r>
    </w:p>
    <w:p>
      <w:pPr>
        <w:shd w:val="clear"/>
        <w:snapToGrid w:val="0"/>
        <w:spacing w:before="156" w:beforeLines="50" w:after="50" w:line="360" w:lineRule="exact"/>
        <w:rPr>
          <w:rFonts w:ascii="宋体" w:hAnsi="宋体"/>
          <w:b/>
          <w:color w:val="auto"/>
          <w:highlight w:val="none"/>
        </w:rPr>
      </w:pPr>
      <w:r>
        <w:rPr>
          <w:rFonts w:hint="eastAsia" w:ascii="宋体" w:hAnsi="宋体"/>
          <w:b/>
          <w:color w:val="auto"/>
          <w:highlight w:val="none"/>
        </w:rPr>
        <w:t xml:space="preserve">二）. 竞争性磋商响应文件封面格式： </w:t>
      </w:r>
    </w:p>
    <w:p>
      <w:pPr>
        <w:shd w:val="clear"/>
        <w:snapToGrid w:val="0"/>
        <w:spacing w:before="156" w:beforeLines="50" w:after="50" w:line="360" w:lineRule="exact"/>
        <w:rPr>
          <w:rFonts w:ascii="宋体" w:hAnsi="宋体"/>
          <w:b/>
          <w:color w:val="auto"/>
          <w:highlight w:val="none"/>
        </w:rPr>
      </w:pPr>
    </w:p>
    <w:p>
      <w:pPr>
        <w:shd w:val="clear"/>
        <w:snapToGrid w:val="0"/>
        <w:spacing w:line="360" w:lineRule="auto"/>
        <w:ind w:left="6319" w:leftChars="3009" w:firstLine="843" w:firstLineChars="400"/>
        <w:rPr>
          <w:rFonts w:ascii="宋体" w:hAnsi="宋体"/>
          <w:bCs/>
          <w:color w:val="auto"/>
          <w:highlight w:val="none"/>
        </w:rPr>
      </w:pPr>
      <w:r>
        <w:rPr>
          <w:rFonts w:hint="eastAsia" w:ascii="宋体" w:hAnsi="宋体"/>
          <w:b/>
          <w:bCs/>
          <w:color w:val="auto"/>
          <w:highlight w:val="none"/>
        </w:rPr>
        <w:t>（正/副本）</w:t>
      </w:r>
    </w:p>
    <w:p>
      <w:pPr>
        <w:shd w:val="clear"/>
        <w:snapToGrid w:val="0"/>
        <w:spacing w:line="360" w:lineRule="auto"/>
        <w:ind w:firstLine="3518" w:firstLineChars="1095"/>
        <w:rPr>
          <w:rFonts w:ascii="宋体" w:hAnsi="宋体"/>
          <w:b/>
          <w:color w:val="auto"/>
          <w:sz w:val="32"/>
          <w:szCs w:val="32"/>
          <w:highlight w:val="none"/>
        </w:rPr>
      </w:pPr>
      <w:r>
        <w:rPr>
          <w:rFonts w:hint="eastAsia" w:ascii="宋体" w:hAnsi="宋体"/>
          <w:b/>
          <w:color w:val="auto"/>
          <w:sz w:val="32"/>
          <w:szCs w:val="32"/>
          <w:highlight w:val="none"/>
        </w:rPr>
        <w:t>竞争性磋商响应文件</w:t>
      </w:r>
    </w:p>
    <w:p>
      <w:pPr>
        <w:shd w:val="clear"/>
        <w:adjustRightInd w:val="0"/>
        <w:snapToGrid w:val="0"/>
        <w:spacing w:line="360" w:lineRule="auto"/>
        <w:jc w:val="center"/>
        <w:rPr>
          <w:rFonts w:ascii="宋体" w:hAnsi="宋体"/>
          <w:b/>
          <w:bCs/>
          <w:color w:val="auto"/>
          <w:sz w:val="32"/>
          <w:szCs w:val="32"/>
          <w:highlight w:val="none"/>
        </w:rPr>
      </w:pPr>
    </w:p>
    <w:p>
      <w:pPr>
        <w:shd w:val="clear"/>
        <w:adjustRightInd w:val="0"/>
        <w:snapToGrid w:val="0"/>
        <w:spacing w:line="360" w:lineRule="auto"/>
        <w:ind w:firstLine="1911" w:firstLineChars="595"/>
        <w:rPr>
          <w:rFonts w:ascii="宋体" w:hAnsi="宋体"/>
          <w:b/>
          <w:bCs/>
          <w:color w:val="auto"/>
          <w:sz w:val="32"/>
          <w:szCs w:val="32"/>
          <w:highlight w:val="none"/>
        </w:rPr>
      </w:pPr>
    </w:p>
    <w:p>
      <w:pPr>
        <w:shd w:val="clear"/>
        <w:adjustRightInd w:val="0"/>
        <w:snapToGrid w:val="0"/>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项目编号：</w:t>
      </w:r>
    </w:p>
    <w:p>
      <w:pPr>
        <w:shd w:val="clear"/>
        <w:adjustRightInd w:val="0"/>
        <w:snapToGrid w:val="0"/>
        <w:spacing w:line="360" w:lineRule="auto"/>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项目名称：</w:t>
      </w:r>
    </w:p>
    <w:p>
      <w:pPr>
        <w:shd w:val="clear"/>
        <w:adjustRightInd w:val="0"/>
        <w:snapToGrid w:val="0"/>
        <w:spacing w:line="360" w:lineRule="auto"/>
        <w:ind w:firstLine="562" w:firstLineChars="200"/>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分标号：</w:t>
      </w:r>
    </w:p>
    <w:p>
      <w:pPr>
        <w:shd w:val="clear"/>
        <w:adjustRightInd w:val="0"/>
        <w:snapToGrid w:val="0"/>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供  应  商：</w:t>
      </w:r>
      <w:r>
        <w:rPr>
          <w:rFonts w:hint="eastAsia" w:ascii="宋体" w:hAnsi="宋体"/>
          <w:b/>
          <w:bCs/>
          <w:color w:val="auto"/>
          <w:sz w:val="28"/>
          <w:szCs w:val="28"/>
          <w:highlight w:val="none"/>
          <w:u w:val="single"/>
        </w:rPr>
        <w:t xml:space="preserve">                 （盖公章）</w:t>
      </w:r>
    </w:p>
    <w:p>
      <w:pPr>
        <w:shd w:val="clear"/>
        <w:snapToGrid w:val="0"/>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供应商地址：</w:t>
      </w:r>
      <w:r>
        <w:rPr>
          <w:rFonts w:hint="eastAsia" w:ascii="宋体" w:hAnsi="宋体"/>
          <w:b/>
          <w:bCs/>
          <w:color w:val="auto"/>
          <w:sz w:val="28"/>
          <w:szCs w:val="28"/>
          <w:highlight w:val="none"/>
          <w:u w:val="single"/>
        </w:rPr>
        <w:t xml:space="preserve">                           </w:t>
      </w:r>
    </w:p>
    <w:p>
      <w:pPr>
        <w:shd w:val="clear"/>
        <w:snapToGrid w:val="0"/>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xml:space="preserve">    </w:t>
      </w:r>
      <w:r>
        <w:rPr>
          <w:rFonts w:hint="eastAsia" w:ascii="宋体" w:hAnsi="宋体"/>
          <w:b/>
          <w:bCs/>
          <w:color w:val="auto"/>
          <w:sz w:val="28"/>
          <w:szCs w:val="28"/>
          <w:highlight w:val="none"/>
        </w:rPr>
        <w:t>年  月  日</w:t>
      </w:r>
    </w:p>
    <w:p>
      <w:pPr>
        <w:pageBreakBefore/>
        <w:shd w:val="clear"/>
        <w:spacing w:line="520" w:lineRule="exact"/>
        <w:rPr>
          <w:rFonts w:ascii="宋体" w:hAnsi="宋体"/>
          <w:b/>
          <w:color w:val="auto"/>
          <w:highlight w:val="none"/>
        </w:rPr>
      </w:pPr>
      <w:r>
        <w:rPr>
          <w:rFonts w:hint="eastAsia" w:ascii="宋体" w:hAnsi="宋体"/>
          <w:b/>
          <w:color w:val="auto"/>
          <w:highlight w:val="none"/>
        </w:rPr>
        <w:t>二、附  件</w:t>
      </w:r>
    </w:p>
    <w:p>
      <w:pPr>
        <w:shd w:val="clear"/>
        <w:spacing w:line="520" w:lineRule="exact"/>
        <w:rPr>
          <w:rFonts w:ascii="宋体" w:hAnsi="宋体"/>
          <w:color w:val="auto"/>
          <w:highlight w:val="none"/>
        </w:rPr>
      </w:pPr>
      <w:r>
        <w:rPr>
          <w:rFonts w:hint="eastAsia" w:ascii="宋体" w:hAnsi="宋体"/>
          <w:color w:val="auto"/>
          <w:highlight w:val="none"/>
        </w:rPr>
        <w:t xml:space="preserve">附件一 </w:t>
      </w:r>
    </w:p>
    <w:p>
      <w:pPr>
        <w:shd w:val="clear"/>
        <w:spacing w:line="400" w:lineRule="exact"/>
        <w:jc w:val="center"/>
        <w:rPr>
          <w:rFonts w:ascii="宋体" w:hAnsi="宋体"/>
          <w:b/>
          <w:color w:val="auto"/>
          <w:sz w:val="24"/>
          <w:highlight w:val="none"/>
        </w:rPr>
      </w:pPr>
      <w:r>
        <w:rPr>
          <w:rFonts w:hint="eastAsia" w:ascii="宋体" w:hAnsi="宋体"/>
          <w:b/>
          <w:color w:val="auto"/>
          <w:sz w:val="24"/>
          <w:highlight w:val="none"/>
        </w:rPr>
        <w:t>磋商响应函</w:t>
      </w:r>
    </w:p>
    <w:p>
      <w:pPr>
        <w:shd w:val="clear"/>
        <w:spacing w:line="400" w:lineRule="exact"/>
        <w:ind w:firstLine="420" w:firstLineChars="200"/>
        <w:rPr>
          <w:rFonts w:ascii="宋体" w:hAnsi="宋体"/>
          <w:color w:val="auto"/>
          <w:highlight w:val="none"/>
        </w:rPr>
      </w:pP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华夏城投项目管理有限公司 </w:t>
      </w:r>
      <w:r>
        <w:rPr>
          <w:rFonts w:hint="eastAsia" w:ascii="宋体" w:hAnsi="宋体" w:cs="宋体"/>
          <w:color w:val="auto"/>
          <w:sz w:val="24"/>
          <w:highlight w:val="none"/>
        </w:rPr>
        <w:t>（招标采购单位名称）：</w:t>
      </w:r>
    </w:p>
    <w:p>
      <w:pPr>
        <w:shd w:val="clea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广西国际商务职业技术学院智慧党建平台、学院学生社团活动管理系统建设</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项目的竞争性磋商采购文件，项目编号：</w:t>
      </w:r>
      <w:r>
        <w:rPr>
          <w:rFonts w:hint="eastAsia" w:ascii="宋体" w:hAnsi="宋体" w:cs="宋体"/>
          <w:color w:val="auto"/>
          <w:sz w:val="24"/>
          <w:highlight w:val="none"/>
          <w:u w:val="single"/>
          <w:lang w:eastAsia="zh-CN"/>
        </w:rPr>
        <w:t>HXCTGX-CFZB-2023-025</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（供应商名称）提交响应文件正本一份、副本四份。</w:t>
      </w:r>
    </w:p>
    <w:p>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供应商已详细审查全部“采购文件”，包括修改文件（如有的话）以及全部参考资料和有关附件，已经了解我方对于采购文件、采购过程、采购结果有依法进行询问、质疑、投诉的权利及相关渠道和要求。</w:t>
      </w:r>
    </w:p>
    <w:p>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 供应商在参与磋商之前已经与贵方进行了充分的沟通，完全理解并接受采购文件的各项规定和要求，对采购文件的合理性、合法性不再有异议。</w:t>
      </w:r>
    </w:p>
    <w:p>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 响应文件有效期自响应文件递交截止时间之日起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60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 如成交，本响应文件至本项目合同履行完毕止均保持有效，本供应商将按“采购文件”及政府采购法律、法规的规定履行合同责任和义务。</w:t>
      </w:r>
    </w:p>
    <w:p>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供应商同意按照贵方要求提供与磋商有关的一切数据或资料。</w:t>
      </w:r>
    </w:p>
    <w:p>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与本次磋商有关的一切正式往来信函请寄：</w:t>
      </w:r>
    </w:p>
    <w:p>
      <w:pPr>
        <w:shd w:val="clear"/>
        <w:snapToGrid w:val="0"/>
        <w:spacing w:line="400" w:lineRule="exact"/>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pPr>
        <w:shd w:val="clear"/>
        <w:snapToGrid w:val="0"/>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供应商代表姓名：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pPr>
        <w:shd w:val="clear"/>
        <w:snapToGrid w:val="0"/>
        <w:spacing w:line="400" w:lineRule="exact"/>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hd w:val="clear"/>
        <w:spacing w:line="360" w:lineRule="auto"/>
        <w:jc w:val="left"/>
        <w:rPr>
          <w:rFonts w:ascii="宋体" w:hAnsi="宋体" w:cs="宋体"/>
          <w:color w:val="auto"/>
          <w:sz w:val="24"/>
          <w:szCs w:val="24"/>
          <w:highlight w:val="none"/>
        </w:rPr>
      </w:pPr>
    </w:p>
    <w:p>
      <w:pPr>
        <w:shd w:val="clear"/>
        <w:snapToGrid w:val="0"/>
        <w:spacing w:line="360" w:lineRule="auto"/>
        <w:jc w:val="left"/>
        <w:rPr>
          <w:rFonts w:ascii="宋体" w:hAnsi="宋体" w:cs="宋体"/>
          <w:color w:val="auto"/>
          <w:sz w:val="24"/>
          <w:szCs w:val="24"/>
          <w:highlight w:val="none"/>
        </w:rPr>
      </w:pPr>
    </w:p>
    <w:p>
      <w:pPr>
        <w:shd w:val="clear"/>
        <w:snapToGrid w:val="0"/>
        <w:ind w:left="2310" w:leftChars="1100" w:firstLine="960" w:firstLineChars="4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法定代表人或法定代表人授权代表（签字）：</w:t>
      </w:r>
    </w:p>
    <w:p>
      <w:pPr>
        <w:shd w:val="clear"/>
        <w:snapToGrid w:val="0"/>
        <w:ind w:left="3360" w:leftChars="1600"/>
        <w:jc w:val="left"/>
        <w:rPr>
          <w:rFonts w:ascii="宋体" w:hAnsi="宋体" w:cs="宋体"/>
          <w:color w:val="auto"/>
          <w:kern w:val="0"/>
          <w:sz w:val="24"/>
          <w:szCs w:val="24"/>
          <w:highlight w:val="none"/>
        </w:rPr>
      </w:pPr>
    </w:p>
    <w:p>
      <w:pPr>
        <w:shd w:val="clear"/>
        <w:snapToGrid w:val="0"/>
        <w:ind w:left="3360" w:leftChars="16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磋商供应商名称（盖章）：</w:t>
      </w:r>
    </w:p>
    <w:p>
      <w:pPr>
        <w:shd w:val="clear"/>
        <w:snapToGrid w:val="0"/>
        <w:ind w:left="3780" w:leftChars="1800"/>
        <w:rPr>
          <w:rFonts w:ascii="宋体" w:hAnsi="宋体" w:cs="宋体"/>
          <w:color w:val="auto"/>
          <w:kern w:val="0"/>
          <w:sz w:val="24"/>
          <w:szCs w:val="24"/>
          <w:highlight w:val="none"/>
        </w:rPr>
      </w:pPr>
    </w:p>
    <w:p>
      <w:pPr>
        <w:shd w:val="clear"/>
        <w:snapToGrid w:val="0"/>
        <w:ind w:left="3780" w:leftChars="1800"/>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日期：      年   月   日</w:t>
      </w:r>
    </w:p>
    <w:p>
      <w:pPr>
        <w:pageBreakBefore/>
        <w:shd w:val="clear"/>
        <w:spacing w:line="500" w:lineRule="exact"/>
        <w:rPr>
          <w:rFonts w:ascii="宋体" w:hAnsi="宋体"/>
          <w:color w:val="auto"/>
          <w:highlight w:val="none"/>
        </w:rPr>
      </w:pPr>
      <w:r>
        <w:rPr>
          <w:rFonts w:hint="eastAsia" w:ascii="宋体" w:hAnsi="宋体"/>
          <w:color w:val="auto"/>
          <w:highlight w:val="none"/>
        </w:rPr>
        <w:t xml:space="preserve">附件二             </w:t>
      </w:r>
    </w:p>
    <w:p>
      <w:pPr>
        <w:shd w:val="clear"/>
        <w:spacing w:line="500" w:lineRule="exact"/>
        <w:jc w:val="center"/>
        <w:rPr>
          <w:rFonts w:ascii="宋体" w:hAnsi="宋体"/>
          <w:b/>
          <w:color w:val="auto"/>
          <w:highlight w:val="none"/>
        </w:rPr>
      </w:pPr>
    </w:p>
    <w:p>
      <w:pPr>
        <w:shd w:val="clear"/>
        <w:spacing w:line="500" w:lineRule="exact"/>
        <w:jc w:val="center"/>
        <w:rPr>
          <w:rFonts w:ascii="宋体" w:hAnsi="宋体"/>
          <w:b/>
          <w:color w:val="auto"/>
          <w:highlight w:val="none"/>
        </w:rPr>
      </w:pPr>
      <w:r>
        <w:rPr>
          <w:rFonts w:hint="eastAsia" w:ascii="宋体" w:hAnsi="宋体"/>
          <w:b/>
          <w:color w:val="auto"/>
          <w:highlight w:val="none"/>
        </w:rPr>
        <w:t>报  价  表</w:t>
      </w:r>
    </w:p>
    <w:p>
      <w:pPr>
        <w:shd w:val="clear"/>
        <w:spacing w:line="500" w:lineRule="exact"/>
        <w:rPr>
          <w:rFonts w:ascii="宋体" w:hAnsi="宋体"/>
          <w:color w:val="auto"/>
          <w:highlight w:val="none"/>
        </w:rPr>
      </w:pPr>
    </w:p>
    <w:p>
      <w:pPr>
        <w:shd w:val="clear"/>
        <w:spacing w:line="500" w:lineRule="exact"/>
        <w:rPr>
          <w:rFonts w:ascii="宋体" w:hAnsi="宋体"/>
          <w:color w:val="auto"/>
          <w:highlight w:val="none"/>
          <w:u w:val="single"/>
        </w:rPr>
      </w:pPr>
      <w:r>
        <w:rPr>
          <w:rFonts w:hint="eastAsia" w:ascii="宋体" w:hAnsi="宋体"/>
          <w:color w:val="auto"/>
          <w:highlight w:val="none"/>
        </w:rPr>
        <w:t>采购项目编号:</w:t>
      </w:r>
      <w:r>
        <w:rPr>
          <w:rFonts w:hint="eastAsia" w:ascii="宋体" w:hAnsi="宋体"/>
          <w:color w:val="auto"/>
          <w:highlight w:val="none"/>
          <w:u w:val="single"/>
        </w:rPr>
        <w:t xml:space="preserve">                 </w:t>
      </w:r>
    </w:p>
    <w:p>
      <w:pPr>
        <w:shd w:val="clear"/>
        <w:spacing w:line="500" w:lineRule="exact"/>
        <w:rPr>
          <w:rFonts w:hint="eastAsia" w:ascii="宋体" w:hAnsi="宋体"/>
          <w:color w:val="auto"/>
          <w:highlight w:val="none"/>
        </w:rPr>
      </w:pPr>
      <w:r>
        <w:rPr>
          <w:rFonts w:hint="eastAsia" w:ascii="宋体" w:hAnsi="宋体"/>
          <w:color w:val="auto"/>
          <w:highlight w:val="none"/>
        </w:rPr>
        <w:t>采购项目名称:</w:t>
      </w:r>
      <w:r>
        <w:rPr>
          <w:rFonts w:hint="eastAsia" w:ascii="宋体" w:hAnsi="宋体"/>
          <w:color w:val="auto"/>
          <w:highlight w:val="none"/>
          <w:u w:val="single"/>
        </w:rPr>
        <w:t xml:space="preserve">                 </w:t>
      </w:r>
      <w:r>
        <w:rPr>
          <w:rFonts w:hint="eastAsia" w:ascii="宋体" w:hAnsi="宋体"/>
          <w:color w:val="auto"/>
          <w:highlight w:val="none"/>
        </w:rPr>
        <w:t xml:space="preserve">   </w:t>
      </w:r>
    </w:p>
    <w:p>
      <w:pPr>
        <w:shd w:val="clear"/>
        <w:spacing w:line="500" w:lineRule="exact"/>
        <w:rPr>
          <w:rFonts w:hint="default" w:ascii="宋体" w:hAnsi="宋体" w:eastAsia="宋体"/>
          <w:color w:val="auto"/>
          <w:highlight w:val="none"/>
          <w:u w:val="single"/>
          <w:lang w:val="en-US" w:eastAsia="zh-CN"/>
        </w:rPr>
      </w:pPr>
      <w:r>
        <w:rPr>
          <w:rFonts w:hint="eastAsia" w:ascii="宋体" w:hAnsi="宋体"/>
          <w:color w:val="auto"/>
          <w:highlight w:val="none"/>
        </w:rPr>
        <w:t xml:space="preserve">分标号： </w:t>
      </w:r>
      <w:r>
        <w:rPr>
          <w:rFonts w:hint="eastAsia" w:ascii="宋体" w:hAnsi="宋体"/>
          <w:color w:val="auto"/>
          <w:highlight w:val="none"/>
          <w:u w:val="single"/>
          <w:lang w:val="en-US" w:eastAsia="zh-CN"/>
        </w:rPr>
        <w:t xml:space="preserve">                </w:t>
      </w:r>
    </w:p>
    <w:tbl>
      <w:tblPr>
        <w:tblStyle w:val="39"/>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3162"/>
        <w:gridCol w:w="1297"/>
        <w:gridCol w:w="1245"/>
        <w:gridCol w:w="1811"/>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lang w:eastAsia="zh-CN"/>
              </w:rPr>
            </w:pPr>
            <w:r>
              <w:rPr>
                <w:rFonts w:hint="eastAsia" w:ascii="宋体" w:hAnsi="宋体"/>
                <w:color w:val="auto"/>
                <w:lang w:eastAsia="zh-CN"/>
              </w:rPr>
              <w:t>序号</w:t>
            </w:r>
          </w:p>
        </w:tc>
        <w:tc>
          <w:tcPr>
            <w:tcW w:w="3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rPr>
            </w:pPr>
            <w:r>
              <w:rPr>
                <w:rFonts w:hint="eastAsia" w:ascii="宋体" w:hAnsi="宋体" w:eastAsia="宋体"/>
                <w:color w:val="auto"/>
                <w:lang w:eastAsia="zh-CN"/>
              </w:rPr>
              <w:t>服务名称</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val="0"/>
                <w:bCs/>
                <w:color w:val="auto"/>
              </w:rPr>
            </w:pPr>
            <w:r>
              <w:rPr>
                <w:rFonts w:hint="eastAsia" w:ascii="宋体" w:hAnsi="宋体" w:eastAsia="宋体" w:cs="Times New Roman"/>
                <w:color w:val="auto"/>
              </w:rPr>
              <w:t>数量①</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lang w:eastAsia="zh-CN"/>
              </w:rPr>
            </w:pPr>
            <w:r>
              <w:rPr>
                <w:rFonts w:hint="eastAsia" w:ascii="宋体" w:hAnsi="宋体" w:eastAsia="宋体" w:cs="Times New Roman"/>
                <w:color w:val="auto"/>
              </w:rPr>
              <w:t>单价(元)②</w:t>
            </w:r>
          </w:p>
        </w:tc>
        <w:tc>
          <w:tcPr>
            <w:tcW w:w="18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rPr>
            </w:pPr>
            <w:r>
              <w:rPr>
                <w:rFonts w:hint="eastAsia" w:ascii="宋体" w:hAnsi="宋体" w:eastAsia="宋体" w:cs="Times New Roman"/>
                <w:color w:val="auto"/>
              </w:rPr>
              <w:t>单项合价（元）</w:t>
            </w:r>
          </w:p>
          <w:p>
            <w:pPr>
              <w:jc w:val="center"/>
              <w:rPr>
                <w:rFonts w:ascii="宋体" w:hAnsi="宋体"/>
                <w:color w:val="auto"/>
              </w:rPr>
            </w:pPr>
            <w:r>
              <w:rPr>
                <w:rFonts w:hint="eastAsia" w:ascii="宋体" w:hAnsi="宋体" w:eastAsia="宋体" w:cs="Times New Roman"/>
                <w:color w:val="auto"/>
              </w:rPr>
              <w:t>③＝①×②</w:t>
            </w:r>
          </w:p>
        </w:tc>
        <w:tc>
          <w:tcPr>
            <w:tcW w:w="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lang w:val="en-US" w:eastAsia="zh-CN"/>
              </w:rPr>
              <w:t>1</w:t>
            </w:r>
          </w:p>
        </w:tc>
        <w:tc>
          <w:tcPr>
            <w:tcW w:w="3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lang w:eastAsia="zh-CN"/>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hd w:val="clear"/>
              <w:spacing w:line="400" w:lineRule="exact"/>
              <w:jc w:val="center"/>
              <w:rPr>
                <w:rFonts w:hint="eastAsia" w:ascii="宋体" w:hAnsi="宋体" w:eastAsia="宋体" w:cs="Times New Roman"/>
                <w:color w:val="auto"/>
              </w:rPr>
            </w:pPr>
            <w:r>
              <w:rPr>
                <w:rFonts w:hint="eastAsia" w:ascii="宋体" w:hAnsi="宋体" w:cs="宋体"/>
                <w:bCs/>
                <w:color w:val="auto"/>
                <w:highlight w:val="none"/>
                <w:lang w:val="en-US" w:eastAsia="zh-CN"/>
              </w:rPr>
              <w:t>1</w:t>
            </w:r>
            <w:r>
              <w:rPr>
                <w:rFonts w:hint="eastAsia" w:ascii="宋体" w:hAnsi="宋体" w:cs="宋体"/>
                <w:bCs/>
                <w:color w:val="auto"/>
                <w:highlight w:val="none"/>
              </w:rPr>
              <w:t>项</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auto"/>
              </w:rPr>
            </w:pPr>
          </w:p>
        </w:tc>
        <w:tc>
          <w:tcPr>
            <w:tcW w:w="18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937"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auto"/>
                <w:kern w:val="2"/>
                <w:sz w:val="21"/>
                <w:szCs w:val="21"/>
                <w:lang w:val="en-US" w:eastAsia="zh-CN" w:bidi="ar-SA"/>
              </w:rPr>
            </w:pPr>
            <w:r>
              <w:rPr>
                <w:rFonts w:hint="eastAsia" w:ascii="宋体" w:hAnsi="宋体"/>
                <w:color w:val="auto"/>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37"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rPr>
            </w:pPr>
            <w:r>
              <w:rPr>
                <w:rFonts w:hint="eastAsia" w:ascii="宋体" w:hAnsi="宋体" w:cs="Tahoma"/>
                <w:bCs/>
                <w:color w:val="auto"/>
              </w:rPr>
              <w:t>提交服务成果时间</w:t>
            </w:r>
            <w:r>
              <w:rPr>
                <w:rFonts w:hint="eastAsia" w:ascii="宋体" w:hAnsi="宋体"/>
                <w:color w:val="auto"/>
              </w:rPr>
              <w:t xml:space="preserve">：                                      </w:t>
            </w:r>
          </w:p>
        </w:tc>
      </w:tr>
    </w:tbl>
    <w:p>
      <w:pPr>
        <w:shd w:val="clear"/>
        <w:spacing w:line="374" w:lineRule="atLeast"/>
        <w:rPr>
          <w:rFonts w:ascii="宋体" w:hAnsi="宋体"/>
          <w:color w:val="auto"/>
          <w:highlight w:val="none"/>
        </w:rPr>
      </w:pPr>
      <w:r>
        <w:rPr>
          <w:rFonts w:hint="eastAsia" w:ascii="宋体" w:hAnsi="宋体"/>
          <w:color w:val="auto"/>
          <w:highlight w:val="none"/>
        </w:rPr>
        <w:t>注：</w:t>
      </w:r>
    </w:p>
    <w:p>
      <w:pPr>
        <w:numPr>
          <w:ilvl w:val="0"/>
          <w:numId w:val="1"/>
        </w:numPr>
        <w:adjustRightInd w:val="0"/>
        <w:snapToGrid w:val="0"/>
        <w:spacing w:line="400" w:lineRule="exact"/>
        <w:rPr>
          <w:rFonts w:ascii="宋体" w:hAnsi="宋体"/>
          <w:bCs/>
          <w:color w:val="auto"/>
          <w:highlight w:val="none"/>
        </w:rPr>
      </w:pPr>
      <w:r>
        <w:rPr>
          <w:rFonts w:hint="eastAsia" w:ascii="宋体" w:hAnsi="宋体"/>
          <w:color w:val="auto"/>
          <w:lang w:eastAsia="zh-CN"/>
        </w:rPr>
        <w:t>竞标</w:t>
      </w:r>
      <w:r>
        <w:rPr>
          <w:rFonts w:hint="eastAsia" w:ascii="宋体" w:hAnsi="宋体"/>
          <w:color w:val="auto"/>
        </w:rPr>
        <w:t>报价为完成项目需求所有内容的总报价，总价包干，成交人在实施中不得以任何理由要求采购人变更总价。</w:t>
      </w:r>
    </w:p>
    <w:p>
      <w:pPr>
        <w:pStyle w:val="21"/>
        <w:shd w:val="clear"/>
        <w:spacing w:line="500" w:lineRule="exact"/>
        <w:ind w:firstLine="420" w:firstLineChars="200"/>
        <w:rPr>
          <w:rFonts w:hAnsi="宋体"/>
          <w:color w:val="auto"/>
          <w:highlight w:val="none"/>
          <w:u w:val="single"/>
        </w:rPr>
      </w:pPr>
      <w:r>
        <w:rPr>
          <w:rFonts w:hint="eastAsia" w:hAnsi="宋体"/>
          <w:color w:val="auto"/>
          <w:highlight w:val="none"/>
        </w:rPr>
        <w:t>法定代表人或委托代理人（签字）:</w:t>
      </w:r>
      <w:r>
        <w:rPr>
          <w:rFonts w:hint="eastAsia" w:hAnsi="宋体"/>
          <w:color w:val="auto"/>
          <w:highlight w:val="none"/>
          <w:u w:val="single"/>
        </w:rPr>
        <w:t xml:space="preserve">              </w:t>
      </w:r>
    </w:p>
    <w:p>
      <w:pPr>
        <w:pStyle w:val="21"/>
        <w:shd w:val="clear"/>
        <w:spacing w:line="500" w:lineRule="exact"/>
        <w:ind w:firstLine="420" w:firstLineChars="200"/>
        <w:rPr>
          <w:rFonts w:hAnsi="宋体"/>
          <w:color w:val="auto"/>
          <w:highlight w:val="none"/>
          <w:u w:val="single"/>
        </w:rPr>
      </w:pPr>
      <w:r>
        <w:rPr>
          <w:rFonts w:hint="eastAsia" w:hAnsi="宋体"/>
          <w:color w:val="auto"/>
          <w:highlight w:val="none"/>
        </w:rPr>
        <w:t>磋商人名称（盖章）：</w:t>
      </w:r>
      <w:r>
        <w:rPr>
          <w:rFonts w:hint="eastAsia" w:hAnsi="宋体"/>
          <w:color w:val="auto"/>
          <w:highlight w:val="none"/>
          <w:u w:val="single"/>
        </w:rPr>
        <w:t xml:space="preserve">       </w:t>
      </w:r>
    </w:p>
    <w:p>
      <w:pPr>
        <w:shd w:val="clear"/>
        <w:spacing w:line="500" w:lineRule="exact"/>
        <w:ind w:firstLine="420" w:firstLineChars="200"/>
        <w:rPr>
          <w:rFonts w:ascii="宋体" w:hAnsi="宋体"/>
          <w:color w:val="auto"/>
          <w:highlight w:val="none"/>
        </w:rPr>
      </w:pPr>
      <w:r>
        <w:rPr>
          <w:rFonts w:hint="eastAsia" w:ascii="宋体" w:hAnsi="宋体"/>
          <w:color w:val="auto"/>
          <w:highlight w:val="none"/>
        </w:rPr>
        <w:t>报价时间：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hd w:val="clear"/>
        <w:spacing w:line="500" w:lineRule="exact"/>
        <w:ind w:firstLine="420"/>
        <w:rPr>
          <w:rFonts w:ascii="宋体" w:hAnsi="宋体"/>
          <w:color w:val="auto"/>
          <w:highlight w:val="none"/>
        </w:rPr>
        <w:sectPr>
          <w:footerReference r:id="rId9" w:type="first"/>
          <w:footerReference r:id="rId8" w:type="default"/>
          <w:pgSz w:w="11906" w:h="16838"/>
          <w:pgMar w:top="1247" w:right="1474" w:bottom="1247" w:left="1474" w:header="851" w:footer="992" w:gutter="0"/>
          <w:cols w:space="720" w:num="1"/>
          <w:titlePg/>
          <w:docGrid w:type="lines" w:linePitch="312" w:charSpace="0"/>
        </w:sectPr>
      </w:pPr>
    </w:p>
    <w:p>
      <w:pPr>
        <w:shd w:val="clear"/>
        <w:snapToGrid w:val="0"/>
        <w:spacing w:line="360" w:lineRule="exact"/>
        <w:ind w:firstLine="283" w:firstLineChars="135"/>
        <w:jc w:val="left"/>
        <w:rPr>
          <w:rFonts w:ascii="宋体" w:hAnsi="宋体" w:cs="宋体"/>
          <w:color w:val="auto"/>
          <w:highlight w:val="none"/>
        </w:rPr>
      </w:pPr>
      <w:r>
        <w:rPr>
          <w:rFonts w:hint="eastAsia" w:ascii="宋体" w:hAnsi="宋体" w:cs="宋体"/>
          <w:color w:val="auto"/>
          <w:highlight w:val="none"/>
        </w:rPr>
        <w:t xml:space="preserve">附件三 </w:t>
      </w:r>
      <w:r>
        <w:rPr>
          <w:rFonts w:ascii="宋体" w:hAnsi="宋体" w:cs="宋体"/>
          <w:color w:val="auto"/>
          <w:highlight w:val="none"/>
        </w:rPr>
        <w:t>中小企业声明函。</w:t>
      </w:r>
    </w:p>
    <w:p>
      <w:pPr>
        <w:pStyle w:val="110"/>
        <w:shd w:val="clear"/>
        <w:spacing w:after="0"/>
        <w:rPr>
          <w:rFonts w:eastAsia="宋体"/>
          <w:color w:val="auto"/>
          <w:highlight w:val="none"/>
        </w:rPr>
      </w:pPr>
      <w:r>
        <w:rPr>
          <w:color w:val="auto"/>
          <w:highlight w:val="none"/>
        </w:rPr>
        <w:t>中小企业声明函</w:t>
      </w:r>
      <w:r>
        <w:rPr>
          <w:rFonts w:hint="eastAsia" w:eastAsia="宋体"/>
          <w:color w:val="auto"/>
          <w:highlight w:val="none"/>
        </w:rPr>
        <w:t>（服务）</w:t>
      </w:r>
    </w:p>
    <w:p>
      <w:pPr>
        <w:pStyle w:val="108"/>
        <w:shd w:val="clear"/>
        <w:spacing w:line="506" w:lineRule="exact"/>
        <w:ind w:firstLine="640"/>
        <w:jc w:val="both"/>
        <w:rPr>
          <w:color w:val="auto"/>
          <w:sz w:val="21"/>
          <w:szCs w:val="21"/>
          <w:highlight w:val="none"/>
        </w:rPr>
      </w:pPr>
      <w:r>
        <w:rPr>
          <w:color w:val="auto"/>
          <w:sz w:val="21"/>
          <w:szCs w:val="21"/>
          <w:highlight w:val="none"/>
        </w:rPr>
        <w:t>本公司（联合体）郑重声明，根据《政府采购促进中小企业发展管理办法》（财库〔2020 〕46号）的规定，本公司（联合体）参加</w:t>
      </w:r>
      <w:r>
        <w:rPr>
          <w:rFonts w:hint="eastAsia" w:eastAsia="宋体"/>
          <w:color w:val="auto"/>
          <w:sz w:val="21"/>
          <w:szCs w:val="21"/>
          <w:highlight w:val="none"/>
          <w:u w:val="single"/>
        </w:rPr>
        <w:t xml:space="preserve">   </w:t>
      </w:r>
      <w:r>
        <w:rPr>
          <w:color w:val="auto"/>
          <w:sz w:val="21"/>
          <w:szCs w:val="21"/>
          <w:highlight w:val="none"/>
          <w:u w:val="single"/>
        </w:rPr>
        <w:t>（单位名称）</w:t>
      </w:r>
      <w:r>
        <w:rPr>
          <w:color w:val="auto"/>
          <w:sz w:val="21"/>
          <w:szCs w:val="21"/>
          <w:highlight w:val="none"/>
        </w:rPr>
        <w:t>的</w:t>
      </w:r>
      <w:r>
        <w:rPr>
          <w:rFonts w:hint="eastAsia" w:eastAsia="宋体"/>
          <w:color w:val="auto"/>
          <w:sz w:val="21"/>
          <w:szCs w:val="21"/>
          <w:highlight w:val="none"/>
          <w:u w:val="single"/>
        </w:rPr>
        <w:t xml:space="preserve">    </w:t>
      </w:r>
      <w:r>
        <w:rPr>
          <w:color w:val="auto"/>
          <w:sz w:val="21"/>
          <w:szCs w:val="21"/>
          <w:highlight w:val="none"/>
          <w:u w:val="single"/>
        </w:rPr>
        <w:t>（项目名称）</w:t>
      </w:r>
      <w:r>
        <w:rPr>
          <w:rFonts w:hint="eastAsia" w:eastAsia="宋体"/>
          <w:color w:val="auto"/>
          <w:sz w:val="21"/>
          <w:szCs w:val="21"/>
          <w:highlight w:val="none"/>
          <w:u w:val="single"/>
        </w:rPr>
        <w:t xml:space="preserve">    </w:t>
      </w:r>
      <w:r>
        <w:rPr>
          <w:color w:val="auto"/>
          <w:sz w:val="21"/>
          <w:szCs w:val="21"/>
          <w:highlight w:val="none"/>
        </w:rPr>
        <w:t>釆购活动</w:t>
      </w:r>
      <w:r>
        <w:rPr>
          <w:rFonts w:hint="eastAsia" w:eastAsia="宋体"/>
          <w:color w:val="auto"/>
          <w:sz w:val="21"/>
          <w:szCs w:val="21"/>
          <w:highlight w:val="none"/>
        </w:rPr>
        <w:t>，</w:t>
      </w:r>
      <w:r>
        <w:rPr>
          <w:rFonts w:ascii="Calibri" w:hAnsi="Calibri"/>
          <w:color w:val="auto"/>
          <w:sz w:val="21"/>
          <w:szCs w:val="21"/>
          <w:highlight w:val="none"/>
        </w:rPr>
        <w:t xml:space="preserve"> </w:t>
      </w:r>
      <w:r>
        <w:rPr>
          <w:color w:val="auto"/>
          <w:sz w:val="21"/>
          <w:szCs w:val="21"/>
          <w:highlight w:val="none"/>
        </w:rPr>
        <w:t>服务全部由符合政策要求的中小企业承接。相关企业（含联合体中的中小企业、签订分包意向协议的中小企业） 的具体情况如下</w:t>
      </w:r>
      <w:r>
        <w:rPr>
          <w:rFonts w:hint="eastAsia"/>
          <w:color w:val="auto"/>
          <w:sz w:val="21"/>
          <w:szCs w:val="21"/>
          <w:highlight w:val="none"/>
        </w:rPr>
        <w:t>：</w:t>
      </w:r>
    </w:p>
    <w:p>
      <w:pPr>
        <w:pStyle w:val="108"/>
        <w:shd w:val="clear"/>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rFonts w:hint="eastAsia" w:eastAsia="宋体"/>
          <w:color w:val="auto"/>
          <w:sz w:val="21"/>
          <w:szCs w:val="21"/>
          <w:highlight w:val="none"/>
          <w:u w:val="single"/>
        </w:rPr>
        <w:t xml:space="preserve">  </w:t>
      </w:r>
      <w:r>
        <w:rPr>
          <w:rFonts w:hint="eastAsia"/>
          <w:color w:val="auto"/>
          <w:sz w:val="21"/>
          <w:szCs w:val="21"/>
          <w:highlight w:val="none"/>
          <w:u w:val="single"/>
        </w:rPr>
        <w:t>（</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rFonts w:hint="eastAsia" w:eastAsia="宋体"/>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承接企业为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color w:val="auto"/>
          <w:sz w:val="21"/>
          <w:szCs w:val="21"/>
          <w:highlight w:val="none"/>
          <w:u w:val="single"/>
        </w:rPr>
        <w:tab/>
      </w:r>
      <w:r>
        <w:rPr>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pPr>
        <w:pStyle w:val="108"/>
        <w:shd w:val="clear"/>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承接企业为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万元，属于</w:t>
      </w:r>
      <w:r>
        <w:rPr>
          <w:color w:val="auto"/>
          <w:sz w:val="21"/>
          <w:szCs w:val="21"/>
          <w:highlight w:val="none"/>
          <w:u w:val="single"/>
        </w:rPr>
        <w:t>（中型企业、小型企业、微型企业）</w:t>
      </w:r>
      <w:r>
        <w:rPr>
          <w:rFonts w:hint="eastAsia"/>
          <w:color w:val="auto"/>
          <w:sz w:val="21"/>
          <w:szCs w:val="21"/>
          <w:highlight w:val="none"/>
        </w:rPr>
        <w:t>；</w:t>
      </w:r>
    </w:p>
    <w:p>
      <w:pPr>
        <w:pStyle w:val="108"/>
        <w:shd w:val="clear"/>
        <w:spacing w:line="506" w:lineRule="exact"/>
        <w:ind w:firstLine="640"/>
        <w:jc w:val="both"/>
        <w:rPr>
          <w:color w:val="auto"/>
          <w:sz w:val="21"/>
          <w:szCs w:val="21"/>
          <w:highlight w:val="none"/>
        </w:rPr>
      </w:pPr>
      <w:r>
        <w:rPr>
          <w:rFonts w:hint="eastAsia"/>
          <w:color w:val="auto"/>
          <w:sz w:val="21"/>
          <w:szCs w:val="21"/>
          <w:highlight w:val="none"/>
        </w:rPr>
        <w:t>......</w:t>
      </w:r>
    </w:p>
    <w:p>
      <w:pPr>
        <w:pStyle w:val="108"/>
        <w:shd w:val="clear"/>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pStyle w:val="108"/>
        <w:shd w:val="clear"/>
        <w:spacing w:after="40" w:line="499" w:lineRule="exact"/>
        <w:ind w:firstLine="640"/>
        <w:jc w:val="both"/>
        <w:rPr>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pPr>
        <w:pStyle w:val="108"/>
        <w:shd w:val="clear"/>
        <w:spacing w:after="40" w:line="499" w:lineRule="exact"/>
        <w:ind w:firstLine="640"/>
        <w:jc w:val="both"/>
        <w:rPr>
          <w:color w:val="auto"/>
          <w:sz w:val="21"/>
          <w:szCs w:val="21"/>
          <w:highlight w:val="none"/>
        </w:rPr>
      </w:pPr>
    </w:p>
    <w:p>
      <w:pPr>
        <w:pStyle w:val="108"/>
        <w:shd w:val="clear"/>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pPr>
        <w:pStyle w:val="108"/>
        <w:shd w:val="clear"/>
        <w:spacing w:line="506" w:lineRule="exact"/>
        <w:ind w:firstLine="640"/>
        <w:jc w:val="both"/>
        <w:rPr>
          <w:color w:val="auto"/>
          <w:sz w:val="21"/>
          <w:szCs w:val="21"/>
          <w:highlight w:val="none"/>
        </w:rPr>
      </w:pPr>
      <w:r>
        <w:rPr>
          <w:rFonts w:hint="eastAsia"/>
          <w:color w:val="auto"/>
          <w:sz w:val="21"/>
          <w:szCs w:val="21"/>
          <w:highlight w:val="none"/>
        </w:rPr>
        <w:t xml:space="preserve">                          日期：</w:t>
      </w:r>
    </w:p>
    <w:p>
      <w:pPr>
        <w:pStyle w:val="110"/>
        <w:shd w:val="clear"/>
        <w:spacing w:after="0"/>
        <w:rPr>
          <w:color w:val="auto"/>
          <w:highlight w:val="none"/>
        </w:rPr>
      </w:pPr>
    </w:p>
    <w:p>
      <w:pPr>
        <w:pStyle w:val="110"/>
        <w:shd w:val="clear"/>
        <w:adjustRightInd w:val="0"/>
        <w:snapToGrid w:val="0"/>
        <w:spacing w:after="0" w:line="360" w:lineRule="exact"/>
        <w:jc w:val="left"/>
        <w:rPr>
          <w:color w:val="auto"/>
          <w:sz w:val="21"/>
          <w:szCs w:val="21"/>
          <w:highlight w:val="none"/>
        </w:rPr>
      </w:pPr>
      <w:r>
        <w:rPr>
          <w:color w:val="auto"/>
          <w:sz w:val="21"/>
          <w:szCs w:val="21"/>
          <w:highlight w:val="none"/>
        </w:rPr>
        <w:t>备注：</w:t>
      </w:r>
    </w:p>
    <w:p>
      <w:pPr>
        <w:pStyle w:val="110"/>
        <w:numPr>
          <w:ilvl w:val="0"/>
          <w:numId w:val="2"/>
        </w:numPr>
        <w:shd w:val="clear"/>
        <w:adjustRightInd w:val="0"/>
        <w:snapToGrid w:val="0"/>
        <w:spacing w:after="0" w:line="360" w:lineRule="exact"/>
        <w:jc w:val="left"/>
        <w:rPr>
          <w:color w:val="auto"/>
          <w:sz w:val="21"/>
          <w:szCs w:val="21"/>
          <w:highlight w:val="none"/>
        </w:rPr>
      </w:pPr>
      <w:r>
        <w:rPr>
          <w:color w:val="auto"/>
          <w:sz w:val="21"/>
          <w:szCs w:val="21"/>
          <w:highlight w:val="none"/>
        </w:rPr>
        <w:t>从业人员、营业收入、资产总额填报上一年度数据，无上一年度数据的新成立企业可不填报。</w:t>
      </w:r>
    </w:p>
    <w:p>
      <w:pPr>
        <w:pStyle w:val="110"/>
        <w:shd w:val="clear"/>
        <w:adjustRightInd w:val="0"/>
        <w:snapToGrid w:val="0"/>
        <w:spacing w:after="0" w:line="360" w:lineRule="exact"/>
        <w:jc w:val="left"/>
        <w:rPr>
          <w:color w:val="auto"/>
          <w:sz w:val="21"/>
          <w:szCs w:val="21"/>
          <w:highlight w:val="none"/>
        </w:rPr>
      </w:pPr>
      <w:r>
        <w:rPr>
          <w:rFonts w:hint="eastAsia"/>
          <w:color w:val="auto"/>
          <w:sz w:val="21"/>
          <w:szCs w:val="21"/>
          <w:highlight w:val="none"/>
        </w:rPr>
        <w:t>2、采购文件中明确的所属行业名称是根据《关于印发中小企业划型标准规定的通知》（工信部联企业[2011]300号）规定确定。</w:t>
      </w:r>
    </w:p>
    <w:p>
      <w:pPr>
        <w:shd w:val="clear"/>
        <w:rPr>
          <w:color w:val="auto"/>
          <w:highlight w:val="none"/>
        </w:rPr>
      </w:pPr>
      <w:r>
        <w:rPr>
          <w:rFonts w:hint="eastAsia"/>
          <w:color w:val="auto"/>
          <w:highlight w:val="none"/>
        </w:rPr>
        <w:br w:type="page"/>
      </w:r>
    </w:p>
    <w:p>
      <w:pPr>
        <w:shd w:val="clear"/>
        <w:spacing w:line="52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残疾人福利性单位声明函</w:t>
      </w:r>
    </w:p>
    <w:p>
      <w:pPr>
        <w:shd w:val="clear"/>
        <w:spacing w:line="520" w:lineRule="exact"/>
        <w:rPr>
          <w:rFonts w:ascii="宋体" w:hAnsi="宋体"/>
          <w:color w:val="auto"/>
          <w:sz w:val="32"/>
          <w:szCs w:val="32"/>
          <w:highlight w:val="none"/>
        </w:rPr>
      </w:pPr>
    </w:p>
    <w:p>
      <w:pPr>
        <w:shd w:val="clear"/>
        <w:spacing w:line="360" w:lineRule="auto"/>
        <w:ind w:firstLine="480" w:firstLineChars="200"/>
        <w:contextualSpacing/>
        <w:rPr>
          <w:rFonts w:ascii="宋体" w:hAnsi="宋体"/>
          <w:color w:val="auto"/>
          <w:sz w:val="24"/>
          <w:highlight w:val="none"/>
        </w:rPr>
      </w:pPr>
    </w:p>
    <w:p>
      <w:pPr>
        <w:shd w:val="clea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highlight w:val="none"/>
          <w:u w:val="single"/>
        </w:rPr>
        <w:t xml:space="preserve">        </w:t>
      </w:r>
      <w:r>
        <w:rPr>
          <w:rFonts w:hint="eastAsia" w:ascii="宋体" w:hAnsi="宋体"/>
          <w:color w:val="auto"/>
          <w:sz w:val="24"/>
          <w:highlight w:val="none"/>
        </w:rPr>
        <w:t>单位的</w:t>
      </w:r>
      <w:r>
        <w:rPr>
          <w:rFonts w:hint="eastAsia" w:ascii="宋体" w:hAnsi="宋体"/>
          <w:color w:val="auto"/>
          <w:sz w:val="24"/>
          <w:highlight w:val="none"/>
          <w:u w:val="single"/>
        </w:rPr>
        <w:t xml:space="preserve">           </w:t>
      </w:r>
      <w:r>
        <w:rPr>
          <w:rFonts w:hint="eastAsia" w:ascii="宋体" w:hAnsi="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pPr>
        <w:shd w:val="clear"/>
        <w:spacing w:line="360" w:lineRule="auto"/>
        <w:contextualSpacing/>
        <w:rPr>
          <w:rFonts w:ascii="宋体" w:hAnsi="宋体"/>
          <w:color w:val="auto"/>
          <w:sz w:val="24"/>
          <w:highlight w:val="none"/>
        </w:rPr>
      </w:pPr>
    </w:p>
    <w:p>
      <w:pPr>
        <w:shd w:val="clear"/>
        <w:spacing w:line="360" w:lineRule="auto"/>
        <w:contextualSpacing/>
        <w:rPr>
          <w:rFonts w:ascii="宋体" w:hAnsi="宋体"/>
          <w:color w:val="auto"/>
          <w:sz w:val="24"/>
          <w:highlight w:val="none"/>
        </w:rPr>
      </w:pPr>
    </w:p>
    <w:p>
      <w:pPr>
        <w:shd w:val="clear"/>
        <w:spacing w:line="360" w:lineRule="auto"/>
        <w:contextualSpacing/>
        <w:rPr>
          <w:rFonts w:ascii="宋体" w:hAnsi="宋体"/>
          <w:color w:val="auto"/>
          <w:sz w:val="24"/>
          <w:highlight w:val="none"/>
        </w:rPr>
      </w:pPr>
    </w:p>
    <w:p>
      <w:pPr>
        <w:shd w:val="clear"/>
        <w:spacing w:line="360" w:lineRule="auto"/>
        <w:ind w:firstLine="2400" w:firstLineChars="1000"/>
        <w:contextualSpacing/>
        <w:rPr>
          <w:rFonts w:ascii="宋体" w:hAnsi="宋体"/>
          <w:color w:val="auto"/>
          <w:sz w:val="24"/>
          <w:highlight w:val="none"/>
        </w:rPr>
      </w:pPr>
      <w:r>
        <w:rPr>
          <w:rFonts w:hint="eastAsia" w:ascii="宋体" w:hAnsi="宋体"/>
          <w:color w:val="auto"/>
          <w:sz w:val="24"/>
          <w:highlight w:val="none"/>
        </w:rPr>
        <w:t>供应商名称（盖公章）：</w:t>
      </w:r>
    </w:p>
    <w:p>
      <w:pPr>
        <w:shd w:val="clear"/>
        <w:spacing w:line="360" w:lineRule="auto"/>
        <w:ind w:firstLine="4320" w:firstLineChars="1800"/>
        <w:contextualSpacing/>
        <w:rPr>
          <w:rFonts w:ascii="宋体" w:hAnsi="宋体"/>
          <w:color w:val="auto"/>
          <w:sz w:val="24"/>
          <w:highlight w:val="none"/>
        </w:rPr>
      </w:pPr>
      <w:r>
        <w:rPr>
          <w:rFonts w:hint="eastAsia" w:ascii="宋体" w:hAnsi="宋体"/>
          <w:color w:val="auto"/>
          <w:sz w:val="24"/>
          <w:highlight w:val="none"/>
        </w:rPr>
        <w:t>日  期：     年   月   日</w:t>
      </w:r>
    </w:p>
    <w:p>
      <w:pPr>
        <w:shd w:val="clear"/>
        <w:spacing w:line="360" w:lineRule="auto"/>
        <w:contextualSpacing/>
        <w:rPr>
          <w:rFonts w:ascii="宋体" w:hAnsi="宋体"/>
          <w:color w:val="auto"/>
          <w:sz w:val="24"/>
          <w:highlight w:val="none"/>
        </w:rPr>
      </w:pPr>
    </w:p>
    <w:p>
      <w:pPr>
        <w:shd w:val="clear"/>
        <w:spacing w:line="360" w:lineRule="auto"/>
        <w:contextualSpacing/>
        <w:rPr>
          <w:rFonts w:ascii="宋体" w:hAnsi="宋体"/>
          <w:color w:val="auto"/>
          <w:sz w:val="24"/>
          <w:highlight w:val="none"/>
        </w:rPr>
      </w:pPr>
    </w:p>
    <w:p>
      <w:pPr>
        <w:shd w:val="clear"/>
        <w:spacing w:line="360" w:lineRule="auto"/>
        <w:contextualSpacing/>
        <w:rPr>
          <w:rFonts w:ascii="宋体" w:hAnsi="宋体"/>
          <w:color w:val="auto"/>
          <w:sz w:val="24"/>
          <w:highlight w:val="none"/>
        </w:rPr>
      </w:pPr>
    </w:p>
    <w:p>
      <w:pPr>
        <w:pStyle w:val="38"/>
        <w:shd w:val="clear"/>
        <w:ind w:firstLine="480"/>
        <w:rPr>
          <w:color w:val="auto"/>
          <w:highlight w:val="none"/>
        </w:rPr>
      </w:pPr>
      <w:r>
        <w:rPr>
          <w:rFonts w:hint="eastAsia" w:ascii="宋体" w:hAnsi="宋体"/>
          <w:color w:val="auto"/>
          <w:sz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pStyle w:val="38"/>
        <w:shd w:val="clear"/>
        <w:rPr>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r>
        <w:rPr>
          <w:rFonts w:hint="eastAsia" w:ascii="宋体" w:hAnsi="宋体" w:cs="宋体"/>
          <w:color w:val="auto"/>
          <w:highlight w:val="none"/>
        </w:rPr>
        <w:br w:type="page"/>
      </w:r>
    </w:p>
    <w:p>
      <w:pPr>
        <w:pageBreakBefore/>
        <w:shd w:val="clear"/>
        <w:adjustRightInd w:val="0"/>
        <w:snapToGrid w:val="0"/>
        <w:spacing w:line="300" w:lineRule="auto"/>
        <w:ind w:left="-88" w:leftChars="-42"/>
        <w:rPr>
          <w:rFonts w:ascii="宋体" w:hAnsi="宋体"/>
          <w:color w:val="auto"/>
          <w:highlight w:val="none"/>
        </w:rPr>
      </w:pPr>
      <w:r>
        <w:rPr>
          <w:rFonts w:hint="eastAsia" w:ascii="宋体" w:hAnsi="宋体"/>
          <w:color w:val="auto"/>
          <w:highlight w:val="none"/>
        </w:rPr>
        <w:t xml:space="preserve">附件四  </w:t>
      </w:r>
    </w:p>
    <w:p>
      <w:pPr>
        <w:shd w:val="clear"/>
        <w:spacing w:line="300" w:lineRule="auto"/>
        <w:rPr>
          <w:rFonts w:ascii="宋体" w:hAnsi="宋体"/>
          <w:b/>
          <w:color w:val="auto"/>
          <w:highlight w:val="none"/>
        </w:rPr>
      </w:pPr>
    </w:p>
    <w:p>
      <w:pPr>
        <w:shd w:val="clear"/>
        <w:spacing w:line="300" w:lineRule="auto"/>
        <w:jc w:val="center"/>
        <w:rPr>
          <w:rFonts w:ascii="宋体" w:hAnsi="宋体"/>
          <w:b/>
          <w:color w:val="auto"/>
          <w:highlight w:val="none"/>
        </w:rPr>
      </w:pPr>
      <w:r>
        <w:rPr>
          <w:rFonts w:hint="eastAsia" w:ascii="宋体" w:hAnsi="宋体"/>
          <w:b/>
          <w:color w:val="auto"/>
          <w:highlight w:val="none"/>
        </w:rPr>
        <w:t>商务、技术响应、偏离情况说明表</w:t>
      </w:r>
    </w:p>
    <w:p>
      <w:pPr>
        <w:shd w:val="clear"/>
        <w:spacing w:line="300" w:lineRule="auto"/>
        <w:rPr>
          <w:rFonts w:ascii="宋体" w:hAnsi="宋体"/>
          <w:color w:val="auto"/>
          <w:highlight w:val="none"/>
        </w:rPr>
      </w:pPr>
    </w:p>
    <w:p>
      <w:pPr>
        <w:pStyle w:val="26"/>
        <w:shd w:val="clear"/>
        <w:spacing w:line="360" w:lineRule="auto"/>
        <w:jc w:val="center"/>
        <w:rPr>
          <w:rFonts w:ascii="宋体" w:hAnsi="宋体"/>
          <w:color w:val="auto"/>
          <w:highlight w:val="none"/>
        </w:rPr>
      </w:pPr>
      <w:r>
        <w:rPr>
          <w:rFonts w:hint="eastAsia" w:ascii="宋体" w:hAnsi="宋体"/>
          <w:b/>
          <w:color w:val="auto"/>
          <w:sz w:val="28"/>
          <w:szCs w:val="28"/>
          <w:highlight w:val="none"/>
        </w:rPr>
        <w:t>①商务响应、偏离情况说明表</w:t>
      </w:r>
    </w:p>
    <w:p>
      <w:pPr>
        <w:shd w:val="clear"/>
        <w:spacing w:line="500" w:lineRule="exact"/>
        <w:rPr>
          <w:rFonts w:ascii="宋体" w:hAnsi="宋体"/>
          <w:color w:val="auto"/>
          <w:highlight w:val="none"/>
          <w:u w:val="single"/>
        </w:rPr>
      </w:pPr>
      <w:r>
        <w:rPr>
          <w:rFonts w:hint="eastAsia" w:ascii="宋体" w:hAnsi="宋体"/>
          <w:color w:val="auto"/>
          <w:highlight w:val="none"/>
        </w:rPr>
        <w:t>项目名称:</w:t>
      </w:r>
      <w:r>
        <w:rPr>
          <w:rFonts w:hint="eastAsia" w:ascii="宋体" w:hAnsi="宋体"/>
          <w:color w:val="auto"/>
          <w:highlight w:val="none"/>
          <w:u w:val="single"/>
        </w:rPr>
        <w:t xml:space="preserve">                 </w:t>
      </w:r>
    </w:p>
    <w:p>
      <w:pPr>
        <w:shd w:val="clear"/>
        <w:spacing w:line="500" w:lineRule="exact"/>
        <w:rPr>
          <w:rFonts w:ascii="宋体" w:hAnsi="宋体"/>
          <w:color w:val="auto"/>
          <w:highlight w:val="none"/>
        </w:rPr>
      </w:pPr>
      <w:r>
        <w:rPr>
          <w:rFonts w:hint="eastAsia" w:ascii="宋体" w:hAnsi="宋体"/>
          <w:color w:val="auto"/>
          <w:highlight w:val="none"/>
        </w:rPr>
        <w:t>项目编号:</w:t>
      </w:r>
      <w:r>
        <w:rPr>
          <w:rFonts w:hint="eastAsia" w:ascii="宋体" w:hAnsi="宋体"/>
          <w:color w:val="auto"/>
          <w:highlight w:val="none"/>
          <w:u w:val="single"/>
        </w:rPr>
        <w:t xml:space="preserve">                 </w:t>
      </w:r>
      <w:r>
        <w:rPr>
          <w:rFonts w:hint="eastAsia" w:ascii="宋体" w:hAnsi="宋体"/>
          <w:color w:val="auto"/>
          <w:highlight w:val="none"/>
        </w:rPr>
        <w:t xml:space="preserve">    </w:t>
      </w:r>
    </w:p>
    <w:p>
      <w:pPr>
        <w:shd w:val="clear"/>
        <w:spacing w:line="500" w:lineRule="exact"/>
        <w:rPr>
          <w:rFonts w:ascii="宋体" w:hAnsi="宋体"/>
          <w:color w:val="auto"/>
          <w:highlight w:val="none"/>
          <w:u w:val="single"/>
        </w:rPr>
      </w:pPr>
      <w:r>
        <w:rPr>
          <w:rFonts w:ascii="宋体" w:hAnsi="宋体"/>
          <w:color w:val="auto"/>
          <w:highlight w:val="none"/>
        </w:rPr>
        <w:t>分标号:</w:t>
      </w:r>
      <w:r>
        <w:rPr>
          <w:rFonts w:ascii="宋体" w:hAnsi="宋体"/>
          <w:color w:val="auto"/>
          <w:highlight w:val="none"/>
          <w:u w:val="single"/>
        </w:rPr>
        <w:t xml:space="preserve">              </w:t>
      </w:r>
    </w:p>
    <w:p>
      <w:pPr>
        <w:pStyle w:val="2"/>
        <w:shd w:val="clear"/>
        <w:rPr>
          <w:color w:val="auto"/>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4" w:space="0"/>
              <w:left w:val="single" w:color="auto" w:sz="4" w:space="0"/>
              <w:bottom w:val="single" w:color="auto" w:sz="6" w:space="0"/>
              <w:right w:val="single" w:color="auto" w:sz="6" w:space="0"/>
            </w:tcBorders>
            <w:vAlign w:val="center"/>
          </w:tcPr>
          <w:p>
            <w:pPr>
              <w:shd w:val="clear"/>
              <w:ind w:right="-107" w:rightChars="-51"/>
              <w:rPr>
                <w:rFonts w:ascii="宋体" w:hAnsi="宋体"/>
                <w:color w:val="auto"/>
                <w:highlight w:val="none"/>
              </w:rPr>
            </w:pPr>
            <w:r>
              <w:rPr>
                <w:rFonts w:hint="eastAsia" w:ascii="宋体" w:hAnsi="宋体"/>
                <w:color w:val="auto"/>
                <w:highlight w:val="none"/>
              </w:rPr>
              <w:t>序号</w:t>
            </w:r>
          </w:p>
        </w:tc>
        <w:tc>
          <w:tcPr>
            <w:tcW w:w="2931" w:type="dxa"/>
            <w:tcBorders>
              <w:top w:val="single" w:color="auto" w:sz="4"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r>
              <w:rPr>
                <w:rFonts w:hint="eastAsia" w:ascii="宋体" w:hAnsi="宋体"/>
                <w:color w:val="auto"/>
                <w:highlight w:val="none"/>
              </w:rPr>
              <w:t>竞争性磋商文件要求</w:t>
            </w:r>
          </w:p>
        </w:tc>
        <w:tc>
          <w:tcPr>
            <w:tcW w:w="3087" w:type="dxa"/>
            <w:tcBorders>
              <w:top w:val="single" w:color="auto" w:sz="4"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r>
              <w:rPr>
                <w:rFonts w:hint="eastAsia" w:ascii="宋体" w:hAnsi="宋体"/>
                <w:color w:val="auto"/>
                <w:highlight w:val="none"/>
              </w:rPr>
              <w:t>竞争性磋商响应文件具体响应</w:t>
            </w:r>
          </w:p>
        </w:tc>
        <w:tc>
          <w:tcPr>
            <w:tcW w:w="1535" w:type="dxa"/>
            <w:tcBorders>
              <w:top w:val="single" w:color="auto" w:sz="4"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r>
              <w:rPr>
                <w:rFonts w:hint="eastAsia" w:ascii="宋体" w:hAnsi="宋体"/>
                <w:color w:val="auto"/>
                <w:highlight w:val="none"/>
              </w:rPr>
              <w:t>响应/偏离</w:t>
            </w:r>
          </w:p>
        </w:tc>
        <w:tc>
          <w:tcPr>
            <w:tcW w:w="1427" w:type="dxa"/>
            <w:tcBorders>
              <w:top w:val="single" w:color="auto" w:sz="4" w:space="0"/>
              <w:left w:val="single" w:color="auto" w:sz="6" w:space="0"/>
              <w:bottom w:val="single" w:color="auto" w:sz="6" w:space="0"/>
              <w:right w:val="single" w:color="auto" w:sz="4" w:space="0"/>
            </w:tcBorders>
            <w:vAlign w:val="center"/>
          </w:tcPr>
          <w:p>
            <w:pPr>
              <w:shd w:val="clear"/>
              <w:rPr>
                <w:rFonts w:ascii="宋体" w:hAnsi="宋体"/>
                <w:color w:val="auto"/>
                <w:highlight w:val="none"/>
              </w:rPr>
            </w:pPr>
            <w:r>
              <w:rPr>
                <w:rFonts w:hint="eastAsia" w:ascii="宋体" w:hAnsi="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vAlign w:val="center"/>
          </w:tcPr>
          <w:p>
            <w:pPr>
              <w:shd w:val="clear"/>
              <w:rPr>
                <w:rFonts w:ascii="宋体" w:hAnsi="宋体"/>
                <w:color w:val="auto"/>
                <w:highlight w:val="none"/>
              </w:rPr>
            </w:pPr>
            <w:r>
              <w:rPr>
                <w:rFonts w:hint="eastAsia" w:ascii="宋体" w:hAnsi="宋体"/>
                <w:color w:val="auto"/>
                <w:highlight w:val="none"/>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48" w:type="dxa"/>
            <w:tcBorders>
              <w:top w:val="single" w:color="auto" w:sz="6" w:space="0"/>
              <w:left w:val="single" w:color="auto" w:sz="4" w:space="0"/>
              <w:bottom w:val="single" w:color="auto" w:sz="6" w:space="0"/>
              <w:right w:val="single" w:color="auto" w:sz="6" w:space="0"/>
            </w:tcBorders>
            <w:vAlign w:val="center"/>
          </w:tcPr>
          <w:p>
            <w:pPr>
              <w:shd w:val="clear"/>
              <w:rPr>
                <w:rFonts w:ascii="宋体" w:hAnsi="宋体"/>
                <w:color w:val="auto"/>
                <w:highlight w:val="none"/>
              </w:rPr>
            </w:pPr>
            <w:r>
              <w:rPr>
                <w:rFonts w:hint="eastAsia" w:ascii="宋体" w:hAnsi="宋体"/>
                <w:color w:val="auto"/>
                <w:highlight w:val="none"/>
              </w:rPr>
              <w:t>1</w:t>
            </w:r>
          </w:p>
        </w:tc>
        <w:tc>
          <w:tcPr>
            <w:tcW w:w="2931"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3087"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1535"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1427" w:type="dxa"/>
            <w:tcBorders>
              <w:top w:val="single" w:color="auto" w:sz="6" w:space="0"/>
              <w:left w:val="single" w:color="auto" w:sz="6" w:space="0"/>
              <w:bottom w:val="single" w:color="auto" w:sz="6" w:space="0"/>
              <w:right w:val="single" w:color="auto" w:sz="4" w:space="0"/>
            </w:tcBorders>
            <w:vAlign w:val="center"/>
          </w:tcPr>
          <w:p>
            <w:pPr>
              <w:shd w:val="clea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shd w:val="clear"/>
              <w:rPr>
                <w:rFonts w:ascii="宋体" w:hAnsi="宋体"/>
                <w:color w:val="auto"/>
                <w:highlight w:val="none"/>
              </w:rPr>
            </w:pPr>
            <w:r>
              <w:rPr>
                <w:rFonts w:hint="eastAsia" w:ascii="宋体" w:hAnsi="宋体"/>
                <w:color w:val="auto"/>
                <w:highlight w:val="none"/>
              </w:rPr>
              <w:t>2</w:t>
            </w:r>
          </w:p>
        </w:tc>
        <w:tc>
          <w:tcPr>
            <w:tcW w:w="2931"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3087"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1535"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1427" w:type="dxa"/>
            <w:tcBorders>
              <w:top w:val="single" w:color="auto" w:sz="6" w:space="0"/>
              <w:left w:val="single" w:color="auto" w:sz="6" w:space="0"/>
              <w:bottom w:val="single" w:color="auto" w:sz="6" w:space="0"/>
              <w:right w:val="single" w:color="auto" w:sz="4" w:space="0"/>
            </w:tcBorders>
            <w:vAlign w:val="center"/>
          </w:tcPr>
          <w:p>
            <w:pPr>
              <w:shd w:val="clea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shd w:val="clear"/>
              <w:rPr>
                <w:rFonts w:ascii="宋体" w:hAnsi="宋体"/>
                <w:color w:val="auto"/>
                <w:highlight w:val="none"/>
              </w:rPr>
            </w:pPr>
            <w:r>
              <w:rPr>
                <w:rFonts w:hint="eastAsia" w:ascii="宋体" w:hAnsi="宋体"/>
                <w:color w:val="auto"/>
                <w:highlight w:val="none"/>
              </w:rPr>
              <w:t>3</w:t>
            </w:r>
          </w:p>
        </w:tc>
        <w:tc>
          <w:tcPr>
            <w:tcW w:w="2931"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3087"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1535"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1427" w:type="dxa"/>
            <w:tcBorders>
              <w:top w:val="single" w:color="auto" w:sz="6" w:space="0"/>
              <w:left w:val="single" w:color="auto" w:sz="6" w:space="0"/>
              <w:bottom w:val="single" w:color="auto" w:sz="6" w:space="0"/>
              <w:right w:val="single" w:color="auto" w:sz="4" w:space="0"/>
            </w:tcBorders>
            <w:vAlign w:val="center"/>
          </w:tcPr>
          <w:p>
            <w:pPr>
              <w:shd w:val="clea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shd w:val="clear"/>
              <w:rPr>
                <w:rFonts w:ascii="宋体" w:hAnsi="宋体"/>
                <w:color w:val="auto"/>
                <w:highlight w:val="none"/>
              </w:rPr>
            </w:pPr>
            <w:r>
              <w:rPr>
                <w:rFonts w:hint="eastAsia" w:ascii="宋体" w:hAnsi="宋体"/>
                <w:color w:val="auto"/>
                <w:highlight w:val="none"/>
              </w:rPr>
              <w:t>…</w:t>
            </w:r>
          </w:p>
        </w:tc>
        <w:tc>
          <w:tcPr>
            <w:tcW w:w="2931"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3087"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1535"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1427" w:type="dxa"/>
            <w:tcBorders>
              <w:top w:val="single" w:color="auto" w:sz="6" w:space="0"/>
              <w:left w:val="single" w:color="auto" w:sz="6" w:space="0"/>
              <w:bottom w:val="single" w:color="auto" w:sz="6" w:space="0"/>
              <w:right w:val="single" w:color="auto" w:sz="4" w:space="0"/>
            </w:tcBorders>
            <w:vAlign w:val="center"/>
          </w:tcPr>
          <w:p>
            <w:pPr>
              <w:shd w:val="clear"/>
              <w:rPr>
                <w:rFonts w:ascii="宋体" w:hAnsi="宋体"/>
                <w:color w:val="auto"/>
                <w:highlight w:val="none"/>
              </w:rPr>
            </w:pPr>
          </w:p>
        </w:tc>
      </w:tr>
    </w:tbl>
    <w:p>
      <w:pPr>
        <w:shd w:val="clear"/>
        <w:adjustRightInd w:val="0"/>
        <w:snapToGrid w:val="0"/>
        <w:spacing w:line="360" w:lineRule="exact"/>
        <w:rPr>
          <w:rFonts w:ascii="宋体" w:hAnsi="宋体"/>
          <w:color w:val="auto"/>
          <w:highlight w:val="none"/>
        </w:rPr>
      </w:pPr>
      <w:r>
        <w:rPr>
          <w:rFonts w:hint="eastAsia" w:ascii="宋体" w:hAnsi="宋体"/>
          <w:color w:val="auto"/>
          <w:highlight w:val="none"/>
        </w:rPr>
        <w:t>说明：1、应写明竞争性磋商响应文件对商务要求的响应和偏离情况</w:t>
      </w:r>
      <w:r>
        <w:rPr>
          <w:rFonts w:hint="eastAsia" w:ascii="宋体" w:hAnsi="宋体"/>
          <w:bCs/>
          <w:color w:val="auto"/>
          <w:highlight w:val="none"/>
        </w:rPr>
        <w:t>；</w:t>
      </w:r>
    </w:p>
    <w:p>
      <w:pPr>
        <w:pStyle w:val="18"/>
        <w:shd w:val="clear"/>
        <w:spacing w:line="360" w:lineRule="exact"/>
        <w:ind w:firstLine="630" w:firstLineChars="300"/>
        <w:rPr>
          <w:rFonts w:ascii="宋体" w:hAnsi="宋体" w:eastAsia="宋体"/>
          <w:color w:val="auto"/>
          <w:sz w:val="21"/>
          <w:szCs w:val="21"/>
          <w:highlight w:val="none"/>
        </w:rPr>
      </w:pPr>
      <w:r>
        <w:rPr>
          <w:rFonts w:hint="eastAsia" w:ascii="宋体" w:hAnsi="宋体" w:eastAsia="宋体"/>
          <w:color w:val="auto"/>
          <w:sz w:val="21"/>
          <w:szCs w:val="21"/>
          <w:highlight w:val="none"/>
        </w:rPr>
        <w:t>2、应对照竞争性磋商文件“第三章  采购需求”，逐条说明所提供货物和服务已对竞争性磋商文件的商务要求做出了实质性的响应，并申明商务条文的响应和偏离。</w:t>
      </w:r>
    </w:p>
    <w:p>
      <w:pPr>
        <w:pStyle w:val="21"/>
        <w:shd w:val="clear"/>
        <w:spacing w:line="360" w:lineRule="exact"/>
        <w:rPr>
          <w:rFonts w:hAnsi="宋体"/>
          <w:color w:val="auto"/>
          <w:highlight w:val="none"/>
        </w:rPr>
      </w:pPr>
    </w:p>
    <w:p>
      <w:pPr>
        <w:shd w:val="clear"/>
        <w:rPr>
          <w:rFonts w:ascii="宋体" w:hAnsi="宋体"/>
          <w:color w:val="auto"/>
          <w:highlight w:val="none"/>
        </w:rPr>
      </w:pPr>
    </w:p>
    <w:p>
      <w:pPr>
        <w:shd w:val="clear"/>
        <w:rPr>
          <w:rFonts w:ascii="宋体" w:hAnsi="宋体"/>
          <w:color w:val="auto"/>
          <w:highlight w:val="none"/>
        </w:rPr>
      </w:pPr>
    </w:p>
    <w:p>
      <w:pPr>
        <w:shd w:val="clear"/>
        <w:spacing w:line="360" w:lineRule="auto"/>
        <w:ind w:right="480"/>
        <w:contextualSpacing/>
        <w:jc w:val="center"/>
        <w:rPr>
          <w:rFonts w:ascii="宋体" w:hAnsi="宋体" w:cs="宋体"/>
          <w:color w:val="auto"/>
          <w:sz w:val="24"/>
          <w:highlight w:val="none"/>
          <w:u w:val="single"/>
        </w:rPr>
      </w:pPr>
      <w:r>
        <w:rPr>
          <w:rFonts w:hint="eastAsia" w:ascii="宋体" w:hAnsi="宋体"/>
          <w:color w:val="auto"/>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pPr>
        <w:shd w:val="clea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 xml:space="preserve">磋商人名称（盖章）： </w:t>
      </w:r>
      <w:r>
        <w:rPr>
          <w:rFonts w:hint="eastAsia" w:ascii="宋体" w:hAnsi="宋体" w:cs="宋体"/>
          <w:color w:val="auto"/>
          <w:sz w:val="24"/>
          <w:highlight w:val="none"/>
          <w:u w:val="single"/>
        </w:rPr>
        <w:t xml:space="preserve">                              </w:t>
      </w:r>
    </w:p>
    <w:p>
      <w:pPr>
        <w:shd w:val="clear"/>
        <w:spacing w:line="360" w:lineRule="auto"/>
        <w:ind w:firstLine="480" w:firstLineChars="200"/>
        <w:contextualSpacing/>
        <w:jc w:val="right"/>
        <w:rPr>
          <w:rFonts w:ascii="宋体" w:hAnsi="宋体" w:cs="宋体"/>
          <w:color w:val="auto"/>
          <w:sz w:val="28"/>
          <w:szCs w:val="28"/>
          <w:highlight w:val="none"/>
        </w:rPr>
      </w:pPr>
      <w:r>
        <w:rPr>
          <w:rFonts w:hint="eastAsia" w:ascii="宋体" w:hAnsi="宋体" w:cs="宋体"/>
          <w:color w:val="auto"/>
          <w:sz w:val="24"/>
          <w:highlight w:val="none"/>
        </w:rPr>
        <w:t>年    月    日</w:t>
      </w:r>
    </w:p>
    <w:p>
      <w:pPr>
        <w:shd w:val="clear"/>
        <w:rPr>
          <w:rFonts w:ascii="宋体" w:hAnsi="宋体"/>
          <w:bCs/>
          <w:color w:val="auto"/>
          <w:highlight w:val="none"/>
        </w:rPr>
      </w:pPr>
    </w:p>
    <w:p>
      <w:pPr>
        <w:shd w:val="clear"/>
        <w:rPr>
          <w:color w:val="auto"/>
          <w:highlight w:val="none"/>
        </w:rPr>
      </w:pPr>
      <w:r>
        <w:rPr>
          <w:rFonts w:hint="eastAsia" w:ascii="宋体" w:hAnsi="宋体"/>
          <w:bCs/>
          <w:color w:val="auto"/>
          <w:highlight w:val="none"/>
        </w:rPr>
        <w:br w:type="page"/>
      </w:r>
    </w:p>
    <w:p>
      <w:pPr>
        <w:pStyle w:val="26"/>
        <w:shd w:val="clea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②技术响应、偏离情况说明表</w:t>
      </w:r>
    </w:p>
    <w:p>
      <w:pPr>
        <w:shd w:val="clear"/>
        <w:spacing w:line="300" w:lineRule="auto"/>
        <w:rPr>
          <w:rFonts w:ascii="宋体" w:hAnsi="宋体"/>
          <w:color w:val="auto"/>
          <w:highlight w:val="none"/>
        </w:rPr>
      </w:pPr>
    </w:p>
    <w:p>
      <w:pPr>
        <w:shd w:val="clear"/>
        <w:spacing w:line="500" w:lineRule="exact"/>
        <w:rPr>
          <w:rFonts w:ascii="宋体" w:hAnsi="宋体"/>
          <w:color w:val="auto"/>
          <w:highlight w:val="none"/>
          <w:u w:val="single"/>
        </w:rPr>
      </w:pPr>
      <w:r>
        <w:rPr>
          <w:rFonts w:hint="eastAsia" w:ascii="宋体" w:hAnsi="宋体"/>
          <w:color w:val="auto"/>
          <w:highlight w:val="none"/>
        </w:rPr>
        <w:t>项目名称:</w:t>
      </w:r>
      <w:r>
        <w:rPr>
          <w:rFonts w:hint="eastAsia" w:ascii="宋体" w:hAnsi="宋体"/>
          <w:color w:val="auto"/>
          <w:highlight w:val="none"/>
          <w:u w:val="single"/>
        </w:rPr>
        <w:t xml:space="preserve">                 </w:t>
      </w:r>
    </w:p>
    <w:p>
      <w:pPr>
        <w:shd w:val="clear"/>
        <w:spacing w:line="500" w:lineRule="exact"/>
        <w:rPr>
          <w:rFonts w:ascii="宋体" w:hAnsi="宋体"/>
          <w:color w:val="auto"/>
          <w:highlight w:val="none"/>
        </w:rPr>
      </w:pPr>
      <w:r>
        <w:rPr>
          <w:rFonts w:hint="eastAsia" w:ascii="宋体" w:hAnsi="宋体"/>
          <w:color w:val="auto"/>
          <w:highlight w:val="none"/>
        </w:rPr>
        <w:t>项目编号:</w:t>
      </w:r>
      <w:r>
        <w:rPr>
          <w:rFonts w:hint="eastAsia" w:ascii="宋体" w:hAnsi="宋体"/>
          <w:color w:val="auto"/>
          <w:highlight w:val="none"/>
          <w:u w:val="single"/>
        </w:rPr>
        <w:t xml:space="preserve">                 </w:t>
      </w:r>
      <w:r>
        <w:rPr>
          <w:rFonts w:hint="eastAsia" w:ascii="宋体" w:hAnsi="宋体"/>
          <w:color w:val="auto"/>
          <w:highlight w:val="none"/>
        </w:rPr>
        <w:t xml:space="preserve">    </w:t>
      </w:r>
    </w:p>
    <w:p>
      <w:pPr>
        <w:shd w:val="clear"/>
        <w:spacing w:line="500" w:lineRule="exact"/>
        <w:rPr>
          <w:rFonts w:ascii="宋体" w:hAnsi="宋体"/>
          <w:color w:val="auto"/>
          <w:highlight w:val="none"/>
          <w:u w:val="single"/>
        </w:rPr>
      </w:pPr>
      <w:r>
        <w:rPr>
          <w:rFonts w:ascii="宋体" w:hAnsi="宋体"/>
          <w:color w:val="auto"/>
          <w:highlight w:val="none"/>
        </w:rPr>
        <w:t>分标号:</w:t>
      </w:r>
      <w:r>
        <w:rPr>
          <w:rFonts w:ascii="宋体" w:hAnsi="宋体"/>
          <w:color w:val="auto"/>
          <w:highlight w:val="none"/>
          <w:u w:val="single"/>
        </w:rPr>
        <w:t xml:space="preserve">              </w:t>
      </w:r>
    </w:p>
    <w:p>
      <w:pPr>
        <w:pStyle w:val="2"/>
        <w:shd w:val="clear"/>
        <w:rPr>
          <w:color w:val="auto"/>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4" w:space="0"/>
              <w:left w:val="single" w:color="auto" w:sz="4" w:space="0"/>
              <w:bottom w:val="single" w:color="auto" w:sz="6" w:space="0"/>
              <w:right w:val="single" w:color="auto" w:sz="6" w:space="0"/>
            </w:tcBorders>
            <w:vAlign w:val="center"/>
          </w:tcPr>
          <w:p>
            <w:pPr>
              <w:shd w:val="clear"/>
              <w:ind w:right="-107" w:rightChars="-51"/>
              <w:rPr>
                <w:rFonts w:ascii="宋体" w:hAnsi="宋体"/>
                <w:color w:val="auto"/>
                <w:highlight w:val="none"/>
              </w:rPr>
            </w:pPr>
            <w:r>
              <w:rPr>
                <w:rFonts w:hint="eastAsia" w:ascii="宋体" w:hAnsi="宋体"/>
                <w:color w:val="auto"/>
                <w:highlight w:val="none"/>
              </w:rPr>
              <w:t>序号</w:t>
            </w:r>
          </w:p>
        </w:tc>
        <w:tc>
          <w:tcPr>
            <w:tcW w:w="2931" w:type="dxa"/>
            <w:tcBorders>
              <w:top w:val="single" w:color="auto" w:sz="4"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r>
              <w:rPr>
                <w:rFonts w:hint="eastAsia" w:ascii="宋体" w:hAnsi="宋体"/>
                <w:color w:val="auto"/>
                <w:highlight w:val="none"/>
              </w:rPr>
              <w:t>竞争性磋商文件要求</w:t>
            </w:r>
          </w:p>
        </w:tc>
        <w:tc>
          <w:tcPr>
            <w:tcW w:w="3087" w:type="dxa"/>
            <w:tcBorders>
              <w:top w:val="single" w:color="auto" w:sz="4"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r>
              <w:rPr>
                <w:rFonts w:hint="eastAsia" w:ascii="宋体" w:hAnsi="宋体"/>
                <w:color w:val="auto"/>
                <w:highlight w:val="none"/>
              </w:rPr>
              <w:t>竞争性磋商响应文件具体响应</w:t>
            </w:r>
          </w:p>
        </w:tc>
        <w:tc>
          <w:tcPr>
            <w:tcW w:w="1535" w:type="dxa"/>
            <w:tcBorders>
              <w:top w:val="single" w:color="auto" w:sz="4"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r>
              <w:rPr>
                <w:rFonts w:hint="eastAsia" w:ascii="宋体" w:hAnsi="宋体"/>
                <w:color w:val="auto"/>
                <w:highlight w:val="none"/>
              </w:rPr>
              <w:t>响应/偏离</w:t>
            </w:r>
          </w:p>
        </w:tc>
        <w:tc>
          <w:tcPr>
            <w:tcW w:w="1427" w:type="dxa"/>
            <w:tcBorders>
              <w:top w:val="single" w:color="auto" w:sz="4" w:space="0"/>
              <w:left w:val="single" w:color="auto" w:sz="6" w:space="0"/>
              <w:bottom w:val="single" w:color="auto" w:sz="6" w:space="0"/>
              <w:right w:val="single" w:color="auto" w:sz="4" w:space="0"/>
            </w:tcBorders>
            <w:vAlign w:val="center"/>
          </w:tcPr>
          <w:p>
            <w:pPr>
              <w:shd w:val="clear"/>
              <w:rPr>
                <w:rFonts w:ascii="宋体" w:hAnsi="宋体"/>
                <w:color w:val="auto"/>
                <w:highlight w:val="none"/>
              </w:rPr>
            </w:pPr>
            <w:r>
              <w:rPr>
                <w:rFonts w:hint="eastAsia" w:ascii="宋体" w:hAnsi="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vAlign w:val="center"/>
          </w:tcPr>
          <w:p>
            <w:pPr>
              <w:shd w:val="clear"/>
              <w:rPr>
                <w:rFonts w:ascii="宋体" w:hAnsi="宋体"/>
                <w:color w:val="auto"/>
                <w:highlight w:val="none"/>
              </w:rPr>
            </w:pPr>
            <w:r>
              <w:rPr>
                <w:rFonts w:hint="eastAsia" w:ascii="宋体" w:hAnsi="宋体"/>
                <w:color w:val="auto"/>
                <w:highlight w:val="none"/>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shd w:val="clear"/>
              <w:rPr>
                <w:rFonts w:ascii="宋体" w:hAnsi="宋体"/>
                <w:color w:val="auto"/>
                <w:highlight w:val="none"/>
              </w:rPr>
            </w:pPr>
            <w:r>
              <w:rPr>
                <w:rFonts w:hint="eastAsia" w:ascii="宋体" w:hAnsi="宋体"/>
                <w:color w:val="auto"/>
                <w:highlight w:val="none"/>
              </w:rPr>
              <w:t>1</w:t>
            </w:r>
          </w:p>
        </w:tc>
        <w:tc>
          <w:tcPr>
            <w:tcW w:w="2931"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3087"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1535"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1427" w:type="dxa"/>
            <w:tcBorders>
              <w:top w:val="single" w:color="auto" w:sz="6" w:space="0"/>
              <w:left w:val="single" w:color="auto" w:sz="6" w:space="0"/>
              <w:bottom w:val="single" w:color="auto" w:sz="6" w:space="0"/>
              <w:right w:val="single" w:color="auto" w:sz="4" w:space="0"/>
            </w:tcBorders>
            <w:vAlign w:val="center"/>
          </w:tcPr>
          <w:p>
            <w:pPr>
              <w:shd w:val="clea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shd w:val="clear"/>
              <w:rPr>
                <w:rFonts w:ascii="宋体" w:hAnsi="宋体"/>
                <w:color w:val="auto"/>
                <w:highlight w:val="none"/>
              </w:rPr>
            </w:pPr>
            <w:r>
              <w:rPr>
                <w:rFonts w:hint="eastAsia" w:ascii="宋体" w:hAnsi="宋体"/>
                <w:color w:val="auto"/>
                <w:highlight w:val="none"/>
              </w:rPr>
              <w:t>2</w:t>
            </w:r>
          </w:p>
        </w:tc>
        <w:tc>
          <w:tcPr>
            <w:tcW w:w="2931"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3087"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1535"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1427" w:type="dxa"/>
            <w:tcBorders>
              <w:top w:val="single" w:color="auto" w:sz="6" w:space="0"/>
              <w:left w:val="single" w:color="auto" w:sz="6" w:space="0"/>
              <w:bottom w:val="single" w:color="auto" w:sz="6" w:space="0"/>
              <w:right w:val="single" w:color="auto" w:sz="4" w:space="0"/>
            </w:tcBorders>
            <w:vAlign w:val="center"/>
          </w:tcPr>
          <w:p>
            <w:pPr>
              <w:shd w:val="clea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pPr>
              <w:shd w:val="clear"/>
              <w:rPr>
                <w:rFonts w:ascii="宋体" w:hAnsi="宋体"/>
                <w:color w:val="auto"/>
                <w:highlight w:val="none"/>
              </w:rPr>
            </w:pPr>
            <w:r>
              <w:rPr>
                <w:rFonts w:hint="eastAsia" w:ascii="宋体" w:hAnsi="宋体"/>
                <w:color w:val="auto"/>
                <w:highlight w:val="none"/>
              </w:rPr>
              <w:t>3</w:t>
            </w:r>
          </w:p>
        </w:tc>
        <w:tc>
          <w:tcPr>
            <w:tcW w:w="2931"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3087"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1535" w:type="dxa"/>
            <w:tcBorders>
              <w:top w:val="single" w:color="auto" w:sz="6" w:space="0"/>
              <w:left w:val="single" w:color="auto" w:sz="6" w:space="0"/>
              <w:bottom w:val="single" w:color="auto" w:sz="6" w:space="0"/>
              <w:right w:val="single" w:color="auto" w:sz="6" w:space="0"/>
            </w:tcBorders>
            <w:vAlign w:val="center"/>
          </w:tcPr>
          <w:p>
            <w:pPr>
              <w:shd w:val="clear"/>
              <w:rPr>
                <w:rFonts w:ascii="宋体" w:hAnsi="宋体"/>
                <w:color w:val="auto"/>
                <w:highlight w:val="none"/>
              </w:rPr>
            </w:pPr>
          </w:p>
        </w:tc>
        <w:tc>
          <w:tcPr>
            <w:tcW w:w="1427" w:type="dxa"/>
            <w:tcBorders>
              <w:top w:val="single" w:color="auto" w:sz="6" w:space="0"/>
              <w:left w:val="single" w:color="auto" w:sz="6" w:space="0"/>
              <w:bottom w:val="single" w:color="auto" w:sz="6" w:space="0"/>
              <w:right w:val="single" w:color="auto" w:sz="4" w:space="0"/>
            </w:tcBorders>
            <w:vAlign w:val="center"/>
          </w:tcPr>
          <w:p>
            <w:pPr>
              <w:shd w:val="clea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48" w:type="dxa"/>
            <w:tcBorders>
              <w:top w:val="single" w:color="auto" w:sz="6" w:space="0"/>
              <w:left w:val="single" w:color="auto" w:sz="4" w:space="0"/>
              <w:bottom w:val="single" w:color="auto" w:sz="4" w:space="0"/>
              <w:right w:val="single" w:color="auto" w:sz="6" w:space="0"/>
            </w:tcBorders>
            <w:vAlign w:val="center"/>
          </w:tcPr>
          <w:p>
            <w:pPr>
              <w:shd w:val="clear"/>
              <w:rPr>
                <w:rFonts w:ascii="宋体" w:hAnsi="宋体"/>
                <w:color w:val="auto"/>
                <w:highlight w:val="none"/>
              </w:rPr>
            </w:pPr>
            <w:r>
              <w:rPr>
                <w:rFonts w:hint="eastAsia" w:ascii="宋体" w:hAnsi="宋体"/>
                <w:color w:val="auto"/>
                <w:highlight w:val="none"/>
              </w:rPr>
              <w:t>…</w:t>
            </w:r>
          </w:p>
        </w:tc>
        <w:tc>
          <w:tcPr>
            <w:tcW w:w="2931" w:type="dxa"/>
            <w:tcBorders>
              <w:top w:val="single" w:color="auto" w:sz="6" w:space="0"/>
              <w:left w:val="single" w:color="auto" w:sz="6" w:space="0"/>
              <w:bottom w:val="single" w:color="auto" w:sz="4" w:space="0"/>
              <w:right w:val="single" w:color="auto" w:sz="6" w:space="0"/>
            </w:tcBorders>
            <w:vAlign w:val="center"/>
          </w:tcPr>
          <w:p>
            <w:pPr>
              <w:shd w:val="clear"/>
              <w:rPr>
                <w:rFonts w:ascii="宋体" w:hAnsi="宋体"/>
                <w:color w:val="auto"/>
                <w:highlight w:val="none"/>
              </w:rPr>
            </w:pPr>
          </w:p>
        </w:tc>
        <w:tc>
          <w:tcPr>
            <w:tcW w:w="3087" w:type="dxa"/>
            <w:tcBorders>
              <w:top w:val="single" w:color="auto" w:sz="6" w:space="0"/>
              <w:left w:val="single" w:color="auto" w:sz="6" w:space="0"/>
              <w:bottom w:val="single" w:color="auto" w:sz="4" w:space="0"/>
              <w:right w:val="single" w:color="auto" w:sz="6" w:space="0"/>
            </w:tcBorders>
            <w:vAlign w:val="center"/>
          </w:tcPr>
          <w:p>
            <w:pPr>
              <w:shd w:val="clear"/>
              <w:rPr>
                <w:rFonts w:ascii="宋体" w:hAnsi="宋体"/>
                <w:color w:val="auto"/>
                <w:highlight w:val="none"/>
              </w:rPr>
            </w:pPr>
          </w:p>
        </w:tc>
        <w:tc>
          <w:tcPr>
            <w:tcW w:w="1535" w:type="dxa"/>
            <w:tcBorders>
              <w:top w:val="single" w:color="auto" w:sz="6" w:space="0"/>
              <w:left w:val="single" w:color="auto" w:sz="6" w:space="0"/>
              <w:bottom w:val="single" w:color="auto" w:sz="4" w:space="0"/>
              <w:right w:val="single" w:color="auto" w:sz="4" w:space="0"/>
            </w:tcBorders>
            <w:vAlign w:val="center"/>
          </w:tcPr>
          <w:p>
            <w:pPr>
              <w:shd w:val="clear"/>
              <w:rPr>
                <w:rFonts w:ascii="宋体" w:hAnsi="宋体"/>
                <w:color w:val="auto"/>
                <w:highlight w:val="none"/>
              </w:rPr>
            </w:pPr>
          </w:p>
        </w:tc>
        <w:tc>
          <w:tcPr>
            <w:tcW w:w="1427" w:type="dxa"/>
            <w:tcBorders>
              <w:top w:val="single" w:color="auto" w:sz="6" w:space="0"/>
              <w:left w:val="single" w:color="auto" w:sz="4" w:space="0"/>
              <w:bottom w:val="single" w:color="auto" w:sz="4" w:space="0"/>
              <w:right w:val="single" w:color="auto" w:sz="4" w:space="0"/>
            </w:tcBorders>
            <w:vAlign w:val="center"/>
          </w:tcPr>
          <w:p>
            <w:pPr>
              <w:shd w:val="clear"/>
              <w:rPr>
                <w:rFonts w:ascii="宋体" w:hAnsi="宋体"/>
                <w:color w:val="auto"/>
                <w:highlight w:val="none"/>
              </w:rPr>
            </w:pPr>
          </w:p>
        </w:tc>
      </w:tr>
    </w:tbl>
    <w:p>
      <w:pPr>
        <w:shd w:val="clear"/>
        <w:adjustRightInd w:val="0"/>
        <w:snapToGrid w:val="0"/>
        <w:spacing w:line="360" w:lineRule="exact"/>
        <w:rPr>
          <w:rFonts w:ascii="宋体" w:hAnsi="宋体"/>
          <w:color w:val="auto"/>
          <w:highlight w:val="none"/>
        </w:rPr>
      </w:pPr>
      <w:r>
        <w:rPr>
          <w:rFonts w:hint="eastAsia" w:ascii="宋体" w:hAnsi="宋体"/>
          <w:color w:val="auto"/>
          <w:highlight w:val="none"/>
        </w:rPr>
        <w:t>说明：1、应写明竞争性磋商响应文件对服务内容及技术要求的响应和偏离情况</w:t>
      </w:r>
      <w:r>
        <w:rPr>
          <w:rFonts w:hint="eastAsia" w:ascii="宋体" w:hAnsi="宋体"/>
          <w:bCs/>
          <w:color w:val="auto"/>
          <w:highlight w:val="none"/>
        </w:rPr>
        <w:t>；</w:t>
      </w:r>
    </w:p>
    <w:p>
      <w:pPr>
        <w:pStyle w:val="18"/>
        <w:shd w:val="clear"/>
        <w:spacing w:line="360" w:lineRule="exact"/>
        <w:ind w:firstLine="630" w:firstLineChars="300"/>
        <w:rPr>
          <w:rFonts w:ascii="宋体" w:hAnsi="宋体" w:eastAsia="宋体"/>
          <w:color w:val="auto"/>
          <w:sz w:val="21"/>
          <w:szCs w:val="21"/>
          <w:highlight w:val="none"/>
        </w:rPr>
      </w:pPr>
      <w:r>
        <w:rPr>
          <w:rFonts w:hint="eastAsia" w:ascii="宋体" w:hAnsi="宋体" w:eastAsia="宋体"/>
          <w:color w:val="auto"/>
          <w:sz w:val="21"/>
          <w:szCs w:val="21"/>
          <w:highlight w:val="none"/>
        </w:rPr>
        <w:t>2、应对照竞争性磋商文件“第三章  采购需求”，逐条说明所提供货物和服务已对竞争性磋商文件的服务内容及技术要求做出了实质性的响应，并申明技术条文的响应和偏离。</w:t>
      </w:r>
    </w:p>
    <w:p>
      <w:pPr>
        <w:pStyle w:val="21"/>
        <w:shd w:val="clear"/>
        <w:spacing w:line="360" w:lineRule="exact"/>
        <w:rPr>
          <w:rFonts w:hAnsi="宋体"/>
          <w:color w:val="auto"/>
          <w:highlight w:val="none"/>
        </w:rPr>
      </w:pPr>
    </w:p>
    <w:p>
      <w:pPr>
        <w:shd w:val="clear"/>
        <w:rPr>
          <w:rFonts w:ascii="宋体" w:hAnsi="宋体"/>
          <w:color w:val="auto"/>
          <w:highlight w:val="none"/>
        </w:rPr>
      </w:pPr>
    </w:p>
    <w:p>
      <w:pPr>
        <w:shd w:val="clear"/>
        <w:rPr>
          <w:rFonts w:ascii="宋体" w:hAnsi="宋体"/>
          <w:color w:val="auto"/>
          <w:highlight w:val="none"/>
        </w:rPr>
      </w:pPr>
    </w:p>
    <w:p>
      <w:pPr>
        <w:shd w:val="clear"/>
        <w:spacing w:line="360" w:lineRule="auto"/>
        <w:ind w:right="480"/>
        <w:contextualSpacing/>
        <w:jc w:val="center"/>
        <w:rPr>
          <w:rFonts w:ascii="宋体" w:hAnsi="宋体" w:cs="宋体"/>
          <w:color w:val="auto"/>
          <w:sz w:val="24"/>
          <w:highlight w:val="none"/>
          <w:u w:val="single"/>
        </w:rPr>
      </w:pPr>
      <w:r>
        <w:rPr>
          <w:rFonts w:hint="eastAsia" w:ascii="宋体" w:hAnsi="宋体"/>
          <w:color w:val="auto"/>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pPr>
        <w:shd w:val="clea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 xml:space="preserve">磋商人名称（盖章）： </w:t>
      </w:r>
      <w:r>
        <w:rPr>
          <w:rFonts w:hint="eastAsia" w:ascii="宋体" w:hAnsi="宋体" w:cs="宋体"/>
          <w:color w:val="auto"/>
          <w:sz w:val="24"/>
          <w:highlight w:val="none"/>
          <w:u w:val="single"/>
        </w:rPr>
        <w:t xml:space="preserve">                              </w:t>
      </w:r>
    </w:p>
    <w:p>
      <w:pPr>
        <w:shd w:val="clear"/>
        <w:spacing w:line="500" w:lineRule="exact"/>
        <w:rPr>
          <w:rFonts w:ascii="宋体" w:hAnsi="宋体"/>
          <w:color w:val="auto"/>
          <w:highlight w:val="none"/>
        </w:rPr>
      </w:pPr>
    </w:p>
    <w:p>
      <w:pPr>
        <w:shd w:val="clear"/>
        <w:spacing w:line="500" w:lineRule="exact"/>
        <w:rPr>
          <w:rFonts w:ascii="宋体" w:hAnsi="宋体"/>
          <w:color w:val="auto"/>
          <w:highlight w:val="none"/>
        </w:rPr>
      </w:pPr>
    </w:p>
    <w:p>
      <w:pPr>
        <w:shd w:val="clear"/>
        <w:spacing w:line="500" w:lineRule="exact"/>
        <w:rPr>
          <w:rFonts w:ascii="宋体" w:hAnsi="宋体"/>
          <w:color w:val="auto"/>
          <w:highlight w:val="none"/>
        </w:rPr>
      </w:pPr>
    </w:p>
    <w:p>
      <w:pPr>
        <w:shd w:val="clear"/>
        <w:spacing w:line="500" w:lineRule="exact"/>
        <w:rPr>
          <w:rFonts w:ascii="宋体" w:hAnsi="宋体"/>
          <w:color w:val="auto"/>
          <w:highlight w:val="none"/>
        </w:rPr>
      </w:pPr>
    </w:p>
    <w:p>
      <w:pPr>
        <w:pageBreakBefore/>
        <w:shd w:val="clear"/>
        <w:spacing w:line="300" w:lineRule="auto"/>
        <w:rPr>
          <w:rFonts w:ascii="宋体" w:hAnsi="宋体"/>
          <w:color w:val="auto"/>
          <w:highlight w:val="none"/>
        </w:rPr>
      </w:pPr>
      <w:r>
        <w:rPr>
          <w:rFonts w:hint="eastAsia" w:ascii="宋体" w:hAnsi="宋体"/>
          <w:color w:val="auto"/>
          <w:highlight w:val="none"/>
        </w:rPr>
        <w:t>附件五</w:t>
      </w:r>
    </w:p>
    <w:p>
      <w:pPr>
        <w:shd w:val="clear"/>
        <w:adjustRightInd w:val="0"/>
        <w:snapToGrid w:val="0"/>
        <w:spacing w:line="300" w:lineRule="auto"/>
        <w:jc w:val="center"/>
        <w:rPr>
          <w:rFonts w:ascii="宋体" w:hAnsi="宋体"/>
          <w:b/>
          <w:color w:val="auto"/>
          <w:highlight w:val="none"/>
        </w:rPr>
      </w:pPr>
      <w:r>
        <w:rPr>
          <w:rFonts w:hint="eastAsia" w:ascii="宋体" w:hAnsi="宋体"/>
          <w:b/>
          <w:color w:val="auto"/>
          <w:highlight w:val="none"/>
        </w:rPr>
        <w:t>法定代表人(负责人)授权委托书</w:t>
      </w:r>
    </w:p>
    <w:p>
      <w:pPr>
        <w:shd w:val="clear"/>
        <w:adjustRightInd w:val="0"/>
        <w:snapToGrid w:val="0"/>
        <w:spacing w:line="520" w:lineRule="exact"/>
        <w:rPr>
          <w:rFonts w:ascii="宋体" w:hAnsi="宋体"/>
          <w:color w:val="auto"/>
          <w:highlight w:val="none"/>
        </w:rPr>
      </w:pPr>
    </w:p>
    <w:p>
      <w:pPr>
        <w:shd w:val="clear"/>
        <w:spacing w:line="400" w:lineRule="exact"/>
        <w:rPr>
          <w:rFonts w:ascii="宋体" w:hAnsi="宋体"/>
          <w:color w:val="auto"/>
          <w:highlight w:val="none"/>
        </w:rPr>
      </w:pPr>
      <w:r>
        <w:rPr>
          <w:rFonts w:hint="eastAsia"/>
          <w:color w:val="auto"/>
          <w:highlight w:val="none"/>
          <w:u w:val="single"/>
        </w:rPr>
        <w:t>（采购代理机构名称）</w:t>
      </w:r>
      <w:r>
        <w:rPr>
          <w:rFonts w:hint="eastAsia" w:ascii="宋体" w:hAnsi="宋体"/>
          <w:color w:val="auto"/>
          <w:highlight w:val="none"/>
        </w:rPr>
        <w:t>：</w:t>
      </w:r>
    </w:p>
    <w:p>
      <w:pPr>
        <w:shd w:val="clear"/>
        <w:spacing w:line="520" w:lineRule="exact"/>
        <w:ind w:firstLine="420" w:firstLineChars="200"/>
        <w:rPr>
          <w:rFonts w:ascii="宋体" w:hAnsi="宋体"/>
          <w:color w:val="auto"/>
          <w:highlight w:val="none"/>
        </w:rPr>
      </w:pPr>
      <w:r>
        <w:rPr>
          <w:rFonts w:hint="eastAsia" w:ascii="宋体" w:hAnsi="宋体"/>
          <w:color w:val="auto"/>
          <w:highlight w:val="none"/>
        </w:rPr>
        <w:t>兹授权</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同志为我公司参加贵单位组织的</w:t>
      </w:r>
      <w:r>
        <w:rPr>
          <w:rFonts w:hint="eastAsia" w:ascii="宋体" w:hAnsi="宋体"/>
          <w:color w:val="auto"/>
          <w:highlight w:val="none"/>
          <w:u w:val="single"/>
        </w:rPr>
        <w:t xml:space="preserve">  （项目名称、项目编号）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采购活动的委托代理人，全权代表我公司处理在该项目活动中的一切事宜。代理期限从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日起至</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 xml:space="preserve">日止。 </w:t>
      </w:r>
    </w:p>
    <w:p>
      <w:pPr>
        <w:shd w:val="clear"/>
        <w:spacing w:line="520" w:lineRule="exact"/>
        <w:rPr>
          <w:rFonts w:ascii="宋体" w:hAnsi="宋体"/>
          <w:color w:val="auto"/>
          <w:highlight w:val="none"/>
        </w:rPr>
      </w:pPr>
    </w:p>
    <w:p>
      <w:pPr>
        <w:shd w:val="clear"/>
        <w:spacing w:line="520" w:lineRule="exact"/>
        <w:rPr>
          <w:rFonts w:ascii="宋体" w:hAnsi="宋体"/>
          <w:color w:val="auto"/>
          <w:highlight w:val="none"/>
        </w:rPr>
      </w:pPr>
      <w:r>
        <w:rPr>
          <w:rFonts w:hint="eastAsia" w:ascii="宋体" w:hAnsi="宋体"/>
          <w:color w:val="auto"/>
          <w:highlight w:val="none"/>
        </w:rPr>
        <w:t>供应商（盖章）：</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hd w:val="clear"/>
        <w:spacing w:line="520" w:lineRule="exact"/>
        <w:rPr>
          <w:rFonts w:ascii="宋体" w:hAnsi="宋体"/>
          <w:color w:val="auto"/>
          <w:highlight w:val="none"/>
        </w:rPr>
      </w:pPr>
      <w:r>
        <w:rPr>
          <w:rFonts w:hint="eastAsia" w:ascii="宋体" w:hAnsi="宋体"/>
          <w:color w:val="auto"/>
          <w:highlight w:val="none"/>
        </w:rPr>
        <w:t>法定代表人（签字）：</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hd w:val="clear"/>
        <w:spacing w:line="520" w:lineRule="exact"/>
        <w:rPr>
          <w:rFonts w:ascii="宋体" w:hAnsi="宋体"/>
          <w:color w:val="auto"/>
          <w:highlight w:val="none"/>
        </w:rPr>
      </w:pPr>
      <w:r>
        <w:rPr>
          <w:rFonts w:hint="eastAsia" w:ascii="宋体" w:hAnsi="宋体"/>
          <w:color w:val="auto"/>
          <w:highlight w:val="none"/>
        </w:rPr>
        <w:t>签发日期：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hd w:val="clear"/>
        <w:spacing w:line="520" w:lineRule="exact"/>
        <w:rPr>
          <w:rFonts w:ascii="宋体" w:hAnsi="宋体"/>
          <w:color w:val="auto"/>
          <w:highlight w:val="none"/>
        </w:rPr>
      </w:pPr>
    </w:p>
    <w:p>
      <w:pPr>
        <w:shd w:val="clear"/>
        <w:spacing w:line="520" w:lineRule="exact"/>
        <w:rPr>
          <w:rFonts w:ascii="宋体" w:hAnsi="宋体"/>
          <w:color w:val="auto"/>
          <w:highlight w:val="none"/>
        </w:rPr>
      </w:pPr>
      <w:r>
        <w:rPr>
          <w:rFonts w:hint="eastAsia" w:ascii="宋体" w:hAnsi="宋体"/>
          <w:color w:val="auto"/>
          <w:highlight w:val="none"/>
        </w:rPr>
        <w:t>附：委托代理人工作单位</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hd w:val="clear"/>
        <w:spacing w:line="520" w:lineRule="exact"/>
        <w:ind w:firstLine="420" w:firstLineChars="200"/>
        <w:rPr>
          <w:rFonts w:ascii="宋体" w:hAnsi="宋体"/>
          <w:color w:val="auto"/>
          <w:highlight w:val="none"/>
        </w:rPr>
      </w:pPr>
      <w:r>
        <w:rPr>
          <w:rFonts w:hint="eastAsia" w:ascii="宋体" w:hAnsi="宋体"/>
          <w:color w:val="auto"/>
          <w:highlight w:val="none"/>
        </w:rPr>
        <w:t>职务：</w:t>
      </w:r>
      <w:r>
        <w:rPr>
          <w:rFonts w:hint="eastAsia" w:ascii="宋体" w:hAnsi="宋体"/>
          <w:color w:val="auto"/>
          <w:highlight w:val="none"/>
          <w:u w:val="single"/>
        </w:rPr>
        <w:t xml:space="preserve">                    </w:t>
      </w:r>
      <w:r>
        <w:rPr>
          <w:rFonts w:hint="eastAsia" w:ascii="宋体" w:hAnsi="宋体"/>
          <w:color w:val="auto"/>
          <w:highlight w:val="none"/>
        </w:rPr>
        <w:t xml:space="preserve">      性别：</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hd w:val="clear"/>
        <w:adjustRightInd w:val="0"/>
        <w:snapToGrid w:val="0"/>
        <w:spacing w:line="520" w:lineRule="exact"/>
        <w:ind w:firstLine="420" w:firstLineChars="200"/>
        <w:rPr>
          <w:rFonts w:ascii="宋体" w:hAnsi="宋体"/>
          <w:color w:val="auto"/>
          <w:highlight w:val="none"/>
          <w:u w:val="singl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tbl>
      <w:tblPr>
        <w:tblStyle w:val="39"/>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Borders>
              <w:top w:val="single" w:color="auto" w:sz="4" w:space="0"/>
              <w:left w:val="single" w:color="auto" w:sz="4" w:space="0"/>
              <w:bottom w:val="single" w:color="auto" w:sz="4" w:space="0"/>
              <w:right w:val="single" w:color="auto" w:sz="4" w:space="0"/>
            </w:tcBorders>
          </w:tcPr>
          <w:p>
            <w:pPr>
              <w:shd w:val="clear"/>
              <w:spacing w:line="300" w:lineRule="auto"/>
              <w:rPr>
                <w:rFonts w:ascii="宋体" w:hAnsi="宋体"/>
                <w:color w:val="auto"/>
                <w:highlight w:val="none"/>
              </w:rPr>
            </w:pPr>
            <w:r>
              <w:rPr>
                <w:rFonts w:hint="eastAsia" w:ascii="宋体" w:hAnsi="宋体"/>
                <w:color w:val="auto"/>
                <w:highlight w:val="none"/>
              </w:rPr>
              <w:t>粘贴委托代理人的正面及反面身份证复印件</w:t>
            </w:r>
          </w:p>
        </w:tc>
      </w:tr>
    </w:tbl>
    <w:p>
      <w:pPr>
        <w:shd w:val="clear"/>
        <w:autoSpaceDE w:val="0"/>
        <w:autoSpaceDN w:val="0"/>
        <w:spacing w:line="300" w:lineRule="auto"/>
        <w:ind w:left="480" w:hanging="480"/>
        <w:rPr>
          <w:rFonts w:ascii="宋体" w:hAnsi="宋体"/>
          <w:color w:val="auto"/>
          <w:highlight w:val="none"/>
        </w:rPr>
        <w:sectPr>
          <w:pgSz w:w="11906" w:h="16838"/>
          <w:pgMar w:top="1247" w:right="1474" w:bottom="1247" w:left="1474" w:header="851" w:footer="992" w:gutter="0"/>
          <w:cols w:space="720" w:num="1"/>
          <w:titlePg/>
          <w:docGrid w:type="lines" w:linePitch="312" w:charSpace="0"/>
        </w:sectPr>
      </w:pPr>
    </w:p>
    <w:p>
      <w:pPr>
        <w:shd w:val="clear"/>
        <w:rPr>
          <w:rFonts w:ascii="宋体" w:hAnsi="宋体"/>
          <w:color w:val="auto"/>
          <w:highlight w:val="none"/>
        </w:rPr>
      </w:pPr>
    </w:p>
    <w:p>
      <w:pPr>
        <w:shd w:val="clear"/>
        <w:snapToGrid w:val="0"/>
        <w:spacing w:line="360" w:lineRule="exact"/>
        <w:ind w:firstLine="283" w:firstLineChars="135"/>
        <w:jc w:val="left"/>
        <w:rPr>
          <w:rFonts w:ascii="宋体" w:hAnsi="宋体" w:cs="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eastAsia="zh-CN"/>
        </w:rPr>
        <w:t>六</w:t>
      </w:r>
      <w:r>
        <w:rPr>
          <w:rFonts w:hint="eastAsia" w:ascii="宋体" w:hAnsi="宋体" w:cs="宋体"/>
          <w:color w:val="auto"/>
          <w:highlight w:val="none"/>
        </w:rPr>
        <w:t xml:space="preserve"> 供应商直接控股、管理关系信息表</w:t>
      </w:r>
    </w:p>
    <w:p>
      <w:pPr>
        <w:shd w:val="clear"/>
        <w:snapToGrid w:val="0"/>
        <w:spacing w:before="156" w:beforeLines="50" w:after="50" w:line="360" w:lineRule="auto"/>
        <w:jc w:val="center"/>
        <w:rPr>
          <w:rFonts w:ascii="宋体" w:hAnsi="宋体"/>
          <w:b/>
          <w:color w:val="auto"/>
          <w:sz w:val="24"/>
          <w:highlight w:val="none"/>
        </w:rPr>
      </w:pPr>
    </w:p>
    <w:p>
      <w:pPr>
        <w:shd w:val="clea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pPr>
        <w:shd w:val="clear"/>
        <w:spacing w:line="360" w:lineRule="auto"/>
        <w:contextualSpacing/>
        <w:jc w:val="center"/>
        <w:rPr>
          <w:rFonts w:ascii="宋体" w:hAnsi="宋体"/>
          <w:b/>
          <w:color w:val="auto"/>
          <w:sz w:val="24"/>
          <w:highlight w:val="none"/>
        </w:rPr>
      </w:pPr>
    </w:p>
    <w:tbl>
      <w:tblPr>
        <w:tblStyle w:val="39"/>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r>
    </w:tbl>
    <w:p>
      <w:pPr>
        <w:shd w:val="clea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pPr>
        <w:shd w:val="clea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hd w:val="clea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pPr>
        <w:shd w:val="clea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pPr>
        <w:shd w:val="clear"/>
        <w:spacing w:line="360" w:lineRule="auto"/>
        <w:ind w:firstLine="420" w:firstLineChars="200"/>
        <w:contextualSpacing/>
        <w:jc w:val="left"/>
        <w:rPr>
          <w:rFonts w:ascii="宋体" w:hAnsi="宋体" w:cs="宋体"/>
          <w:color w:val="auto"/>
          <w:highlight w:val="none"/>
        </w:rPr>
      </w:pPr>
    </w:p>
    <w:p>
      <w:pPr>
        <w:shd w:val="clear"/>
        <w:spacing w:line="360" w:lineRule="auto"/>
        <w:ind w:firstLine="560" w:firstLineChars="200"/>
        <w:contextualSpacing/>
        <w:jc w:val="left"/>
        <w:rPr>
          <w:rFonts w:ascii="宋体" w:hAnsi="宋体" w:cs="宋体"/>
          <w:color w:val="auto"/>
          <w:sz w:val="28"/>
          <w:szCs w:val="28"/>
          <w:highlight w:val="none"/>
        </w:rPr>
      </w:pPr>
    </w:p>
    <w:p>
      <w:pPr>
        <w:shd w:val="clea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pPr>
        <w:shd w:val="clea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 xml:space="preserve">磋商人名称（盖章）： </w:t>
      </w:r>
      <w:r>
        <w:rPr>
          <w:rFonts w:hint="eastAsia" w:ascii="宋体" w:hAnsi="宋体" w:cs="宋体"/>
          <w:color w:val="auto"/>
          <w:sz w:val="24"/>
          <w:highlight w:val="none"/>
          <w:u w:val="single"/>
        </w:rPr>
        <w:t xml:space="preserve">                              </w:t>
      </w:r>
    </w:p>
    <w:p>
      <w:pPr>
        <w:pStyle w:val="2"/>
        <w:shd w:val="clear"/>
        <w:rPr>
          <w:color w:val="auto"/>
          <w:highlight w:val="none"/>
        </w:rPr>
      </w:pPr>
    </w:p>
    <w:p>
      <w:pPr>
        <w:shd w:val="clear"/>
        <w:spacing w:line="360" w:lineRule="auto"/>
        <w:ind w:firstLine="480" w:firstLineChars="200"/>
        <w:contextualSpacing/>
        <w:jc w:val="right"/>
        <w:rPr>
          <w:rFonts w:ascii="宋体" w:hAnsi="宋体" w:cs="宋体"/>
          <w:color w:val="auto"/>
          <w:sz w:val="28"/>
          <w:szCs w:val="28"/>
          <w:highlight w:val="none"/>
        </w:rPr>
      </w:pPr>
      <w:r>
        <w:rPr>
          <w:rFonts w:hint="eastAsia" w:ascii="宋体" w:hAnsi="宋体" w:cs="宋体"/>
          <w:color w:val="auto"/>
          <w:sz w:val="24"/>
          <w:highlight w:val="none"/>
        </w:rPr>
        <w:t>年    月    日</w:t>
      </w:r>
    </w:p>
    <w:p>
      <w:pPr>
        <w:shd w:val="clea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pPr>
        <w:shd w:val="clear"/>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pPr>
        <w:shd w:val="clear"/>
        <w:snapToGrid w:val="0"/>
        <w:spacing w:line="360" w:lineRule="auto"/>
        <w:jc w:val="center"/>
        <w:rPr>
          <w:rFonts w:ascii="宋体" w:hAnsi="宋体"/>
          <w:b/>
          <w:color w:val="auto"/>
          <w:sz w:val="24"/>
          <w:highlight w:val="none"/>
        </w:rPr>
      </w:pPr>
    </w:p>
    <w:tbl>
      <w:tblPr>
        <w:tblStyle w:val="39"/>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hd w:val="clear"/>
              <w:spacing w:line="360" w:lineRule="auto"/>
              <w:contextualSpacing/>
              <w:jc w:val="center"/>
              <w:rPr>
                <w:rFonts w:ascii="宋体" w:hAnsi="宋体" w:cs="宋体"/>
                <w:color w:val="auto"/>
                <w:kern w:val="0"/>
                <w:sz w:val="24"/>
                <w:highlight w:val="none"/>
              </w:rPr>
            </w:pPr>
          </w:p>
        </w:tc>
      </w:tr>
    </w:tbl>
    <w:p>
      <w:pPr>
        <w:shd w:val="clea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pPr>
        <w:shd w:val="clea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hd w:val="clea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hd w:val="clea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pPr>
        <w:shd w:val="clear"/>
        <w:spacing w:line="360" w:lineRule="auto"/>
        <w:contextualSpacing/>
        <w:jc w:val="left"/>
        <w:rPr>
          <w:rFonts w:ascii="宋体" w:hAnsi="宋体"/>
          <w:color w:val="auto"/>
          <w:sz w:val="28"/>
          <w:szCs w:val="28"/>
          <w:highlight w:val="none"/>
        </w:rPr>
      </w:pPr>
    </w:p>
    <w:p>
      <w:pPr>
        <w:shd w:val="clear"/>
        <w:spacing w:line="360" w:lineRule="auto"/>
        <w:contextualSpacing/>
        <w:jc w:val="left"/>
        <w:rPr>
          <w:rFonts w:ascii="宋体" w:hAnsi="宋体"/>
          <w:color w:val="auto"/>
          <w:sz w:val="28"/>
          <w:szCs w:val="28"/>
          <w:highlight w:val="none"/>
        </w:rPr>
      </w:pPr>
    </w:p>
    <w:p>
      <w:pPr>
        <w:shd w:val="clear"/>
        <w:spacing w:line="360" w:lineRule="auto"/>
        <w:contextualSpacing/>
        <w:jc w:val="left"/>
        <w:rPr>
          <w:rFonts w:ascii="宋体" w:hAnsi="宋体"/>
          <w:color w:val="auto"/>
          <w:sz w:val="28"/>
          <w:szCs w:val="28"/>
          <w:highlight w:val="none"/>
        </w:rPr>
      </w:pPr>
    </w:p>
    <w:p>
      <w:pPr>
        <w:shd w:val="clear"/>
        <w:spacing w:line="360" w:lineRule="auto"/>
        <w:ind w:right="480"/>
        <w:contextualSpacing/>
        <w:jc w:val="center"/>
        <w:rPr>
          <w:rFonts w:ascii="宋体" w:hAnsi="宋体" w:cs="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pPr>
        <w:shd w:val="clea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 xml:space="preserve">磋商人名称（盖章）： </w:t>
      </w:r>
      <w:r>
        <w:rPr>
          <w:rFonts w:hint="eastAsia" w:ascii="宋体" w:hAnsi="宋体" w:cs="宋体"/>
          <w:color w:val="auto"/>
          <w:sz w:val="24"/>
          <w:highlight w:val="none"/>
          <w:u w:val="single"/>
        </w:rPr>
        <w:t xml:space="preserve">                              </w:t>
      </w:r>
    </w:p>
    <w:p>
      <w:pPr>
        <w:pStyle w:val="2"/>
        <w:shd w:val="clear"/>
        <w:rPr>
          <w:color w:val="auto"/>
          <w:highlight w:val="none"/>
        </w:rPr>
      </w:pPr>
    </w:p>
    <w:p>
      <w:pPr>
        <w:shd w:val="clear"/>
        <w:spacing w:line="360" w:lineRule="auto"/>
        <w:ind w:firstLine="480" w:firstLineChars="200"/>
        <w:contextualSpacing/>
        <w:jc w:val="right"/>
        <w:rPr>
          <w:rFonts w:ascii="宋体" w:hAnsi="宋体" w:cs="宋体"/>
          <w:color w:val="auto"/>
          <w:sz w:val="28"/>
          <w:szCs w:val="28"/>
          <w:highlight w:val="none"/>
        </w:rPr>
      </w:pPr>
      <w:r>
        <w:rPr>
          <w:rFonts w:hint="eastAsia" w:ascii="宋体" w:hAnsi="宋体" w:cs="宋体"/>
          <w:color w:val="auto"/>
          <w:sz w:val="24"/>
          <w:highlight w:val="none"/>
        </w:rPr>
        <w:t>年    月    日</w:t>
      </w:r>
    </w:p>
    <w:p>
      <w:pPr>
        <w:shd w:val="clear"/>
        <w:rPr>
          <w:rFonts w:ascii="宋体" w:hAnsi="宋体"/>
          <w:color w:val="auto"/>
          <w:highlight w:val="none"/>
        </w:rPr>
      </w:pPr>
      <w:r>
        <w:rPr>
          <w:rFonts w:hint="eastAsia" w:ascii="宋体" w:hAnsi="宋体"/>
          <w:color w:val="auto"/>
          <w:highlight w:val="none"/>
        </w:rPr>
        <w:br w:type="page"/>
      </w:r>
    </w:p>
    <w:p>
      <w:pPr>
        <w:pageBreakBefore/>
        <w:shd w:val="clear"/>
        <w:spacing w:line="300" w:lineRule="auto"/>
        <w:rPr>
          <w:rFonts w:hint="eastAsia" w:ascii="宋体" w:hAnsi="宋体" w:eastAsia="宋体"/>
          <w:color w:val="auto"/>
          <w:highlight w:val="none"/>
          <w:lang w:eastAsia="zh-CN"/>
        </w:rPr>
      </w:pPr>
      <w:r>
        <w:rPr>
          <w:rFonts w:hint="eastAsia" w:ascii="宋体" w:hAnsi="宋体"/>
          <w:color w:val="auto"/>
          <w:highlight w:val="none"/>
        </w:rPr>
        <w:t>附件</w:t>
      </w:r>
      <w:r>
        <w:rPr>
          <w:rFonts w:hint="eastAsia" w:ascii="宋体" w:hAnsi="宋体"/>
          <w:color w:val="auto"/>
          <w:highlight w:val="none"/>
          <w:lang w:eastAsia="zh-CN"/>
        </w:rPr>
        <w:t>七</w:t>
      </w:r>
    </w:p>
    <w:p>
      <w:pPr>
        <w:shd w:val="clear"/>
        <w:snapToGrid w:val="0"/>
        <w:spacing w:line="3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竞标声明</w:t>
      </w:r>
    </w:p>
    <w:p>
      <w:pPr>
        <w:shd w:val="clear"/>
        <w:snapToGrid w:val="0"/>
        <w:spacing w:line="360" w:lineRule="exact"/>
        <w:ind w:firstLine="411" w:firstLineChars="196"/>
        <w:jc w:val="center"/>
        <w:rPr>
          <w:rFonts w:ascii="宋体" w:hAnsi="宋体"/>
          <w:color w:val="auto"/>
          <w:highlight w:val="none"/>
        </w:rPr>
      </w:pPr>
    </w:p>
    <w:p>
      <w:pPr>
        <w:shd w:val="clea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 xml:space="preserve">（供应商名称）        </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hd w:val="clea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1"/>
        <w:shd w:val="clear"/>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pPr>
        <w:pStyle w:val="21"/>
        <w:shd w:val="clear"/>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9"/>
        <w:shd w:val="clear"/>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pPr>
        <w:pStyle w:val="19"/>
        <w:shd w:val="clear"/>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pPr>
        <w:pStyle w:val="19"/>
        <w:shd w:val="clear"/>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pPr>
        <w:shd w:val="clear"/>
        <w:spacing w:line="360" w:lineRule="auto"/>
        <w:contextualSpacing/>
        <w:jc w:val="left"/>
        <w:rPr>
          <w:rFonts w:ascii="宋体" w:hAnsi="宋体" w:cs="宋体"/>
          <w:color w:val="auto"/>
          <w:highlight w:val="none"/>
        </w:rPr>
      </w:pPr>
    </w:p>
    <w:p>
      <w:pPr>
        <w:shd w:val="clear"/>
        <w:spacing w:line="360" w:lineRule="auto"/>
        <w:ind w:firstLine="2520" w:firstLineChars="1050"/>
        <w:contextualSpacing/>
        <w:rPr>
          <w:color w:val="auto"/>
          <w:highlight w:val="none"/>
        </w:rPr>
      </w:pPr>
      <w:r>
        <w:rPr>
          <w:rFonts w:hint="eastAsia" w:ascii="宋体" w:hAnsi="宋体"/>
          <w:color w:val="auto"/>
          <w:sz w:val="24"/>
          <w:highlight w:val="none"/>
        </w:rPr>
        <w:t>法定代表人（签字或者盖章</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pPr>
        <w:shd w:val="clear"/>
        <w:spacing w:line="360" w:lineRule="auto"/>
        <w:ind w:right="480" w:firstLine="2400" w:firstLineChars="1000"/>
        <w:contextualSpacing/>
        <w:rPr>
          <w:rFonts w:ascii="宋体" w:hAnsi="宋体" w:cs="宋体"/>
          <w:color w:val="auto"/>
          <w:sz w:val="24"/>
          <w:highlight w:val="none"/>
          <w:u w:val="single"/>
        </w:rPr>
      </w:pPr>
      <w:r>
        <w:rPr>
          <w:rFonts w:hint="eastAsia" w:ascii="宋体" w:hAnsi="宋体" w:cs="宋体"/>
          <w:color w:val="auto"/>
          <w:sz w:val="24"/>
          <w:highlight w:val="none"/>
        </w:rPr>
        <w:t xml:space="preserve">磋商人名称（盖章）： </w:t>
      </w:r>
      <w:r>
        <w:rPr>
          <w:rFonts w:hint="eastAsia" w:ascii="宋体" w:hAnsi="宋体" w:cs="宋体"/>
          <w:color w:val="auto"/>
          <w:sz w:val="24"/>
          <w:highlight w:val="none"/>
          <w:u w:val="single"/>
        </w:rPr>
        <w:t xml:space="preserve">                              </w:t>
      </w:r>
    </w:p>
    <w:p>
      <w:pPr>
        <w:pStyle w:val="19"/>
        <w:shd w:val="clear"/>
        <w:tabs>
          <w:tab w:val="left" w:pos="939"/>
        </w:tabs>
        <w:spacing w:line="360" w:lineRule="auto"/>
        <w:ind w:left="0" w:leftChars="0" w:firstLine="420" w:firstLineChars="200"/>
        <w:rPr>
          <w:color w:val="auto"/>
          <w:sz w:val="24"/>
          <w:highlight w:val="none"/>
        </w:rPr>
      </w:pPr>
      <w:r>
        <w:rPr>
          <w:rFonts w:hint="eastAsia" w:ascii="宋体" w:hAnsi="宋体" w:cs="宋体"/>
          <w:color w:val="auto"/>
          <w:highlight w:val="none"/>
        </w:rPr>
        <w:t xml:space="preserve">                                                        </w:t>
      </w:r>
      <w:r>
        <w:rPr>
          <w:rFonts w:hint="eastAsia"/>
          <w:color w:val="auto"/>
          <w:highlight w:val="none"/>
        </w:rPr>
        <w:t xml:space="preserve"> 年    月    日</w:t>
      </w:r>
    </w:p>
    <w:p>
      <w:pPr>
        <w:pStyle w:val="21"/>
        <w:shd w:val="clear"/>
        <w:tabs>
          <w:tab w:val="left" w:pos="5580"/>
        </w:tabs>
        <w:spacing w:line="360" w:lineRule="auto"/>
        <w:ind w:left="1080" w:leftChars="257" w:hanging="540"/>
        <w:rPr>
          <w:rFonts w:hAnsi="宋体"/>
          <w:color w:val="auto"/>
          <w:sz w:val="24"/>
          <w:highlight w:val="none"/>
        </w:rPr>
      </w:pPr>
    </w:p>
    <w:p>
      <w:pPr>
        <w:shd w:val="clear"/>
        <w:rPr>
          <w:rFonts w:ascii="宋体" w:hAnsi="宋体" w:cs="宋体"/>
          <w:color w:val="auto"/>
          <w:kern w:val="0"/>
          <w:sz w:val="28"/>
          <w:szCs w:val="28"/>
          <w:highlight w:val="none"/>
        </w:rPr>
      </w:pPr>
    </w:p>
    <w:p>
      <w:pPr>
        <w:shd w:val="clear"/>
        <w:rPr>
          <w:rFonts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p>
    <w:p>
      <w:pPr>
        <w:pageBreakBefore/>
        <w:shd w:val="clear"/>
        <w:autoSpaceDE w:val="0"/>
        <w:autoSpaceDN w:val="0"/>
        <w:spacing w:line="300" w:lineRule="auto"/>
        <w:ind w:left="482" w:hanging="482"/>
        <w:rPr>
          <w:rFonts w:ascii="宋体" w:hAnsi="宋体"/>
          <w:color w:val="auto"/>
          <w:highlight w:val="none"/>
        </w:rPr>
      </w:pPr>
    </w:p>
    <w:p>
      <w:pPr>
        <w:shd w:val="clear"/>
        <w:spacing w:line="300" w:lineRule="auto"/>
        <w:ind w:left="420" w:hanging="420"/>
        <w:jc w:val="center"/>
        <w:rPr>
          <w:rFonts w:ascii="宋体" w:hAnsi="宋体"/>
          <w:b/>
          <w:color w:val="auto"/>
          <w:kern w:val="0"/>
          <w:highlight w:val="none"/>
        </w:rPr>
      </w:pPr>
    </w:p>
    <w:p>
      <w:pPr>
        <w:shd w:val="clear"/>
        <w:spacing w:line="300" w:lineRule="auto"/>
        <w:ind w:left="420" w:hanging="420"/>
        <w:jc w:val="center"/>
        <w:rPr>
          <w:rFonts w:ascii="宋体" w:hAnsi="宋体"/>
          <w:b/>
          <w:color w:val="auto"/>
          <w:kern w:val="0"/>
          <w:highlight w:val="none"/>
        </w:rPr>
      </w:pPr>
    </w:p>
    <w:p>
      <w:pPr>
        <w:shd w:val="clear"/>
        <w:spacing w:line="300" w:lineRule="auto"/>
        <w:ind w:left="420" w:hanging="420"/>
        <w:jc w:val="center"/>
        <w:rPr>
          <w:rFonts w:ascii="宋体" w:hAnsi="宋体"/>
          <w:b/>
          <w:color w:val="auto"/>
          <w:kern w:val="0"/>
          <w:highlight w:val="none"/>
        </w:rPr>
      </w:pPr>
    </w:p>
    <w:p>
      <w:pPr>
        <w:shd w:val="clear"/>
        <w:spacing w:line="300" w:lineRule="auto"/>
        <w:ind w:left="420" w:hanging="420"/>
        <w:jc w:val="center"/>
        <w:rPr>
          <w:rFonts w:ascii="宋体" w:hAnsi="宋体"/>
          <w:b/>
          <w:color w:val="auto"/>
          <w:kern w:val="0"/>
          <w:highlight w:val="none"/>
        </w:rPr>
      </w:pPr>
    </w:p>
    <w:p>
      <w:pPr>
        <w:shd w:val="clear"/>
        <w:spacing w:line="300" w:lineRule="auto"/>
        <w:ind w:left="420" w:hanging="420"/>
        <w:jc w:val="center"/>
        <w:rPr>
          <w:rFonts w:ascii="宋体" w:hAnsi="宋体"/>
          <w:b/>
          <w:color w:val="auto"/>
          <w:kern w:val="0"/>
          <w:highlight w:val="none"/>
        </w:rPr>
      </w:pPr>
    </w:p>
    <w:p>
      <w:pPr>
        <w:shd w:val="clear"/>
        <w:spacing w:line="300" w:lineRule="auto"/>
        <w:ind w:left="420" w:hanging="420"/>
        <w:jc w:val="center"/>
        <w:rPr>
          <w:rFonts w:ascii="宋体" w:hAnsi="宋体"/>
          <w:b/>
          <w:color w:val="auto"/>
          <w:kern w:val="0"/>
          <w:highlight w:val="none"/>
        </w:rPr>
      </w:pPr>
    </w:p>
    <w:p>
      <w:pPr>
        <w:shd w:val="clear"/>
        <w:spacing w:line="300" w:lineRule="auto"/>
        <w:ind w:left="420" w:hanging="420"/>
        <w:jc w:val="center"/>
        <w:rPr>
          <w:rFonts w:ascii="宋体" w:hAnsi="宋体"/>
          <w:b/>
          <w:color w:val="auto"/>
          <w:kern w:val="0"/>
          <w:highlight w:val="none"/>
        </w:rPr>
      </w:pPr>
    </w:p>
    <w:p>
      <w:pPr>
        <w:shd w:val="clear"/>
        <w:spacing w:line="300" w:lineRule="auto"/>
        <w:ind w:left="420" w:hanging="420"/>
        <w:jc w:val="center"/>
        <w:rPr>
          <w:rFonts w:ascii="宋体" w:hAnsi="宋体"/>
          <w:b/>
          <w:color w:val="auto"/>
          <w:kern w:val="0"/>
          <w:highlight w:val="none"/>
        </w:rPr>
      </w:pPr>
    </w:p>
    <w:p>
      <w:pPr>
        <w:shd w:val="clear"/>
        <w:spacing w:line="300" w:lineRule="auto"/>
        <w:ind w:left="420" w:hanging="420"/>
        <w:jc w:val="center"/>
        <w:rPr>
          <w:rFonts w:ascii="宋体" w:hAnsi="宋体"/>
          <w:b/>
          <w:color w:val="auto"/>
          <w:kern w:val="0"/>
          <w:highlight w:val="none"/>
        </w:rPr>
      </w:pPr>
    </w:p>
    <w:p>
      <w:pPr>
        <w:shd w:val="clear"/>
        <w:spacing w:line="300" w:lineRule="auto"/>
        <w:ind w:left="420" w:hanging="420"/>
        <w:jc w:val="center"/>
        <w:rPr>
          <w:rFonts w:ascii="宋体" w:hAnsi="宋体"/>
          <w:b/>
          <w:color w:val="auto"/>
          <w:kern w:val="0"/>
          <w:highlight w:val="none"/>
        </w:rPr>
      </w:pPr>
    </w:p>
    <w:p>
      <w:pPr>
        <w:shd w:val="clear"/>
        <w:spacing w:line="300" w:lineRule="auto"/>
        <w:ind w:left="420" w:hanging="420"/>
        <w:jc w:val="center"/>
        <w:rPr>
          <w:rFonts w:ascii="宋体" w:hAnsi="宋体"/>
          <w:b/>
          <w:color w:val="auto"/>
          <w:kern w:val="0"/>
          <w:highlight w:val="none"/>
        </w:rPr>
      </w:pPr>
    </w:p>
    <w:p>
      <w:pPr>
        <w:shd w:val="clear"/>
        <w:spacing w:line="300" w:lineRule="auto"/>
        <w:ind w:left="420" w:hanging="420"/>
        <w:jc w:val="center"/>
        <w:rPr>
          <w:rFonts w:ascii="宋体" w:hAnsi="宋体"/>
          <w:b/>
          <w:color w:val="auto"/>
          <w:kern w:val="0"/>
          <w:highlight w:val="none"/>
        </w:rPr>
      </w:pPr>
    </w:p>
    <w:p>
      <w:pPr>
        <w:pStyle w:val="3"/>
        <w:shd w:val="clear"/>
        <w:jc w:val="center"/>
        <w:rPr>
          <w:rFonts w:ascii="宋体" w:hAnsi="宋体"/>
          <w:color w:val="auto"/>
          <w:highlight w:val="none"/>
        </w:rPr>
      </w:pPr>
      <w:bookmarkStart w:id="19" w:name="_Toc2573"/>
      <w:bookmarkStart w:id="20" w:name="_Toc19509"/>
      <w:bookmarkStart w:id="21" w:name="_Toc3752"/>
      <w:bookmarkStart w:id="22" w:name="_Toc18481388"/>
      <w:r>
        <w:rPr>
          <w:rFonts w:hint="eastAsia" w:ascii="宋体" w:hAnsi="宋体"/>
          <w:color w:val="auto"/>
          <w:highlight w:val="none"/>
        </w:rPr>
        <w:t>第五章  合同主要条款</w:t>
      </w:r>
      <w:bookmarkEnd w:id="19"/>
      <w:bookmarkEnd w:id="20"/>
      <w:bookmarkEnd w:id="21"/>
      <w:bookmarkEnd w:id="22"/>
    </w:p>
    <w:p>
      <w:pPr>
        <w:shd w:val="clear"/>
        <w:spacing w:line="300" w:lineRule="auto"/>
        <w:ind w:left="420" w:hanging="420"/>
        <w:jc w:val="center"/>
        <w:rPr>
          <w:rFonts w:ascii="宋体" w:hAnsi="宋体"/>
          <w:b/>
          <w:color w:val="auto"/>
          <w:kern w:val="0"/>
          <w:highlight w:val="none"/>
        </w:rPr>
      </w:pPr>
    </w:p>
    <w:p>
      <w:pPr>
        <w:pStyle w:val="21"/>
        <w:pageBreakBefore/>
        <w:shd w:val="clear"/>
        <w:jc w:val="center"/>
        <w:rPr>
          <w:rFonts w:hAnsi="宋体"/>
          <w:b/>
          <w:color w:val="auto"/>
          <w:kern w:val="0"/>
          <w:highlight w:val="none"/>
        </w:rPr>
      </w:pPr>
    </w:p>
    <w:p>
      <w:pPr>
        <w:pStyle w:val="21"/>
        <w:shd w:val="clear"/>
        <w:jc w:val="center"/>
        <w:rPr>
          <w:rFonts w:hAnsi="宋体"/>
          <w:b/>
          <w:color w:val="auto"/>
          <w:kern w:val="0"/>
          <w:highlight w:val="none"/>
        </w:rPr>
      </w:pPr>
    </w:p>
    <w:p>
      <w:pPr>
        <w:pStyle w:val="21"/>
        <w:shd w:val="clear"/>
        <w:jc w:val="center"/>
        <w:rPr>
          <w:rFonts w:hAnsi="宋体"/>
          <w:b/>
          <w:color w:val="auto"/>
          <w:kern w:val="0"/>
          <w:highlight w:val="none"/>
        </w:rPr>
      </w:pPr>
    </w:p>
    <w:p>
      <w:pPr>
        <w:pStyle w:val="21"/>
        <w:shd w:val="clear"/>
        <w:jc w:val="center"/>
        <w:rPr>
          <w:rFonts w:hAnsi="宋体"/>
          <w:b/>
          <w:color w:val="auto"/>
          <w:kern w:val="0"/>
          <w:highlight w:val="none"/>
        </w:rPr>
      </w:pPr>
    </w:p>
    <w:p>
      <w:pPr>
        <w:pStyle w:val="21"/>
        <w:shd w:val="clear"/>
        <w:jc w:val="center"/>
        <w:rPr>
          <w:rFonts w:hAnsi="宋体"/>
          <w:b/>
          <w:color w:val="auto"/>
          <w:kern w:val="0"/>
          <w:highlight w:val="none"/>
        </w:rPr>
      </w:pPr>
    </w:p>
    <w:p>
      <w:pPr>
        <w:pStyle w:val="21"/>
        <w:shd w:val="clear"/>
        <w:jc w:val="center"/>
        <w:rPr>
          <w:rFonts w:hAnsi="宋体"/>
          <w:b/>
          <w:color w:val="auto"/>
          <w:sz w:val="52"/>
          <w:szCs w:val="52"/>
          <w:highlight w:val="none"/>
        </w:rPr>
      </w:pPr>
      <w:r>
        <w:rPr>
          <w:rFonts w:hint="eastAsia" w:hAnsi="宋体"/>
          <w:b/>
          <w:color w:val="auto"/>
          <w:sz w:val="52"/>
          <w:szCs w:val="52"/>
          <w:highlight w:val="none"/>
        </w:rPr>
        <w:t>采购合同</w:t>
      </w:r>
    </w:p>
    <w:p>
      <w:pPr>
        <w:pStyle w:val="21"/>
        <w:shd w:val="clear"/>
        <w:rPr>
          <w:rFonts w:hAnsi="宋体"/>
          <w:color w:val="auto"/>
          <w:highlight w:val="none"/>
        </w:rPr>
      </w:pPr>
    </w:p>
    <w:p>
      <w:pPr>
        <w:pStyle w:val="21"/>
        <w:shd w:val="clear"/>
        <w:rPr>
          <w:rFonts w:hAnsi="宋体"/>
          <w:color w:val="auto"/>
          <w:highlight w:val="none"/>
        </w:rPr>
      </w:pPr>
    </w:p>
    <w:p>
      <w:pPr>
        <w:pStyle w:val="21"/>
        <w:shd w:val="clear"/>
        <w:rPr>
          <w:rFonts w:hAnsi="宋体"/>
          <w:color w:val="auto"/>
          <w:highlight w:val="none"/>
        </w:rPr>
      </w:pPr>
    </w:p>
    <w:p>
      <w:pPr>
        <w:pStyle w:val="21"/>
        <w:shd w:val="clear"/>
        <w:rPr>
          <w:rFonts w:hAnsi="宋体"/>
          <w:color w:val="auto"/>
          <w:highlight w:val="none"/>
        </w:rPr>
      </w:pPr>
    </w:p>
    <w:p>
      <w:pPr>
        <w:pStyle w:val="21"/>
        <w:shd w:val="clear"/>
        <w:rPr>
          <w:rFonts w:hAnsi="宋体"/>
          <w:color w:val="auto"/>
          <w:highlight w:val="none"/>
        </w:rPr>
      </w:pPr>
    </w:p>
    <w:p>
      <w:pPr>
        <w:shd w:val="clear"/>
        <w:tabs>
          <w:tab w:val="left" w:pos="721"/>
          <w:tab w:val="left" w:pos="7920"/>
        </w:tabs>
        <w:snapToGrid w:val="0"/>
        <w:spacing w:line="360" w:lineRule="exact"/>
        <w:ind w:firstLine="1306" w:firstLineChars="500"/>
        <w:rPr>
          <w:rFonts w:ascii="宋体" w:hAnsi="宋体"/>
          <w:b/>
          <w:color w:val="auto"/>
          <w:sz w:val="30"/>
          <w:szCs w:val="30"/>
          <w:highlight w:val="none"/>
        </w:rPr>
      </w:pPr>
      <w:r>
        <w:rPr>
          <w:rFonts w:hint="eastAsia" w:ascii="宋体" w:hAnsi="宋体"/>
          <w:b/>
          <w:color w:val="auto"/>
          <w:spacing w:val="-20"/>
          <w:sz w:val="30"/>
          <w:szCs w:val="30"/>
          <w:highlight w:val="none"/>
        </w:rPr>
        <w:t>合</w:t>
      </w:r>
      <w:r>
        <w:rPr>
          <w:rFonts w:ascii="宋体" w:hAnsi="宋体"/>
          <w:b/>
          <w:color w:val="auto"/>
          <w:spacing w:val="-20"/>
          <w:sz w:val="30"/>
          <w:szCs w:val="30"/>
          <w:highlight w:val="none"/>
        </w:rPr>
        <w:t xml:space="preserve"> </w:t>
      </w:r>
      <w:r>
        <w:rPr>
          <w:rFonts w:hint="eastAsia" w:ascii="宋体" w:hAnsi="宋体"/>
          <w:b/>
          <w:color w:val="auto"/>
          <w:spacing w:val="-20"/>
          <w:sz w:val="30"/>
          <w:szCs w:val="30"/>
          <w:highlight w:val="none"/>
        </w:rPr>
        <w:t>同</w:t>
      </w:r>
      <w:r>
        <w:rPr>
          <w:rFonts w:ascii="宋体" w:hAnsi="宋体"/>
          <w:b/>
          <w:color w:val="auto"/>
          <w:spacing w:val="-20"/>
          <w:sz w:val="30"/>
          <w:szCs w:val="30"/>
          <w:highlight w:val="none"/>
        </w:rPr>
        <w:t xml:space="preserve"> </w:t>
      </w:r>
      <w:r>
        <w:rPr>
          <w:rFonts w:hint="eastAsia" w:ascii="宋体" w:hAnsi="宋体"/>
          <w:b/>
          <w:color w:val="auto"/>
          <w:spacing w:val="-20"/>
          <w:sz w:val="30"/>
          <w:szCs w:val="30"/>
          <w:highlight w:val="none"/>
        </w:rPr>
        <w:t>名</w:t>
      </w:r>
      <w:r>
        <w:rPr>
          <w:rFonts w:ascii="宋体" w:hAnsi="宋体"/>
          <w:b/>
          <w:color w:val="auto"/>
          <w:spacing w:val="-20"/>
          <w:sz w:val="30"/>
          <w:szCs w:val="30"/>
          <w:highlight w:val="none"/>
        </w:rPr>
        <w:t xml:space="preserve"> </w:t>
      </w:r>
      <w:r>
        <w:rPr>
          <w:rFonts w:hint="eastAsia" w:ascii="宋体" w:hAnsi="宋体"/>
          <w:b/>
          <w:color w:val="auto"/>
          <w:spacing w:val="-20"/>
          <w:sz w:val="30"/>
          <w:szCs w:val="30"/>
          <w:highlight w:val="none"/>
        </w:rPr>
        <w:t>称：</w:t>
      </w:r>
      <w:r>
        <w:rPr>
          <w:rFonts w:ascii="宋体" w:hAnsi="宋体"/>
          <w:b/>
          <w:color w:val="auto"/>
          <w:sz w:val="30"/>
          <w:szCs w:val="30"/>
          <w:highlight w:val="none"/>
          <w:u w:val="single"/>
        </w:rPr>
        <w:t xml:space="preserve">                                 </w:t>
      </w:r>
    </w:p>
    <w:p>
      <w:pPr>
        <w:shd w:val="clear"/>
        <w:tabs>
          <w:tab w:val="left" w:pos="721"/>
        </w:tabs>
        <w:snapToGrid w:val="0"/>
        <w:spacing w:line="360" w:lineRule="exact"/>
        <w:rPr>
          <w:rFonts w:ascii="宋体" w:hAnsi="宋体"/>
          <w:b/>
          <w:color w:val="auto"/>
          <w:spacing w:val="-20"/>
          <w:sz w:val="30"/>
          <w:szCs w:val="30"/>
          <w:highlight w:val="none"/>
        </w:rPr>
      </w:pPr>
    </w:p>
    <w:p>
      <w:pPr>
        <w:shd w:val="clear"/>
        <w:tabs>
          <w:tab w:val="left" w:pos="721"/>
        </w:tabs>
        <w:snapToGrid w:val="0"/>
        <w:spacing w:line="360" w:lineRule="exact"/>
        <w:ind w:firstLine="1306" w:firstLineChars="500"/>
        <w:rPr>
          <w:rFonts w:ascii="宋体" w:hAnsi="宋体"/>
          <w:b/>
          <w:color w:val="auto"/>
          <w:spacing w:val="-20"/>
          <w:sz w:val="30"/>
          <w:szCs w:val="30"/>
          <w:highlight w:val="none"/>
        </w:rPr>
      </w:pPr>
    </w:p>
    <w:p>
      <w:pPr>
        <w:shd w:val="clear"/>
        <w:tabs>
          <w:tab w:val="left" w:pos="721"/>
        </w:tabs>
        <w:snapToGrid w:val="0"/>
        <w:spacing w:line="360" w:lineRule="exact"/>
        <w:ind w:firstLine="1306" w:firstLineChars="500"/>
        <w:rPr>
          <w:rFonts w:ascii="宋体" w:hAnsi="宋体"/>
          <w:b/>
          <w:color w:val="auto"/>
          <w:sz w:val="30"/>
          <w:szCs w:val="30"/>
          <w:highlight w:val="none"/>
          <w:u w:val="single"/>
        </w:rPr>
      </w:pPr>
      <w:r>
        <w:rPr>
          <w:rFonts w:hint="eastAsia" w:ascii="宋体" w:hAnsi="宋体"/>
          <w:b/>
          <w:color w:val="auto"/>
          <w:spacing w:val="-20"/>
          <w:sz w:val="30"/>
          <w:szCs w:val="30"/>
          <w:highlight w:val="none"/>
        </w:rPr>
        <w:t>合</w:t>
      </w:r>
      <w:r>
        <w:rPr>
          <w:rFonts w:ascii="宋体" w:hAnsi="宋体"/>
          <w:b/>
          <w:color w:val="auto"/>
          <w:spacing w:val="-20"/>
          <w:sz w:val="30"/>
          <w:szCs w:val="30"/>
          <w:highlight w:val="none"/>
        </w:rPr>
        <w:t xml:space="preserve"> </w:t>
      </w:r>
      <w:r>
        <w:rPr>
          <w:rFonts w:hint="eastAsia" w:ascii="宋体" w:hAnsi="宋体"/>
          <w:b/>
          <w:color w:val="auto"/>
          <w:spacing w:val="-20"/>
          <w:sz w:val="30"/>
          <w:szCs w:val="30"/>
          <w:highlight w:val="none"/>
        </w:rPr>
        <w:t>同</w:t>
      </w:r>
      <w:r>
        <w:rPr>
          <w:rFonts w:ascii="宋体" w:hAnsi="宋体"/>
          <w:b/>
          <w:color w:val="auto"/>
          <w:spacing w:val="-20"/>
          <w:sz w:val="30"/>
          <w:szCs w:val="30"/>
          <w:highlight w:val="none"/>
        </w:rPr>
        <w:t xml:space="preserve"> </w:t>
      </w:r>
      <w:r>
        <w:rPr>
          <w:rFonts w:hint="eastAsia" w:ascii="宋体" w:hAnsi="宋体"/>
          <w:b/>
          <w:color w:val="auto"/>
          <w:spacing w:val="-20"/>
          <w:sz w:val="30"/>
          <w:szCs w:val="30"/>
          <w:highlight w:val="none"/>
        </w:rPr>
        <w:t>编</w:t>
      </w:r>
      <w:r>
        <w:rPr>
          <w:rFonts w:ascii="宋体" w:hAnsi="宋体"/>
          <w:b/>
          <w:color w:val="auto"/>
          <w:spacing w:val="-20"/>
          <w:sz w:val="30"/>
          <w:szCs w:val="30"/>
          <w:highlight w:val="none"/>
        </w:rPr>
        <w:t xml:space="preserve"> </w:t>
      </w:r>
      <w:r>
        <w:rPr>
          <w:rFonts w:hint="eastAsia" w:ascii="宋体" w:hAnsi="宋体"/>
          <w:b/>
          <w:color w:val="auto"/>
          <w:spacing w:val="-20"/>
          <w:sz w:val="30"/>
          <w:szCs w:val="30"/>
          <w:highlight w:val="none"/>
        </w:rPr>
        <w:t>号：</w:t>
      </w:r>
      <w:r>
        <w:rPr>
          <w:rFonts w:ascii="宋体" w:hAnsi="宋体"/>
          <w:b/>
          <w:color w:val="auto"/>
          <w:sz w:val="30"/>
          <w:szCs w:val="30"/>
          <w:highlight w:val="none"/>
          <w:u w:val="single"/>
        </w:rPr>
        <w:t xml:space="preserve">                                  </w:t>
      </w:r>
    </w:p>
    <w:p>
      <w:pPr>
        <w:shd w:val="clear"/>
        <w:tabs>
          <w:tab w:val="left" w:pos="721"/>
        </w:tabs>
        <w:snapToGrid w:val="0"/>
        <w:spacing w:line="360" w:lineRule="exact"/>
        <w:rPr>
          <w:rFonts w:ascii="宋体" w:hAnsi="宋体"/>
          <w:b/>
          <w:color w:val="auto"/>
          <w:sz w:val="30"/>
          <w:szCs w:val="30"/>
          <w:highlight w:val="none"/>
        </w:rPr>
      </w:pPr>
    </w:p>
    <w:p>
      <w:pPr>
        <w:shd w:val="clear"/>
        <w:tabs>
          <w:tab w:val="left" w:pos="721"/>
        </w:tabs>
        <w:snapToGrid w:val="0"/>
        <w:spacing w:line="360" w:lineRule="exact"/>
        <w:ind w:firstLine="1355" w:firstLineChars="450"/>
        <w:rPr>
          <w:rFonts w:ascii="宋体" w:hAnsi="宋体"/>
          <w:b/>
          <w:color w:val="auto"/>
          <w:sz w:val="30"/>
          <w:szCs w:val="30"/>
          <w:highlight w:val="none"/>
        </w:rPr>
      </w:pPr>
    </w:p>
    <w:p>
      <w:pPr>
        <w:shd w:val="clear"/>
        <w:tabs>
          <w:tab w:val="left" w:pos="721"/>
        </w:tabs>
        <w:snapToGrid w:val="0"/>
        <w:spacing w:line="360" w:lineRule="exact"/>
        <w:ind w:firstLine="1355" w:firstLineChars="450"/>
        <w:rPr>
          <w:rFonts w:ascii="宋体" w:hAnsi="宋体"/>
          <w:b/>
          <w:color w:val="auto"/>
          <w:sz w:val="30"/>
          <w:szCs w:val="30"/>
          <w:highlight w:val="none"/>
          <w:u w:val="single"/>
        </w:rPr>
      </w:pPr>
      <w:r>
        <w:rPr>
          <w:rFonts w:hint="eastAsia" w:ascii="宋体" w:hAnsi="宋体"/>
          <w:b/>
          <w:color w:val="auto"/>
          <w:sz w:val="30"/>
          <w:szCs w:val="30"/>
          <w:highlight w:val="none"/>
        </w:rPr>
        <w:t>采购单位（甲方）</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rPr>
        <w:t>广西国际商务职业技术学院</w:t>
      </w:r>
      <w:r>
        <w:rPr>
          <w:rFonts w:ascii="宋体" w:hAnsi="宋体"/>
          <w:b/>
          <w:color w:val="auto"/>
          <w:sz w:val="30"/>
          <w:szCs w:val="30"/>
          <w:highlight w:val="none"/>
          <w:u w:val="single"/>
        </w:rPr>
        <w:t xml:space="preserve">    </w:t>
      </w:r>
    </w:p>
    <w:p>
      <w:pPr>
        <w:shd w:val="clear"/>
        <w:tabs>
          <w:tab w:val="left" w:pos="721"/>
        </w:tabs>
        <w:snapToGrid w:val="0"/>
        <w:spacing w:before="312" w:beforeLines="100" w:line="360" w:lineRule="exact"/>
        <w:ind w:firstLine="1355" w:firstLineChars="450"/>
        <w:rPr>
          <w:rFonts w:ascii="宋体" w:hAnsi="宋体"/>
          <w:b/>
          <w:color w:val="auto"/>
          <w:sz w:val="30"/>
          <w:szCs w:val="30"/>
          <w:highlight w:val="none"/>
        </w:rPr>
      </w:pPr>
      <w:r>
        <w:rPr>
          <w:rFonts w:hint="eastAsia" w:ascii="宋体" w:hAnsi="宋体"/>
          <w:b/>
          <w:color w:val="auto"/>
          <w:sz w:val="30"/>
          <w:szCs w:val="30"/>
          <w:highlight w:val="none"/>
        </w:rPr>
        <w:t>住  所：</w:t>
      </w:r>
      <w:r>
        <w:rPr>
          <w:rFonts w:hint="eastAsia" w:ascii="宋体" w:hAnsi="宋体"/>
          <w:b/>
          <w:color w:val="auto"/>
          <w:sz w:val="30"/>
          <w:szCs w:val="30"/>
          <w:highlight w:val="none"/>
          <w:u w:val="single"/>
        </w:rPr>
        <w:t xml:space="preserve">                                    </w:t>
      </w:r>
    </w:p>
    <w:p>
      <w:pPr>
        <w:shd w:val="clear"/>
        <w:tabs>
          <w:tab w:val="left" w:pos="721"/>
        </w:tabs>
        <w:snapToGrid w:val="0"/>
        <w:spacing w:line="360" w:lineRule="exact"/>
        <w:ind w:firstLine="1355" w:firstLineChars="450"/>
        <w:rPr>
          <w:rFonts w:ascii="宋体" w:hAnsi="宋体"/>
          <w:b/>
          <w:color w:val="auto"/>
          <w:sz w:val="30"/>
          <w:szCs w:val="30"/>
          <w:highlight w:val="none"/>
        </w:rPr>
      </w:pPr>
    </w:p>
    <w:p>
      <w:pPr>
        <w:shd w:val="clear"/>
        <w:tabs>
          <w:tab w:val="left" w:pos="721"/>
        </w:tabs>
        <w:snapToGrid w:val="0"/>
        <w:spacing w:line="360" w:lineRule="exact"/>
        <w:ind w:firstLine="1355" w:firstLineChars="450"/>
        <w:rPr>
          <w:rFonts w:ascii="宋体" w:hAnsi="宋体"/>
          <w:b/>
          <w:color w:val="auto"/>
          <w:sz w:val="30"/>
          <w:szCs w:val="30"/>
          <w:highlight w:val="none"/>
        </w:rPr>
      </w:pPr>
    </w:p>
    <w:p>
      <w:pPr>
        <w:shd w:val="clear"/>
        <w:tabs>
          <w:tab w:val="left" w:pos="721"/>
        </w:tabs>
        <w:snapToGrid w:val="0"/>
        <w:spacing w:line="360" w:lineRule="exact"/>
        <w:ind w:firstLine="1355" w:firstLineChars="450"/>
        <w:rPr>
          <w:rFonts w:ascii="宋体" w:hAnsi="宋体"/>
          <w:b/>
          <w:color w:val="auto"/>
          <w:sz w:val="30"/>
          <w:szCs w:val="30"/>
          <w:highlight w:val="none"/>
          <w:u w:val="single"/>
        </w:rPr>
      </w:pPr>
      <w:r>
        <w:rPr>
          <w:rFonts w:hint="eastAsia" w:ascii="宋体" w:hAnsi="宋体"/>
          <w:b/>
          <w:color w:val="auto"/>
          <w:sz w:val="30"/>
          <w:szCs w:val="30"/>
          <w:highlight w:val="none"/>
        </w:rPr>
        <w:t>供</w:t>
      </w:r>
      <w:r>
        <w:rPr>
          <w:rFonts w:ascii="宋体" w:hAnsi="宋体"/>
          <w:b/>
          <w:color w:val="auto"/>
          <w:sz w:val="30"/>
          <w:szCs w:val="30"/>
          <w:highlight w:val="none"/>
        </w:rPr>
        <w:t xml:space="preserve"> </w:t>
      </w:r>
      <w:r>
        <w:rPr>
          <w:rFonts w:hint="eastAsia" w:ascii="宋体" w:hAnsi="宋体"/>
          <w:b/>
          <w:color w:val="auto"/>
          <w:sz w:val="30"/>
          <w:szCs w:val="30"/>
          <w:highlight w:val="none"/>
        </w:rPr>
        <w:t>应</w:t>
      </w:r>
      <w:r>
        <w:rPr>
          <w:rFonts w:ascii="宋体" w:hAnsi="宋体"/>
          <w:b/>
          <w:color w:val="auto"/>
          <w:sz w:val="30"/>
          <w:szCs w:val="30"/>
          <w:highlight w:val="none"/>
        </w:rPr>
        <w:t xml:space="preserve"> </w:t>
      </w:r>
      <w:r>
        <w:rPr>
          <w:rFonts w:hint="eastAsia" w:ascii="宋体" w:hAnsi="宋体"/>
          <w:b/>
          <w:color w:val="auto"/>
          <w:sz w:val="30"/>
          <w:szCs w:val="30"/>
          <w:highlight w:val="none"/>
        </w:rPr>
        <w:t>商（乙方）</w:t>
      </w:r>
      <w:r>
        <w:rPr>
          <w:rFonts w:ascii="宋体" w:hAnsi="宋体"/>
          <w:b/>
          <w:color w:val="auto"/>
          <w:sz w:val="30"/>
          <w:szCs w:val="30"/>
          <w:highlight w:val="none"/>
          <w:u w:val="single"/>
        </w:rPr>
        <w:t xml:space="preserve">                            </w:t>
      </w:r>
      <w:r>
        <w:rPr>
          <w:rFonts w:ascii="宋体" w:hAnsi="宋体"/>
          <w:b/>
          <w:color w:val="auto"/>
          <w:sz w:val="30"/>
          <w:szCs w:val="30"/>
          <w:highlight w:val="none"/>
        </w:rPr>
        <w:t xml:space="preserve"> </w:t>
      </w:r>
    </w:p>
    <w:p>
      <w:pPr>
        <w:shd w:val="clear"/>
        <w:tabs>
          <w:tab w:val="left" w:pos="721"/>
        </w:tabs>
        <w:snapToGrid w:val="0"/>
        <w:spacing w:before="312" w:beforeLines="100" w:line="360" w:lineRule="exact"/>
        <w:ind w:firstLine="1355" w:firstLineChars="450"/>
        <w:rPr>
          <w:rFonts w:ascii="宋体" w:hAnsi="宋体"/>
          <w:b/>
          <w:color w:val="auto"/>
          <w:sz w:val="30"/>
          <w:szCs w:val="30"/>
          <w:highlight w:val="none"/>
          <w:u w:val="single"/>
        </w:rPr>
      </w:pPr>
      <w:r>
        <w:rPr>
          <w:rFonts w:hint="eastAsia" w:ascii="宋体" w:hAnsi="宋体"/>
          <w:b/>
          <w:color w:val="auto"/>
          <w:sz w:val="30"/>
          <w:szCs w:val="30"/>
          <w:highlight w:val="none"/>
        </w:rPr>
        <w:t>住  所：</w:t>
      </w:r>
      <w:r>
        <w:rPr>
          <w:rFonts w:hint="eastAsia" w:ascii="宋体" w:hAnsi="宋体"/>
          <w:b/>
          <w:color w:val="auto"/>
          <w:sz w:val="30"/>
          <w:szCs w:val="30"/>
          <w:highlight w:val="none"/>
          <w:u w:val="single"/>
        </w:rPr>
        <w:t xml:space="preserve">                                    </w:t>
      </w:r>
    </w:p>
    <w:p>
      <w:pPr>
        <w:shd w:val="clear"/>
        <w:tabs>
          <w:tab w:val="left" w:pos="721"/>
        </w:tabs>
        <w:snapToGrid w:val="0"/>
        <w:spacing w:line="360" w:lineRule="exact"/>
        <w:rPr>
          <w:rFonts w:ascii="宋体" w:hAnsi="宋体"/>
          <w:b/>
          <w:color w:val="auto"/>
          <w:sz w:val="30"/>
          <w:szCs w:val="30"/>
          <w:highlight w:val="none"/>
        </w:rPr>
      </w:pPr>
    </w:p>
    <w:p>
      <w:pPr>
        <w:shd w:val="clear"/>
        <w:tabs>
          <w:tab w:val="left" w:pos="721"/>
        </w:tabs>
        <w:snapToGrid w:val="0"/>
        <w:spacing w:line="360" w:lineRule="exact"/>
        <w:ind w:firstLine="1355" w:firstLineChars="450"/>
        <w:rPr>
          <w:rFonts w:ascii="宋体" w:hAnsi="宋体"/>
          <w:b/>
          <w:color w:val="auto"/>
          <w:sz w:val="30"/>
          <w:szCs w:val="30"/>
          <w:highlight w:val="none"/>
        </w:rPr>
      </w:pPr>
    </w:p>
    <w:p>
      <w:pPr>
        <w:shd w:val="clear"/>
        <w:tabs>
          <w:tab w:val="left" w:pos="721"/>
        </w:tabs>
        <w:snapToGrid w:val="0"/>
        <w:spacing w:line="360" w:lineRule="exact"/>
        <w:ind w:firstLine="1355" w:firstLineChars="450"/>
        <w:rPr>
          <w:rFonts w:ascii="宋体" w:hAnsi="宋体"/>
          <w:b/>
          <w:color w:val="auto"/>
          <w:sz w:val="30"/>
          <w:szCs w:val="30"/>
          <w:highlight w:val="none"/>
          <w:u w:val="single"/>
        </w:rPr>
      </w:pPr>
      <w:r>
        <w:rPr>
          <w:rFonts w:hint="eastAsia" w:ascii="宋体" w:hAnsi="宋体"/>
          <w:b/>
          <w:color w:val="auto"/>
          <w:sz w:val="30"/>
          <w:szCs w:val="30"/>
          <w:highlight w:val="none"/>
        </w:rPr>
        <w:t>签订合同地点：</w:t>
      </w:r>
      <w:r>
        <w:rPr>
          <w:rFonts w:ascii="宋体" w:hAnsi="宋体"/>
          <w:b/>
          <w:color w:val="auto"/>
          <w:sz w:val="30"/>
          <w:szCs w:val="30"/>
          <w:highlight w:val="none"/>
          <w:u w:val="single"/>
        </w:rPr>
        <w:t xml:space="preserve">                              </w:t>
      </w:r>
    </w:p>
    <w:p>
      <w:pPr>
        <w:shd w:val="clear"/>
        <w:tabs>
          <w:tab w:val="left" w:pos="721"/>
        </w:tabs>
        <w:snapToGrid w:val="0"/>
        <w:spacing w:line="360" w:lineRule="exact"/>
        <w:rPr>
          <w:rFonts w:ascii="宋体" w:hAnsi="宋体"/>
          <w:b/>
          <w:color w:val="auto"/>
          <w:sz w:val="30"/>
          <w:szCs w:val="30"/>
          <w:highlight w:val="none"/>
        </w:rPr>
      </w:pPr>
    </w:p>
    <w:p>
      <w:pPr>
        <w:shd w:val="clear"/>
        <w:tabs>
          <w:tab w:val="left" w:pos="721"/>
        </w:tabs>
        <w:snapToGrid w:val="0"/>
        <w:spacing w:line="360" w:lineRule="exact"/>
        <w:ind w:firstLine="1355" w:firstLineChars="450"/>
        <w:rPr>
          <w:rFonts w:ascii="宋体" w:hAnsi="宋体"/>
          <w:b/>
          <w:color w:val="auto"/>
          <w:sz w:val="30"/>
          <w:szCs w:val="30"/>
          <w:highlight w:val="none"/>
        </w:rPr>
      </w:pPr>
    </w:p>
    <w:p>
      <w:pPr>
        <w:shd w:val="clear"/>
        <w:tabs>
          <w:tab w:val="left" w:pos="721"/>
        </w:tabs>
        <w:snapToGrid w:val="0"/>
        <w:spacing w:line="360" w:lineRule="exact"/>
        <w:ind w:firstLine="1355" w:firstLineChars="450"/>
        <w:rPr>
          <w:rFonts w:ascii="宋体" w:hAnsi="宋体"/>
          <w:b/>
          <w:color w:val="auto"/>
          <w:sz w:val="30"/>
          <w:szCs w:val="30"/>
          <w:highlight w:val="none"/>
          <w:u w:val="single"/>
        </w:rPr>
      </w:pPr>
      <w:r>
        <w:rPr>
          <w:rFonts w:hint="eastAsia" w:ascii="宋体" w:hAnsi="宋体"/>
          <w:b/>
          <w:color w:val="auto"/>
          <w:sz w:val="30"/>
          <w:szCs w:val="30"/>
          <w:highlight w:val="none"/>
        </w:rPr>
        <w:t>签订合同时间：</w:t>
      </w:r>
      <w:r>
        <w:rPr>
          <w:rFonts w:ascii="宋体" w:hAnsi="宋体"/>
          <w:b/>
          <w:color w:val="auto"/>
          <w:sz w:val="30"/>
          <w:szCs w:val="30"/>
          <w:highlight w:val="none"/>
          <w:u w:val="single"/>
        </w:rPr>
        <w:t xml:space="preserve">                              </w:t>
      </w:r>
    </w:p>
    <w:p>
      <w:pPr>
        <w:pStyle w:val="21"/>
        <w:shd w:val="clear"/>
        <w:jc w:val="center"/>
        <w:rPr>
          <w:rFonts w:hAnsi="宋体"/>
          <w:color w:val="auto"/>
          <w:highlight w:val="none"/>
        </w:rPr>
      </w:pPr>
      <w:r>
        <w:rPr>
          <w:rFonts w:hint="eastAsia" w:hAnsi="宋体"/>
          <w:color w:val="auto"/>
          <w:highlight w:val="none"/>
        </w:rPr>
        <w:t xml:space="preserve"> </w:t>
      </w:r>
    </w:p>
    <w:p>
      <w:pPr>
        <w:pStyle w:val="21"/>
        <w:shd w:val="clear"/>
        <w:jc w:val="center"/>
        <w:rPr>
          <w:rFonts w:hAnsi="宋体"/>
          <w:color w:val="auto"/>
          <w:highlight w:val="none"/>
        </w:rPr>
      </w:pPr>
    </w:p>
    <w:p>
      <w:pPr>
        <w:pStyle w:val="21"/>
        <w:shd w:val="clear"/>
        <w:jc w:val="center"/>
        <w:rPr>
          <w:rFonts w:hAnsi="宋体"/>
          <w:color w:val="auto"/>
          <w:highlight w:val="none"/>
        </w:rPr>
      </w:pPr>
    </w:p>
    <w:p>
      <w:pPr>
        <w:pStyle w:val="21"/>
        <w:shd w:val="clear"/>
        <w:jc w:val="center"/>
        <w:rPr>
          <w:rFonts w:hAnsi="宋体"/>
          <w:color w:val="auto"/>
          <w:highlight w:val="none"/>
        </w:rPr>
      </w:pPr>
    </w:p>
    <w:p>
      <w:pPr>
        <w:pStyle w:val="21"/>
        <w:shd w:val="clear"/>
        <w:jc w:val="center"/>
        <w:rPr>
          <w:rFonts w:hAnsi="宋体"/>
          <w:color w:val="auto"/>
          <w:highlight w:val="none"/>
        </w:rPr>
      </w:pPr>
      <w:r>
        <w:rPr>
          <w:rFonts w:hint="eastAsia" w:hAnsi="宋体"/>
          <w:color w:val="auto"/>
          <w:highlight w:val="none"/>
        </w:rPr>
        <w:t>合同使用说明：根据《中华人民共和国政府采购法》、《中华人民共和国民法典》等法律、法规规定，按照竞争性磋商文件规定条款和成交供应商竞争性磋商响应文件及其承诺，甲乙双方签订本合同。</w:t>
      </w:r>
    </w:p>
    <w:p>
      <w:pPr>
        <w:shd w:val="clear"/>
        <w:snapToGrid w:val="0"/>
        <w:spacing w:line="400" w:lineRule="exact"/>
        <w:jc w:val="center"/>
        <w:rPr>
          <w:rFonts w:ascii="宋体" w:hAnsi="宋体"/>
          <w:b/>
          <w:bCs/>
          <w:color w:val="auto"/>
          <w:highlight w:val="none"/>
        </w:rPr>
      </w:pPr>
      <w:r>
        <w:rPr>
          <w:rFonts w:hint="eastAsia" w:ascii="宋体" w:hAnsi="宋体"/>
          <w:b/>
          <w:bCs/>
          <w:color w:val="auto"/>
          <w:highlight w:val="none"/>
        </w:rPr>
        <w:br w:type="page"/>
      </w:r>
      <w:r>
        <w:rPr>
          <w:rFonts w:hint="eastAsia" w:ascii="宋体" w:hAnsi="宋体"/>
          <w:b/>
          <w:bCs/>
          <w:color w:val="auto"/>
          <w:highlight w:val="none"/>
        </w:rPr>
        <w:t>采购合同</w:t>
      </w:r>
    </w:p>
    <w:p>
      <w:pPr>
        <w:shd w:val="clear"/>
        <w:snapToGrid w:val="0"/>
        <w:spacing w:line="400" w:lineRule="exact"/>
        <w:rPr>
          <w:rFonts w:ascii="宋体" w:hAnsi="宋体"/>
          <w:b/>
          <w:bCs/>
          <w:color w:val="auto"/>
          <w:highlight w:val="none"/>
        </w:rPr>
      </w:pPr>
    </w:p>
    <w:p>
      <w:pPr>
        <w:shd w:val="clear"/>
        <w:snapToGrid w:val="0"/>
        <w:spacing w:line="360" w:lineRule="auto"/>
        <w:ind w:right="480" w:firstLine="5040" w:firstLineChars="2400"/>
        <w:rPr>
          <w:rFonts w:ascii="宋体" w:hAnsi="宋体"/>
          <w:bCs/>
          <w:color w:val="auto"/>
          <w:highlight w:val="none"/>
          <w:u w:val="single"/>
        </w:rPr>
      </w:pPr>
      <w:r>
        <w:rPr>
          <w:rFonts w:hint="eastAsia" w:ascii="宋体" w:hAnsi="宋体"/>
          <w:bCs/>
          <w:color w:val="auto"/>
          <w:highlight w:val="none"/>
        </w:rPr>
        <w:t>合同编号：</w:t>
      </w:r>
    </w:p>
    <w:p>
      <w:pPr>
        <w:shd w:val="clear"/>
        <w:snapToGrid w:val="0"/>
        <w:spacing w:line="360" w:lineRule="auto"/>
        <w:rPr>
          <w:rFonts w:ascii="宋体" w:hAnsi="宋体"/>
          <w:color w:val="auto"/>
          <w:highlight w:val="none"/>
        </w:rPr>
      </w:pP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ascii="宋体" w:hAnsi="宋体"/>
          <w:color w:val="auto"/>
          <w:spacing w:val="0"/>
          <w:highlight w:val="none"/>
          <w:u w:val="single"/>
        </w:rPr>
      </w:pPr>
      <w:r>
        <w:rPr>
          <w:rFonts w:hint="eastAsia" w:ascii="宋体" w:hAnsi="宋体"/>
          <w:color w:val="auto"/>
          <w:spacing w:val="0"/>
          <w:highlight w:val="none"/>
        </w:rPr>
        <w:t>采购人（甲方）</w:t>
      </w:r>
      <w:r>
        <w:rPr>
          <w:rFonts w:hint="eastAsia" w:ascii="宋体" w:hAnsi="宋体"/>
          <w:color w:val="auto"/>
          <w:spacing w:val="0"/>
          <w:highlight w:val="none"/>
          <w:u w:val="single"/>
        </w:rPr>
        <w:t xml:space="preserve"> 广西国际商务职业技术学院</w:t>
      </w:r>
      <w:r>
        <w:rPr>
          <w:rFonts w:hint="eastAsia" w:ascii="宋体" w:hAnsi="宋体" w:cs="宋体"/>
          <w:color w:val="auto"/>
          <w:spacing w:val="0"/>
          <w:sz w:val="24"/>
          <w:highlight w:val="none"/>
          <w:u w:val="single"/>
        </w:rPr>
        <w:t xml:space="preserve"> </w:t>
      </w:r>
      <w:r>
        <w:rPr>
          <w:rFonts w:hint="eastAsia" w:ascii="宋体" w:hAnsi="宋体"/>
          <w:color w:val="auto"/>
          <w:spacing w:val="0"/>
          <w:highlight w:val="none"/>
          <w:u w:val="single"/>
        </w:rPr>
        <w:t xml:space="preserve"> </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ascii="宋体" w:hAnsi="宋体"/>
          <w:color w:val="auto"/>
          <w:spacing w:val="0"/>
          <w:highlight w:val="none"/>
          <w:u w:val="single"/>
        </w:rPr>
      </w:pPr>
      <w:r>
        <w:rPr>
          <w:rFonts w:hint="eastAsia" w:ascii="宋体" w:hAnsi="宋体"/>
          <w:color w:val="auto"/>
          <w:spacing w:val="0"/>
          <w:highlight w:val="none"/>
        </w:rPr>
        <w:t>供 应 商（乙方）</w:t>
      </w:r>
      <w:r>
        <w:rPr>
          <w:rFonts w:hint="eastAsia" w:ascii="宋体" w:hAnsi="宋体"/>
          <w:color w:val="auto"/>
          <w:spacing w:val="0"/>
          <w:highlight w:val="none"/>
          <w:u w:val="single"/>
        </w:rPr>
        <w:t xml:space="preserve">                          </w:t>
      </w:r>
      <w:r>
        <w:rPr>
          <w:rFonts w:hint="eastAsia" w:ascii="宋体" w:hAnsi="宋体"/>
          <w:color w:val="auto"/>
          <w:spacing w:val="0"/>
          <w:highlight w:val="none"/>
        </w:rPr>
        <w:t xml:space="preserve">  项目名称和项目编号</w:t>
      </w:r>
      <w:r>
        <w:rPr>
          <w:rFonts w:hint="eastAsia" w:ascii="宋体" w:hAnsi="宋体"/>
          <w:color w:val="auto"/>
          <w:spacing w:val="0"/>
          <w:highlight w:val="none"/>
          <w:u w:val="single"/>
        </w:rPr>
        <w:t xml:space="preserve">             </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ascii="宋体" w:hAnsi="宋体"/>
          <w:color w:val="auto"/>
          <w:spacing w:val="0"/>
          <w:highlight w:val="none"/>
          <w:u w:val="single"/>
        </w:rPr>
      </w:pPr>
      <w:r>
        <w:rPr>
          <w:rFonts w:hint="eastAsia" w:ascii="宋体" w:hAnsi="宋体"/>
          <w:color w:val="auto"/>
          <w:spacing w:val="0"/>
          <w:highlight w:val="none"/>
        </w:rPr>
        <w:t xml:space="preserve">签  订  地  点  </w:t>
      </w:r>
      <w:r>
        <w:rPr>
          <w:rFonts w:hint="eastAsia" w:ascii="宋体" w:hAnsi="宋体"/>
          <w:color w:val="auto"/>
          <w:spacing w:val="0"/>
          <w:highlight w:val="none"/>
          <w:u w:val="single"/>
        </w:rPr>
        <w:t xml:space="preserve">                          </w:t>
      </w:r>
      <w:r>
        <w:rPr>
          <w:rFonts w:hint="eastAsia" w:ascii="宋体" w:hAnsi="宋体"/>
          <w:color w:val="auto"/>
          <w:spacing w:val="0"/>
          <w:highlight w:val="none"/>
        </w:rPr>
        <w:t xml:space="preserve">  签 订 时 间</w:t>
      </w:r>
      <w:r>
        <w:rPr>
          <w:rFonts w:hint="eastAsia" w:ascii="宋体" w:hAnsi="宋体"/>
          <w:color w:val="auto"/>
          <w:spacing w:val="0"/>
          <w:highlight w:val="none"/>
          <w:u w:val="single"/>
        </w:rPr>
        <w:t xml:space="preserve">           </w:t>
      </w:r>
      <w:r>
        <w:rPr>
          <w:rFonts w:hint="eastAsia" w:ascii="宋体" w:hAnsi="宋体"/>
          <w:color w:val="auto"/>
          <w:spacing w:val="0"/>
          <w:highlight w:val="none"/>
          <w:u w:val="single"/>
          <w:lang w:val="en-US" w:eastAsia="zh-CN"/>
        </w:rPr>
        <w:t xml:space="preserve">       </w:t>
      </w:r>
      <w:r>
        <w:rPr>
          <w:rFonts w:hint="eastAsia" w:ascii="宋体" w:hAnsi="宋体"/>
          <w:color w:val="auto"/>
          <w:spacing w:val="0"/>
          <w:highlight w:val="none"/>
          <w:u w:val="single"/>
        </w:rPr>
        <w:t xml:space="preserve">  </w:t>
      </w:r>
    </w:p>
    <w:p>
      <w:pPr>
        <w:shd w:val="clear"/>
        <w:snapToGrid w:val="0"/>
        <w:spacing w:line="360" w:lineRule="auto"/>
        <w:ind w:firstLine="420" w:firstLineChars="200"/>
        <w:rPr>
          <w:rFonts w:ascii="宋体" w:hAnsi="宋体"/>
          <w:color w:val="auto"/>
          <w:highlight w:val="none"/>
        </w:rPr>
      </w:pPr>
    </w:p>
    <w:p>
      <w:pPr>
        <w:shd w:val="clear"/>
        <w:snapToGrid w:val="0"/>
        <w:spacing w:line="360" w:lineRule="auto"/>
        <w:ind w:firstLine="420" w:firstLineChars="200"/>
        <w:rPr>
          <w:rFonts w:ascii="宋体" w:hAnsi="宋体"/>
          <w:color w:val="auto"/>
          <w:highlight w:val="none"/>
        </w:rPr>
      </w:pPr>
      <w:r>
        <w:rPr>
          <w:rFonts w:hint="eastAsia" w:ascii="宋体" w:hAnsi="宋体"/>
          <w:color w:val="auto"/>
          <w:highlight w:val="none"/>
        </w:rPr>
        <w:t>根据《中华人民共和国政府采购法》《中华人民共和国民法典》等法律、法规规定，按照竞争性磋商文件（以下简称“磋商文件”）规定条款和乙方竞争性磋商响应文件（以下简称“响应文件”）及其承诺，甲乙双方签订本合同。</w:t>
      </w:r>
    </w:p>
    <w:p>
      <w:pPr>
        <w:shd w:val="clear"/>
        <w:snapToGrid w:val="0"/>
        <w:spacing w:line="360" w:lineRule="auto"/>
        <w:ind w:firstLine="422" w:firstLineChars="200"/>
        <w:rPr>
          <w:rFonts w:ascii="宋体" w:hAnsi="宋体"/>
          <w:b/>
          <w:color w:val="auto"/>
          <w:highlight w:val="none"/>
        </w:rPr>
      </w:pPr>
      <w:r>
        <w:rPr>
          <w:rFonts w:hint="eastAsia" w:ascii="宋体" w:hAnsi="宋体"/>
          <w:b/>
          <w:color w:val="auto"/>
          <w:highlight w:val="none"/>
        </w:rPr>
        <w:t>第一条　合同标的</w:t>
      </w:r>
    </w:p>
    <w:p>
      <w:pPr>
        <w:snapToGrid w:val="0"/>
        <w:spacing w:line="360" w:lineRule="auto"/>
        <w:ind w:firstLine="420" w:firstLineChars="200"/>
        <w:rPr>
          <w:rFonts w:ascii="宋体" w:hAnsi="宋体"/>
          <w:color w:val="auto"/>
        </w:rPr>
      </w:pPr>
      <w:r>
        <w:rPr>
          <w:rFonts w:hint="eastAsia" w:ascii="宋体" w:hAnsi="宋体"/>
          <w:color w:val="auto"/>
        </w:rPr>
        <w:t>1、服务一览表</w:t>
      </w:r>
    </w:p>
    <w:tbl>
      <w:tblPr>
        <w:tblStyle w:val="39"/>
        <w:tblW w:w="8779"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1"/>
        <w:gridCol w:w="2415"/>
        <w:gridCol w:w="1125"/>
        <w:gridCol w:w="120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18" w:type="dxa"/>
            <w:vAlign w:val="center"/>
          </w:tcPr>
          <w:p>
            <w:pPr>
              <w:snapToGrid w:val="0"/>
              <w:spacing w:line="360" w:lineRule="auto"/>
              <w:jc w:val="center"/>
              <w:rPr>
                <w:rFonts w:ascii="宋体" w:hAnsi="宋体"/>
                <w:color w:val="auto"/>
              </w:rPr>
            </w:pPr>
            <w:r>
              <w:rPr>
                <w:rFonts w:hint="eastAsia" w:ascii="宋体" w:hAnsi="宋体"/>
                <w:color w:val="auto"/>
              </w:rPr>
              <w:t>序号</w:t>
            </w:r>
          </w:p>
        </w:tc>
        <w:tc>
          <w:tcPr>
            <w:tcW w:w="1251" w:type="dxa"/>
            <w:vAlign w:val="center"/>
          </w:tcPr>
          <w:p>
            <w:pPr>
              <w:snapToGrid w:val="0"/>
              <w:spacing w:line="360" w:lineRule="auto"/>
              <w:jc w:val="center"/>
              <w:rPr>
                <w:rFonts w:hint="eastAsia" w:ascii="宋体" w:hAnsi="宋体" w:eastAsia="宋体"/>
                <w:color w:val="auto"/>
                <w:lang w:eastAsia="zh-CN"/>
              </w:rPr>
            </w:pPr>
            <w:r>
              <w:rPr>
                <w:rFonts w:hint="eastAsia" w:ascii="宋体" w:hAnsi="宋体"/>
                <w:color w:val="auto"/>
                <w:lang w:eastAsia="zh-CN"/>
              </w:rPr>
              <w:t>服务名称</w:t>
            </w:r>
          </w:p>
        </w:tc>
        <w:tc>
          <w:tcPr>
            <w:tcW w:w="2415" w:type="dxa"/>
            <w:vAlign w:val="center"/>
          </w:tcPr>
          <w:p>
            <w:pPr>
              <w:snapToGrid w:val="0"/>
              <w:spacing w:line="360" w:lineRule="auto"/>
              <w:jc w:val="center"/>
              <w:rPr>
                <w:rFonts w:hint="eastAsia" w:ascii="宋体" w:hAnsi="宋体"/>
                <w:color w:val="auto"/>
                <w:lang w:eastAsia="zh-CN"/>
              </w:rPr>
            </w:pPr>
            <w:r>
              <w:rPr>
                <w:rFonts w:hint="eastAsia" w:ascii="宋体" w:hAnsi="宋体"/>
                <w:color w:val="auto"/>
                <w:lang w:eastAsia="zh-CN"/>
              </w:rPr>
              <w:t>服务内容</w:t>
            </w:r>
          </w:p>
        </w:tc>
        <w:tc>
          <w:tcPr>
            <w:tcW w:w="1125" w:type="dxa"/>
            <w:vAlign w:val="center"/>
          </w:tcPr>
          <w:p>
            <w:pPr>
              <w:snapToGrid w:val="0"/>
              <w:spacing w:line="360" w:lineRule="auto"/>
              <w:jc w:val="center"/>
              <w:rPr>
                <w:rFonts w:ascii="宋体" w:hAnsi="宋体"/>
                <w:color w:val="auto"/>
              </w:rPr>
            </w:pPr>
            <w:r>
              <w:rPr>
                <w:rFonts w:hint="eastAsia" w:ascii="宋体" w:hAnsi="宋体"/>
                <w:color w:val="auto"/>
              </w:rPr>
              <w:t>数  量</w:t>
            </w:r>
          </w:p>
        </w:tc>
        <w:tc>
          <w:tcPr>
            <w:tcW w:w="1200" w:type="dxa"/>
            <w:vAlign w:val="center"/>
          </w:tcPr>
          <w:p>
            <w:pPr>
              <w:snapToGrid w:val="0"/>
              <w:spacing w:line="360" w:lineRule="auto"/>
              <w:jc w:val="center"/>
              <w:rPr>
                <w:rFonts w:ascii="宋体" w:hAnsi="宋体"/>
                <w:color w:val="auto"/>
              </w:rPr>
            </w:pPr>
            <w:r>
              <w:rPr>
                <w:rFonts w:hint="eastAsia" w:ascii="宋体" w:hAnsi="宋体"/>
                <w:color w:val="auto"/>
              </w:rPr>
              <w:t>单位</w:t>
            </w:r>
          </w:p>
        </w:tc>
        <w:tc>
          <w:tcPr>
            <w:tcW w:w="2070" w:type="dxa"/>
            <w:vAlign w:val="center"/>
          </w:tcPr>
          <w:p>
            <w:pPr>
              <w:snapToGrid w:val="0"/>
              <w:spacing w:line="360" w:lineRule="auto"/>
              <w:jc w:val="center"/>
              <w:rPr>
                <w:rFonts w:hint="eastAsia" w:ascii="宋体" w:hAnsi="宋体"/>
                <w:color w:val="auto"/>
              </w:rPr>
            </w:pPr>
            <w:r>
              <w:rPr>
                <w:rFonts w:hint="eastAsia" w:ascii="宋体" w:hAnsi="宋体"/>
                <w:color w:val="auto"/>
              </w:rPr>
              <w:t>单项合计金额</w:t>
            </w:r>
          </w:p>
          <w:p>
            <w:pPr>
              <w:snapToGrid w:val="0"/>
              <w:spacing w:line="360" w:lineRule="auto"/>
              <w:jc w:val="center"/>
              <w:rPr>
                <w:rFonts w:ascii="宋体" w:hAnsi="宋体"/>
                <w:color w:val="auto"/>
              </w:rPr>
            </w:pPr>
            <w:r>
              <w:rPr>
                <w:rFonts w:hint="eastAsia" w:ascii="宋体" w:hAnsi="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18" w:type="dxa"/>
            <w:vAlign w:val="center"/>
          </w:tcPr>
          <w:p>
            <w:pPr>
              <w:snapToGrid w:val="0"/>
              <w:spacing w:line="360" w:lineRule="auto"/>
              <w:jc w:val="center"/>
              <w:rPr>
                <w:rFonts w:ascii="宋体" w:hAnsi="宋体"/>
                <w:color w:val="auto"/>
              </w:rPr>
            </w:pPr>
            <w:r>
              <w:rPr>
                <w:rFonts w:hint="eastAsia" w:ascii="宋体" w:hAnsi="宋体"/>
                <w:color w:val="auto"/>
              </w:rPr>
              <w:t>1</w:t>
            </w:r>
          </w:p>
        </w:tc>
        <w:tc>
          <w:tcPr>
            <w:tcW w:w="1251" w:type="dxa"/>
            <w:vAlign w:val="center"/>
          </w:tcPr>
          <w:p>
            <w:pPr>
              <w:snapToGrid w:val="0"/>
              <w:spacing w:line="360" w:lineRule="auto"/>
              <w:jc w:val="center"/>
              <w:rPr>
                <w:rFonts w:ascii="宋体" w:hAnsi="宋体"/>
                <w:color w:val="auto"/>
              </w:rPr>
            </w:pPr>
          </w:p>
        </w:tc>
        <w:tc>
          <w:tcPr>
            <w:tcW w:w="2415" w:type="dxa"/>
            <w:vAlign w:val="center"/>
          </w:tcPr>
          <w:p>
            <w:pPr>
              <w:snapToGrid w:val="0"/>
              <w:spacing w:line="360" w:lineRule="auto"/>
              <w:jc w:val="center"/>
              <w:rPr>
                <w:rFonts w:ascii="宋体" w:hAnsi="宋体"/>
                <w:color w:val="auto"/>
              </w:rPr>
            </w:pPr>
            <w:r>
              <w:rPr>
                <w:rFonts w:hint="eastAsia" w:ascii="宋体" w:hAnsi="宋体"/>
                <w:color w:val="auto"/>
              </w:rPr>
              <w:t>详见</w:t>
            </w:r>
            <w:r>
              <w:rPr>
                <w:rFonts w:hint="eastAsia" w:ascii="宋体" w:hAnsi="宋体"/>
                <w:b/>
                <w:color w:val="auto"/>
                <w:szCs w:val="21"/>
                <w:u w:val="single"/>
              </w:rPr>
              <w:t xml:space="preserve">   </w:t>
            </w:r>
            <w:r>
              <w:rPr>
                <w:rFonts w:hint="eastAsia" w:ascii="宋体" w:hAnsi="宋体"/>
                <w:b/>
                <w:color w:val="auto"/>
                <w:szCs w:val="21"/>
              </w:rPr>
              <w:t>分标</w:t>
            </w:r>
            <w:r>
              <w:rPr>
                <w:rFonts w:hint="eastAsia" w:ascii="宋体" w:hAnsi="宋体"/>
                <w:color w:val="auto"/>
              </w:rPr>
              <w:t>响应文件《商务、技术响应、偏离情况说明表》</w:t>
            </w:r>
          </w:p>
        </w:tc>
        <w:tc>
          <w:tcPr>
            <w:tcW w:w="1125" w:type="dxa"/>
            <w:vAlign w:val="center"/>
          </w:tcPr>
          <w:p>
            <w:pPr>
              <w:snapToGrid w:val="0"/>
              <w:spacing w:line="360" w:lineRule="auto"/>
              <w:jc w:val="center"/>
              <w:rPr>
                <w:rFonts w:ascii="宋体" w:hAnsi="宋体"/>
                <w:color w:val="auto"/>
              </w:rPr>
            </w:pPr>
          </w:p>
        </w:tc>
        <w:tc>
          <w:tcPr>
            <w:tcW w:w="1200" w:type="dxa"/>
            <w:vAlign w:val="center"/>
          </w:tcPr>
          <w:p>
            <w:pPr>
              <w:snapToGrid w:val="0"/>
              <w:spacing w:line="360" w:lineRule="auto"/>
              <w:jc w:val="center"/>
              <w:rPr>
                <w:rFonts w:ascii="宋体" w:hAnsi="宋体"/>
                <w:color w:val="auto"/>
              </w:rPr>
            </w:pPr>
          </w:p>
        </w:tc>
        <w:tc>
          <w:tcPr>
            <w:tcW w:w="2070" w:type="dxa"/>
            <w:vAlign w:val="center"/>
          </w:tcPr>
          <w:p>
            <w:pPr>
              <w:snapToGrid w:val="0"/>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779" w:type="dxa"/>
            <w:gridSpan w:val="6"/>
            <w:vAlign w:val="center"/>
          </w:tcPr>
          <w:p>
            <w:pPr>
              <w:snapToGrid w:val="0"/>
              <w:spacing w:line="360" w:lineRule="auto"/>
              <w:rPr>
                <w:rFonts w:ascii="宋体" w:hAnsi="宋体"/>
                <w:color w:val="auto"/>
              </w:rPr>
            </w:pPr>
            <w:r>
              <w:rPr>
                <w:rFonts w:hint="eastAsia" w:ascii="宋体" w:hAnsi="宋体"/>
                <w:b/>
                <w:color w:val="auto"/>
                <w:szCs w:val="21"/>
                <w:u w:val="single"/>
              </w:rPr>
              <w:t xml:space="preserve"> </w:t>
            </w:r>
            <w:r>
              <w:rPr>
                <w:rFonts w:hint="eastAsia" w:ascii="宋体" w:hAnsi="宋体"/>
                <w:b/>
                <w:color w:val="auto"/>
                <w:szCs w:val="21"/>
                <w:u w:val="single"/>
                <w:lang w:val="en-US" w:eastAsia="zh-CN"/>
              </w:rPr>
              <w:t xml:space="preserve">  </w:t>
            </w:r>
            <w:r>
              <w:rPr>
                <w:rFonts w:hint="eastAsia" w:ascii="宋体" w:hAnsi="宋体"/>
                <w:b/>
                <w:color w:val="auto"/>
                <w:szCs w:val="21"/>
                <w:u w:val="single"/>
              </w:rPr>
              <w:t xml:space="preserve">  </w:t>
            </w:r>
            <w:r>
              <w:rPr>
                <w:rFonts w:hint="eastAsia" w:ascii="宋体" w:hAnsi="宋体"/>
                <w:b/>
                <w:color w:val="auto"/>
                <w:szCs w:val="21"/>
              </w:rPr>
              <w:t>分标</w:t>
            </w:r>
            <w:r>
              <w:rPr>
                <w:rFonts w:hint="eastAsia" w:ascii="宋体" w:hAnsi="宋体"/>
                <w:b/>
                <w:color w:val="auto"/>
                <w:szCs w:val="21"/>
                <w:lang w:val="en-US" w:eastAsia="zh-CN"/>
              </w:rPr>
              <w:t xml:space="preserve"> </w:t>
            </w:r>
            <w:r>
              <w:rPr>
                <w:rFonts w:hint="eastAsia" w:ascii="宋体" w:hAnsi="宋体"/>
                <w:color w:val="auto"/>
              </w:rPr>
              <w:t>人民币合计金额（大写）：                               小写金额：</w:t>
            </w:r>
          </w:p>
        </w:tc>
      </w:tr>
    </w:tbl>
    <w:p>
      <w:pPr>
        <w:snapToGrid w:val="0"/>
        <w:spacing w:line="360" w:lineRule="auto"/>
        <w:ind w:right="420" w:firstLine="420" w:firstLineChars="200"/>
        <w:rPr>
          <w:rFonts w:ascii="宋体" w:hAnsi="宋体"/>
          <w:color w:val="auto"/>
        </w:rPr>
      </w:pPr>
      <w:r>
        <w:rPr>
          <w:rFonts w:hint="eastAsia" w:ascii="宋体" w:hAnsi="宋体"/>
          <w:color w:val="auto"/>
        </w:rPr>
        <w:t>2、合同合计金额包括</w:t>
      </w:r>
      <w:r>
        <w:rPr>
          <w:rFonts w:hint="eastAsia" w:hAnsi="宋体"/>
          <w:bCs/>
          <w:color w:val="auto"/>
        </w:rPr>
        <w:t>服务费、设备费、管理费、验收费、利润、税金及其它所有成本、费用的总和</w:t>
      </w:r>
      <w:r>
        <w:rPr>
          <w:rFonts w:hint="eastAsia" w:ascii="宋体" w:hAnsi="宋体"/>
          <w:color w:val="auto"/>
        </w:rPr>
        <w:t>。如磋商文件、响应文件对其另有规定的，从其规定。</w:t>
      </w:r>
    </w:p>
    <w:p>
      <w:pPr>
        <w:shd w:val="clear"/>
        <w:snapToGrid w:val="0"/>
        <w:spacing w:line="360" w:lineRule="auto"/>
        <w:ind w:firstLine="422" w:firstLineChars="200"/>
        <w:rPr>
          <w:rFonts w:ascii="宋体" w:hAnsi="宋体"/>
          <w:color w:val="auto"/>
          <w:highlight w:val="none"/>
        </w:rPr>
      </w:pPr>
      <w:r>
        <w:rPr>
          <w:rFonts w:hint="eastAsia" w:ascii="宋体" w:hAnsi="宋体"/>
          <w:b/>
          <w:color w:val="auto"/>
          <w:highlight w:val="none"/>
        </w:rPr>
        <w:t>第二条　质量保证</w:t>
      </w:r>
    </w:p>
    <w:p>
      <w:pPr>
        <w:snapToGrid w:val="0"/>
        <w:spacing w:line="360" w:lineRule="auto"/>
        <w:ind w:firstLine="420" w:firstLineChars="200"/>
        <w:rPr>
          <w:rFonts w:ascii="宋体" w:hAnsi="宋体"/>
          <w:color w:val="auto"/>
        </w:rPr>
      </w:pPr>
      <w:r>
        <w:rPr>
          <w:rFonts w:hint="eastAsia" w:ascii="宋体" w:hAnsi="宋体"/>
          <w:color w:val="auto"/>
        </w:rPr>
        <w:t>乙方所提供的服务质量必须与磋商文件、响应文件和承诺相一致。</w:t>
      </w:r>
    </w:p>
    <w:p>
      <w:pPr>
        <w:shd w:val="clear"/>
        <w:snapToGrid w:val="0"/>
        <w:spacing w:line="360" w:lineRule="auto"/>
        <w:ind w:firstLine="422" w:firstLineChars="200"/>
        <w:rPr>
          <w:rFonts w:ascii="宋体" w:hAnsi="宋体"/>
          <w:color w:val="auto"/>
          <w:highlight w:val="none"/>
        </w:rPr>
      </w:pPr>
      <w:r>
        <w:rPr>
          <w:rFonts w:hint="eastAsia" w:ascii="宋体" w:hAnsi="宋体"/>
          <w:b/>
          <w:color w:val="auto"/>
          <w:highlight w:val="none"/>
        </w:rPr>
        <w:t>第三条　交付</w:t>
      </w:r>
    </w:p>
    <w:p>
      <w:pPr>
        <w:shd w:val="clear"/>
        <w:snapToGrid w:val="0"/>
        <w:spacing w:line="360" w:lineRule="auto"/>
        <w:ind w:firstLine="420" w:firstLineChars="200"/>
        <w:rPr>
          <w:rFonts w:hint="eastAsia" w:ascii="宋体" w:hAnsi="宋体" w:eastAsia="宋体"/>
          <w:color w:val="auto"/>
          <w:highlight w:val="none"/>
          <w:lang w:val="en-US" w:eastAsia="zh-CN"/>
        </w:rPr>
      </w:pPr>
      <w:r>
        <w:rPr>
          <w:rFonts w:hint="eastAsia" w:ascii="宋体" w:hAnsi="宋体"/>
          <w:color w:val="auto"/>
          <w:highlight w:val="none"/>
        </w:rPr>
        <w:t>1、服务期限：</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p>
    <w:p>
      <w:pPr>
        <w:shd w:val="clear"/>
        <w:snapToGrid w:val="0"/>
        <w:spacing w:line="360" w:lineRule="auto"/>
        <w:ind w:firstLine="420" w:firstLineChars="200"/>
        <w:rPr>
          <w:rFonts w:ascii="宋体" w:hAnsi="宋体"/>
          <w:color w:val="auto"/>
          <w:highlight w:val="none"/>
        </w:rPr>
      </w:pPr>
      <w:r>
        <w:rPr>
          <w:rFonts w:hint="eastAsia" w:ascii="宋体" w:hAnsi="宋体"/>
          <w:color w:val="auto"/>
          <w:highlight w:val="none"/>
        </w:rPr>
        <w:t>2、交付地点：</w:t>
      </w:r>
      <w:r>
        <w:rPr>
          <w:rFonts w:hint="eastAsia" w:ascii="宋体" w:hAnsi="宋体"/>
          <w:color w:val="auto"/>
          <w:highlight w:val="none"/>
          <w:u w:val="single"/>
        </w:rPr>
        <w:t>甲方指定地点</w:t>
      </w:r>
      <w:r>
        <w:rPr>
          <w:rFonts w:hint="eastAsia" w:ascii="宋体" w:hAnsi="宋体"/>
          <w:color w:val="auto"/>
          <w:highlight w:val="none"/>
        </w:rPr>
        <w:t>。</w:t>
      </w:r>
    </w:p>
    <w:p>
      <w:pPr>
        <w:shd w:val="clear"/>
        <w:snapToGrid w:val="0"/>
        <w:spacing w:line="360" w:lineRule="auto"/>
        <w:ind w:firstLine="422" w:firstLineChars="200"/>
        <w:rPr>
          <w:rFonts w:ascii="宋体" w:hAnsi="宋体"/>
          <w:color w:val="auto"/>
          <w:highlight w:val="none"/>
          <w:u w:val="single"/>
        </w:rPr>
      </w:pPr>
      <w:r>
        <w:rPr>
          <w:rFonts w:hint="eastAsia" w:ascii="宋体" w:hAnsi="宋体"/>
          <w:b/>
          <w:color w:val="auto"/>
          <w:highlight w:val="none"/>
        </w:rPr>
        <w:t xml:space="preserve">第四条  付款方式   </w:t>
      </w:r>
    </w:p>
    <w:p>
      <w:pPr>
        <w:shd w:val="clear"/>
        <w:snapToGrid w:val="0"/>
        <w:spacing w:line="360" w:lineRule="auto"/>
        <w:ind w:firstLine="420" w:firstLineChars="200"/>
        <w:rPr>
          <w:rFonts w:ascii="宋体" w:hAnsi="宋体"/>
          <w:color w:val="auto"/>
          <w:highlight w:val="none"/>
          <w:u w:val="single"/>
        </w:rPr>
      </w:pPr>
      <w:r>
        <w:rPr>
          <w:rFonts w:hint="eastAsia" w:ascii="宋体" w:hAnsi="宋体"/>
          <w:color w:val="auto"/>
          <w:highlight w:val="none"/>
        </w:rPr>
        <w:t>1、资金性质：</w:t>
      </w:r>
      <w:r>
        <w:rPr>
          <w:rFonts w:hint="eastAsia" w:ascii="宋体" w:hAnsi="宋体"/>
          <w:color w:val="auto"/>
          <w:u w:val="single"/>
          <w:lang w:eastAsia="zh-CN"/>
        </w:rPr>
        <w:t>国有</w:t>
      </w:r>
      <w:r>
        <w:rPr>
          <w:rFonts w:hint="eastAsia" w:ascii="宋体" w:hAnsi="宋体"/>
          <w:color w:val="auto"/>
          <w:u w:val="single"/>
        </w:rPr>
        <w:t>资金</w:t>
      </w:r>
      <w:r>
        <w:rPr>
          <w:rFonts w:hint="eastAsia" w:ascii="宋体" w:hAnsi="宋体"/>
          <w:color w:val="auto"/>
          <w:highlight w:val="none"/>
          <w:u w:val="single"/>
        </w:rPr>
        <w:t xml:space="preserve"> </w:t>
      </w:r>
    </w:p>
    <w:p>
      <w:pPr>
        <w:shd w:val="clear"/>
        <w:snapToGrid w:val="0"/>
        <w:spacing w:line="360" w:lineRule="auto"/>
        <w:ind w:firstLine="420" w:firstLineChars="200"/>
        <w:rPr>
          <w:rFonts w:ascii="宋体" w:hAnsi="宋体"/>
          <w:color w:val="auto"/>
          <w:highlight w:val="none"/>
        </w:rPr>
      </w:pPr>
      <w:r>
        <w:rPr>
          <w:rFonts w:hint="eastAsia" w:ascii="宋体" w:hAnsi="宋体"/>
          <w:color w:val="auto"/>
          <w:highlight w:val="none"/>
        </w:rPr>
        <w:t>2、付款方式：</w:t>
      </w:r>
    </w:p>
    <w:p>
      <w:pPr>
        <w:shd w:val="clear"/>
        <w:snapToGrid w:val="0"/>
        <w:spacing w:line="360" w:lineRule="auto"/>
        <w:ind w:firstLine="420" w:firstLineChars="200"/>
        <w:rPr>
          <w:rFonts w:hint="eastAsia" w:ascii="宋体" w:hAnsi="宋体"/>
          <w:color w:val="auto"/>
        </w:rPr>
      </w:pPr>
      <w:r>
        <w:rPr>
          <w:rFonts w:hint="eastAsia" w:ascii="宋体" w:hAnsi="宋体"/>
          <w:color w:val="auto"/>
        </w:rPr>
        <w:t>1.</w:t>
      </w:r>
      <w:r>
        <w:rPr>
          <w:rFonts w:hint="eastAsia" w:ascii="宋体" w:hAnsi="宋体"/>
          <w:color w:val="auto"/>
          <w:lang w:eastAsia="zh-CN"/>
        </w:rPr>
        <w:t>甲方</w:t>
      </w:r>
      <w:r>
        <w:rPr>
          <w:rFonts w:hint="eastAsia" w:ascii="宋体" w:hAnsi="宋体"/>
          <w:color w:val="auto"/>
        </w:rPr>
        <w:t>在合同签订后5个工作日内，支付合同总金额的30%，乙方将货物运至甲方指定场地或乙方将软件平台部署完毕，项目通过中期验收合格后5个工作日内，</w:t>
      </w:r>
      <w:r>
        <w:rPr>
          <w:rFonts w:hint="eastAsia" w:ascii="宋体" w:hAnsi="宋体"/>
          <w:color w:val="auto"/>
          <w:lang w:eastAsia="zh-CN"/>
        </w:rPr>
        <w:t>甲方</w:t>
      </w:r>
      <w:r>
        <w:rPr>
          <w:rFonts w:hint="eastAsia" w:ascii="宋体" w:hAnsi="宋体"/>
          <w:color w:val="auto"/>
        </w:rPr>
        <w:t>支付至合同总金额的70%；项目最终验收合格后10个工作日内，</w:t>
      </w:r>
      <w:r>
        <w:rPr>
          <w:rFonts w:hint="eastAsia" w:ascii="宋体" w:hAnsi="宋体"/>
          <w:color w:val="auto"/>
          <w:lang w:eastAsia="zh-CN"/>
        </w:rPr>
        <w:t>甲方</w:t>
      </w:r>
      <w:r>
        <w:rPr>
          <w:rFonts w:hint="eastAsia" w:ascii="宋体" w:hAnsi="宋体"/>
          <w:color w:val="auto"/>
        </w:rPr>
        <w:t>支付至合同金额的100%。</w:t>
      </w:r>
    </w:p>
    <w:p>
      <w:pPr>
        <w:shd w:val="clear"/>
        <w:snapToGrid w:val="0"/>
        <w:spacing w:line="360" w:lineRule="auto"/>
        <w:ind w:firstLine="420" w:firstLineChars="200"/>
        <w:rPr>
          <w:rFonts w:hint="eastAsia" w:ascii="宋体" w:hAnsi="宋体"/>
          <w:color w:val="auto"/>
        </w:rPr>
      </w:pPr>
      <w:r>
        <w:rPr>
          <w:rFonts w:hint="eastAsia" w:ascii="宋体" w:hAnsi="宋体"/>
          <w:color w:val="auto"/>
        </w:rPr>
        <w:t>2.</w:t>
      </w:r>
      <w:r>
        <w:rPr>
          <w:rFonts w:hint="eastAsia" w:ascii="宋体" w:hAnsi="宋体"/>
          <w:color w:val="auto"/>
          <w:lang w:eastAsia="zh-CN"/>
        </w:rPr>
        <w:t>乙方</w:t>
      </w:r>
      <w:r>
        <w:rPr>
          <w:rFonts w:hint="eastAsia" w:ascii="宋体" w:hAnsi="宋体"/>
          <w:color w:val="auto"/>
        </w:rPr>
        <w:t>在收到</w:t>
      </w:r>
      <w:r>
        <w:rPr>
          <w:rFonts w:hint="eastAsia" w:ascii="宋体" w:hAnsi="宋体"/>
          <w:color w:val="auto"/>
          <w:lang w:eastAsia="zh-CN"/>
        </w:rPr>
        <w:t>甲方</w:t>
      </w:r>
      <w:r>
        <w:rPr>
          <w:rFonts w:hint="eastAsia" w:ascii="宋体" w:hAnsi="宋体"/>
          <w:color w:val="auto"/>
        </w:rPr>
        <w:t>支付的每笔款项后5个工作日内应按国家相关规定向</w:t>
      </w:r>
      <w:r>
        <w:rPr>
          <w:rFonts w:hint="eastAsia" w:ascii="宋体" w:hAnsi="宋体"/>
          <w:color w:val="auto"/>
          <w:lang w:eastAsia="zh-CN"/>
        </w:rPr>
        <w:t>甲方</w:t>
      </w:r>
      <w:r>
        <w:rPr>
          <w:rFonts w:hint="eastAsia" w:ascii="宋体" w:hAnsi="宋体"/>
          <w:color w:val="auto"/>
        </w:rPr>
        <w:t>开具相应金额的正式发票。</w:t>
      </w:r>
    </w:p>
    <w:p>
      <w:pPr>
        <w:shd w:val="clear"/>
        <w:snapToGrid w:val="0"/>
        <w:spacing w:line="360" w:lineRule="auto"/>
        <w:ind w:firstLine="422" w:firstLineChars="200"/>
        <w:rPr>
          <w:rFonts w:hint="eastAsia" w:ascii="宋体" w:hAnsi="宋体" w:cs="Tahoma"/>
          <w:bCs/>
          <w:color w:val="auto"/>
          <w:highlight w:val="none"/>
        </w:rPr>
      </w:pPr>
      <w:r>
        <w:rPr>
          <w:rFonts w:hint="eastAsia" w:ascii="宋体" w:hAnsi="宋体"/>
          <w:b/>
          <w:color w:val="auto"/>
          <w:highlight w:val="none"/>
        </w:rPr>
        <w:t>第五条　</w:t>
      </w:r>
      <w:r>
        <w:rPr>
          <w:rFonts w:hint="eastAsia"/>
          <w:b/>
          <w:color w:val="auto"/>
          <w:highlight w:val="none"/>
        </w:rPr>
        <w:t>履约</w:t>
      </w:r>
      <w:r>
        <w:rPr>
          <w:rFonts w:hint="eastAsia" w:ascii="宋体" w:hAnsi="宋体"/>
          <w:b/>
          <w:color w:val="auto"/>
          <w:highlight w:val="none"/>
        </w:rPr>
        <w:t>保证金</w:t>
      </w:r>
      <w:r>
        <w:rPr>
          <w:rFonts w:hint="eastAsia" w:ascii="宋体" w:hAnsi="宋体"/>
          <w:color w:val="auto"/>
          <w:highlight w:val="none"/>
        </w:rPr>
        <w:t>：</w:t>
      </w:r>
      <w:r>
        <w:rPr>
          <w:rFonts w:hint="eastAsia" w:ascii="宋体" w:hAnsi="宋体" w:cs="Tahoma"/>
          <w:bCs/>
          <w:color w:val="auto"/>
          <w:highlight w:val="none"/>
          <w:u w:val="single"/>
        </w:rPr>
        <w:t>乙方收到中标通知后5个工作日内，将中标金额的5%缴纳给甲方作为履约保证金（其中对中标的中小企业收取的履约保证金数额不超过政府采购合同金额的2%），验收合格及由相关招标相关部门确认相关消防、监控、水电、网络、公共财物及场所的完好无损后一年后无质量问题，履约保证金一次性无息退还乙方。如最终验收与合同不符，由乙方承担一切违约责任。乙方中标项目涉及的消防、监控、水电、网络、公共财物及场所如有损坏，由乙方单位在甲方限定期限完成整改并恢复原样。逾期未完成整改的，甲方有权另行安排维修，由此产生的一切费用由乙方单位承担，并且甲方有权从履约保证金中扣减相关费用，如履约保证金不足以满足维修需要，乙方应在收到甲方通知之日起3日内予以补足，否则甲方有权从应付的项目结算款中予以先行扣减后再支付剩余结算款</w:t>
      </w:r>
      <w:r>
        <w:rPr>
          <w:rFonts w:hint="eastAsia" w:ascii="宋体" w:hAnsi="宋体" w:cs="Tahoma"/>
          <w:bCs/>
          <w:color w:val="auto"/>
          <w:highlight w:val="none"/>
        </w:rPr>
        <w:t>。</w:t>
      </w:r>
    </w:p>
    <w:p>
      <w:pPr>
        <w:shd w:val="clear"/>
        <w:snapToGrid w:val="0"/>
        <w:spacing w:line="360" w:lineRule="auto"/>
        <w:ind w:firstLine="420" w:firstLineChars="200"/>
        <w:rPr>
          <w:rFonts w:ascii="宋体" w:hAnsi="宋体"/>
          <w:color w:val="auto"/>
          <w:highlight w:val="none"/>
        </w:rPr>
      </w:pPr>
      <w:r>
        <w:rPr>
          <w:rFonts w:hint="eastAsia" w:ascii="宋体" w:hAnsi="宋体"/>
          <w:color w:val="auto"/>
          <w:highlight w:val="none"/>
        </w:rPr>
        <w:t>履约保证金的形式：乙方可以选择电汇、转账、支票、汇票、本票、保函等形式缴纳或提交。</w:t>
      </w:r>
    </w:p>
    <w:p>
      <w:pPr>
        <w:shd w:val="clear"/>
        <w:snapToGrid w:val="0"/>
        <w:spacing w:line="360" w:lineRule="auto"/>
        <w:ind w:firstLine="420" w:firstLineChars="200"/>
        <w:rPr>
          <w:rFonts w:ascii="宋体" w:hAnsi="宋体"/>
          <w:color w:val="auto"/>
          <w:highlight w:val="none"/>
        </w:rPr>
      </w:pPr>
      <w:r>
        <w:rPr>
          <w:rFonts w:hint="eastAsia" w:ascii="宋体" w:hAnsi="宋体"/>
          <w:color w:val="auto"/>
          <w:highlight w:val="none"/>
        </w:rPr>
        <w:t>保证金缴纳的账号信息：</w:t>
      </w:r>
    </w:p>
    <w:p>
      <w:pPr>
        <w:shd w:val="clear"/>
        <w:snapToGrid w:val="0"/>
        <w:spacing w:line="360" w:lineRule="auto"/>
        <w:ind w:firstLine="420" w:firstLineChars="200"/>
        <w:rPr>
          <w:rFonts w:ascii="宋体" w:hAnsi="宋体"/>
          <w:color w:val="auto"/>
          <w:highlight w:val="none"/>
        </w:rPr>
      </w:pPr>
      <w:r>
        <w:rPr>
          <w:rFonts w:hint="eastAsia" w:ascii="宋体" w:hAnsi="宋体"/>
          <w:color w:val="auto"/>
          <w:highlight w:val="none"/>
        </w:rPr>
        <w:t>开户名称：广西国际商务职业技术学院</w:t>
      </w:r>
    </w:p>
    <w:p>
      <w:pPr>
        <w:shd w:val="clear"/>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开户银行：中国银行南宁高新区科技支行 </w:t>
      </w:r>
    </w:p>
    <w:p>
      <w:pPr>
        <w:shd w:val="clear"/>
        <w:snapToGrid w:val="0"/>
        <w:spacing w:line="360" w:lineRule="auto"/>
        <w:ind w:firstLine="420" w:firstLineChars="200"/>
        <w:rPr>
          <w:rFonts w:ascii="宋体" w:hAnsi="宋体"/>
          <w:color w:val="auto"/>
          <w:highlight w:val="none"/>
        </w:rPr>
      </w:pPr>
      <w:r>
        <w:rPr>
          <w:rFonts w:hint="eastAsia" w:ascii="宋体" w:hAnsi="宋体"/>
          <w:color w:val="auto"/>
          <w:highlight w:val="none"/>
        </w:rPr>
        <w:t>银行账号：614581859133</w:t>
      </w:r>
    </w:p>
    <w:p>
      <w:pPr>
        <w:shd w:val="clear"/>
        <w:snapToGrid w:val="0"/>
        <w:spacing w:line="360" w:lineRule="auto"/>
        <w:ind w:firstLine="422" w:firstLineChars="200"/>
        <w:rPr>
          <w:rFonts w:ascii="宋体" w:hAnsi="宋体"/>
          <w:b/>
          <w:color w:val="auto"/>
          <w:highlight w:val="none"/>
        </w:rPr>
      </w:pPr>
      <w:r>
        <w:rPr>
          <w:rFonts w:hint="eastAsia" w:ascii="宋体" w:hAnsi="宋体"/>
          <w:b/>
          <w:color w:val="auto"/>
          <w:highlight w:val="none"/>
        </w:rPr>
        <w:t xml:space="preserve">第六条 税费  </w:t>
      </w:r>
    </w:p>
    <w:p>
      <w:pPr>
        <w:shd w:val="clear"/>
        <w:snapToGrid w:val="0"/>
        <w:spacing w:line="360" w:lineRule="auto"/>
        <w:ind w:firstLine="422" w:firstLineChars="200"/>
        <w:rPr>
          <w:rFonts w:ascii="宋体" w:hAnsi="宋体"/>
          <w:b/>
          <w:color w:val="auto"/>
          <w:highlight w:val="none"/>
        </w:rPr>
      </w:pPr>
      <w:r>
        <w:rPr>
          <w:rFonts w:hint="eastAsia" w:ascii="宋体" w:hAnsi="宋体"/>
          <w:b/>
          <w:color w:val="auto"/>
          <w:highlight w:val="none"/>
        </w:rPr>
        <w:t>本合同执行中相关的一切税费均由乙方负担。</w:t>
      </w:r>
    </w:p>
    <w:p>
      <w:pPr>
        <w:pStyle w:val="21"/>
        <w:shd w:val="clear"/>
        <w:snapToGrid w:val="0"/>
        <w:spacing w:line="360" w:lineRule="auto"/>
        <w:ind w:left="420" w:leftChars="200" w:right="26"/>
        <w:rPr>
          <w:b/>
          <w:color w:val="auto"/>
          <w:highlight w:val="none"/>
        </w:rPr>
      </w:pPr>
      <w:r>
        <w:rPr>
          <w:rFonts w:hint="eastAsia"/>
          <w:b/>
          <w:color w:val="auto"/>
          <w:highlight w:val="none"/>
        </w:rPr>
        <w:t>第七条　违约责任</w:t>
      </w:r>
    </w:p>
    <w:p>
      <w:pPr>
        <w:snapToGrid w:val="0"/>
        <w:spacing w:line="360" w:lineRule="auto"/>
        <w:ind w:firstLine="525" w:firstLineChars="250"/>
        <w:rPr>
          <w:rFonts w:ascii="宋体" w:hAnsi="宋体"/>
          <w:color w:val="auto"/>
        </w:rPr>
      </w:pPr>
      <w:r>
        <w:rPr>
          <w:rFonts w:hint="eastAsia" w:ascii="宋体" w:hAnsi="宋体"/>
          <w:color w:val="auto"/>
        </w:rPr>
        <w:t>1、合同一方</w:t>
      </w:r>
      <w:r>
        <w:rPr>
          <w:rFonts w:hint="eastAsia"/>
          <w:color w:val="auto"/>
        </w:rPr>
        <w:t>违约，</w:t>
      </w:r>
      <w:r>
        <w:rPr>
          <w:rFonts w:hint="eastAsia" w:ascii="宋体" w:hAnsi="宋体"/>
          <w:color w:val="auto"/>
        </w:rPr>
        <w:t>违约方向对方支付违约金，违约金额为成交金额</w:t>
      </w:r>
      <w:r>
        <w:rPr>
          <w:rFonts w:hint="eastAsia" w:ascii="宋体" w:hAnsi="宋体"/>
          <w:b/>
          <w:color w:val="auto"/>
          <w:u w:val="single"/>
        </w:rPr>
        <w:t xml:space="preserve">5% </w:t>
      </w:r>
      <w:r>
        <w:rPr>
          <w:rFonts w:hint="eastAsia" w:ascii="宋体" w:hAnsi="宋体"/>
          <w:color w:val="auto"/>
        </w:rPr>
        <w:t>。甲方违约的，违约金按约定金额支付，乙方违约的，违约金从采购款中扣除。</w:t>
      </w:r>
    </w:p>
    <w:p>
      <w:pPr>
        <w:snapToGrid w:val="0"/>
        <w:spacing w:line="360" w:lineRule="auto"/>
        <w:ind w:firstLine="420" w:firstLineChars="200"/>
        <w:rPr>
          <w:rFonts w:ascii="宋体" w:hAnsi="宋体"/>
          <w:color w:val="auto"/>
        </w:rPr>
      </w:pPr>
      <w:r>
        <w:rPr>
          <w:rFonts w:hint="eastAsia" w:ascii="宋体" w:hAnsi="宋体"/>
          <w:color w:val="auto"/>
        </w:rPr>
        <w:t>2、</w:t>
      </w:r>
      <w:r>
        <w:rPr>
          <w:rFonts w:hint="eastAsia"/>
          <w:color w:val="auto"/>
        </w:rPr>
        <w:t>乙方</w:t>
      </w:r>
      <w:r>
        <w:rPr>
          <w:color w:val="auto"/>
        </w:rPr>
        <w:t>给</w:t>
      </w:r>
      <w:r>
        <w:rPr>
          <w:rFonts w:hint="eastAsia"/>
          <w:color w:val="auto"/>
        </w:rPr>
        <w:t>甲方</w:t>
      </w:r>
      <w:r>
        <w:rPr>
          <w:color w:val="auto"/>
        </w:rPr>
        <w:t>造成的损失超过违约金额的，除</w:t>
      </w:r>
      <w:r>
        <w:rPr>
          <w:rFonts w:hint="eastAsia"/>
          <w:color w:val="auto"/>
        </w:rPr>
        <w:t>甲方</w:t>
      </w:r>
      <w:r>
        <w:rPr>
          <w:color w:val="auto"/>
        </w:rPr>
        <w:t>不予退还履约保证金部分外，</w:t>
      </w:r>
      <w:r>
        <w:rPr>
          <w:rFonts w:hint="eastAsia"/>
          <w:color w:val="auto"/>
        </w:rPr>
        <w:t>乙方</w:t>
      </w:r>
      <w:r>
        <w:rPr>
          <w:color w:val="auto"/>
        </w:rPr>
        <w:t>还应支付</w:t>
      </w:r>
      <w:r>
        <w:rPr>
          <w:rFonts w:hint="eastAsia"/>
          <w:color w:val="auto"/>
        </w:rPr>
        <w:t>甲方</w:t>
      </w:r>
      <w:r>
        <w:rPr>
          <w:color w:val="auto"/>
        </w:rPr>
        <w:t>高出违约金的部分</w:t>
      </w:r>
      <w:r>
        <w:rPr>
          <w:rFonts w:hint="eastAsia" w:ascii="宋体" w:hAnsi="宋体"/>
          <w:color w:val="auto"/>
        </w:rPr>
        <w:t>。</w:t>
      </w:r>
    </w:p>
    <w:p>
      <w:pPr>
        <w:shd w:val="clear"/>
        <w:snapToGrid w:val="0"/>
        <w:spacing w:line="360" w:lineRule="auto"/>
        <w:ind w:firstLine="420" w:firstLineChars="200"/>
        <w:rPr>
          <w:color w:val="auto"/>
          <w:highlight w:val="none"/>
        </w:rPr>
      </w:pPr>
      <w:r>
        <w:rPr>
          <w:rFonts w:hint="eastAsia" w:ascii="宋体" w:hAnsi="宋体"/>
          <w:color w:val="auto"/>
        </w:rPr>
        <w:t>3、</w:t>
      </w:r>
      <w:r>
        <w:rPr>
          <w:rFonts w:hint="eastAsia"/>
          <w:color w:val="auto"/>
        </w:rPr>
        <w:t>乙方</w:t>
      </w:r>
      <w:r>
        <w:rPr>
          <w:rFonts w:hint="eastAsia" w:ascii="宋体" w:hAnsi="宋体"/>
          <w:color w:val="auto"/>
        </w:rPr>
        <w:t>延迟履约、不完全履约或提供的服务不符合磋商文件和响应文件要求的。除支付</w:t>
      </w:r>
      <w:r>
        <w:rPr>
          <w:rFonts w:hint="eastAsia"/>
          <w:color w:val="auto"/>
        </w:rPr>
        <w:t>违约金外，仍需继续履行合同或重新提供符合要求的服务。</w:t>
      </w:r>
    </w:p>
    <w:p>
      <w:pPr>
        <w:pStyle w:val="21"/>
        <w:shd w:val="clear"/>
        <w:snapToGrid w:val="0"/>
        <w:spacing w:line="360" w:lineRule="auto"/>
        <w:ind w:firstLine="413" w:firstLineChars="196"/>
        <w:rPr>
          <w:rFonts w:hAnsi="宋体"/>
          <w:b/>
          <w:color w:val="auto"/>
          <w:highlight w:val="none"/>
        </w:rPr>
      </w:pPr>
      <w:r>
        <w:rPr>
          <w:rFonts w:hint="eastAsia" w:hAnsi="宋体"/>
          <w:b/>
          <w:color w:val="auto"/>
          <w:highlight w:val="none"/>
        </w:rPr>
        <w:t>第八条 不可抗力事件处理</w:t>
      </w:r>
    </w:p>
    <w:p>
      <w:pPr>
        <w:pStyle w:val="21"/>
        <w:snapToGrid w:val="0"/>
        <w:spacing w:line="360" w:lineRule="auto"/>
        <w:ind w:firstLine="420" w:firstLineChars="200"/>
        <w:rPr>
          <w:rFonts w:hAnsi="宋体"/>
          <w:color w:val="auto"/>
        </w:rPr>
      </w:pPr>
      <w:r>
        <w:rPr>
          <w:rFonts w:hint="eastAsia" w:hAnsi="宋体"/>
          <w:color w:val="auto"/>
        </w:rPr>
        <w:t>1、在合同有效期内，任何一方因不可抗力事件导致不能履行合同，则合同履行期可延长，其延长期与不可抗力影响期相同。</w:t>
      </w:r>
    </w:p>
    <w:p>
      <w:pPr>
        <w:pStyle w:val="21"/>
        <w:snapToGrid w:val="0"/>
        <w:spacing w:line="360" w:lineRule="auto"/>
        <w:ind w:firstLine="420" w:firstLineChars="200"/>
        <w:rPr>
          <w:rFonts w:hAnsi="宋体"/>
          <w:color w:val="auto"/>
        </w:rPr>
      </w:pPr>
      <w:r>
        <w:rPr>
          <w:rFonts w:hint="eastAsia" w:hAnsi="宋体"/>
          <w:color w:val="auto"/>
        </w:rPr>
        <w:t>2、不可抗力事件发生后，应立即通知对方，并寄送有关权威机构出具的证明。</w:t>
      </w:r>
    </w:p>
    <w:p>
      <w:pPr>
        <w:pStyle w:val="21"/>
        <w:shd w:val="clear"/>
        <w:snapToGrid w:val="0"/>
        <w:spacing w:line="360" w:lineRule="auto"/>
        <w:ind w:firstLine="420" w:firstLineChars="200"/>
        <w:rPr>
          <w:rFonts w:hAnsi="宋体"/>
          <w:color w:val="auto"/>
          <w:highlight w:val="none"/>
        </w:rPr>
      </w:pPr>
      <w:r>
        <w:rPr>
          <w:rFonts w:hint="eastAsia" w:hAnsi="宋体"/>
          <w:color w:val="auto"/>
        </w:rPr>
        <w:t>3、不可抗力事件延续一百二十天以上，双方应通过友好协商，确定是否继续履行合同。</w:t>
      </w:r>
    </w:p>
    <w:p>
      <w:pPr>
        <w:shd w:val="clear"/>
        <w:snapToGrid w:val="0"/>
        <w:spacing w:line="360" w:lineRule="auto"/>
        <w:ind w:firstLine="422" w:firstLineChars="200"/>
        <w:rPr>
          <w:rFonts w:ascii="宋体" w:hAnsi="宋体"/>
          <w:color w:val="auto"/>
          <w:highlight w:val="none"/>
        </w:rPr>
      </w:pPr>
      <w:r>
        <w:rPr>
          <w:rFonts w:hint="eastAsia" w:ascii="宋体" w:hAnsi="宋体"/>
          <w:b/>
          <w:color w:val="auto"/>
          <w:highlight w:val="none"/>
        </w:rPr>
        <w:t>第九条  合同争议解决</w:t>
      </w:r>
    </w:p>
    <w:p>
      <w:pPr>
        <w:snapToGrid w:val="0"/>
        <w:spacing w:line="360" w:lineRule="auto"/>
        <w:ind w:firstLine="420" w:firstLineChars="200"/>
        <w:rPr>
          <w:rFonts w:ascii="宋体" w:hAnsi="宋体"/>
          <w:color w:val="auto"/>
        </w:rPr>
      </w:pPr>
      <w:r>
        <w:rPr>
          <w:rFonts w:hint="eastAsia" w:ascii="宋体" w:hAnsi="宋体"/>
          <w:color w:val="auto"/>
        </w:rPr>
        <w:t>1、因服务质量问题发生争议的，应邀请国家认可的质量检测机构对服务质量进行鉴定。服务符合标准或要求的，鉴定费由甲方承担；服务不符合标准或要求的，鉴定费由乙方承担。</w:t>
      </w:r>
    </w:p>
    <w:p>
      <w:pPr>
        <w:snapToGrid w:val="0"/>
        <w:spacing w:line="360" w:lineRule="auto"/>
        <w:ind w:firstLine="420" w:firstLineChars="200"/>
        <w:rPr>
          <w:rFonts w:ascii="宋体" w:hAnsi="宋体"/>
          <w:color w:val="auto"/>
        </w:rPr>
      </w:pPr>
      <w:r>
        <w:rPr>
          <w:rFonts w:hint="eastAsia" w:ascii="宋体" w:hAnsi="宋体"/>
          <w:color w:val="auto"/>
        </w:rPr>
        <w:t>2、因履行本合同引起的或与本合同有关的争议，甲乙双方应首先通过友好协商解决，如果协商不能解决，可向甲方住所地人民法院提起诉讼。</w:t>
      </w:r>
    </w:p>
    <w:p>
      <w:pPr>
        <w:shd w:val="clear"/>
        <w:snapToGrid w:val="0"/>
        <w:spacing w:line="360" w:lineRule="auto"/>
        <w:ind w:firstLine="420" w:firstLineChars="200"/>
        <w:rPr>
          <w:rFonts w:ascii="宋体" w:hAnsi="宋体"/>
          <w:color w:val="auto"/>
          <w:highlight w:val="none"/>
        </w:rPr>
      </w:pPr>
      <w:r>
        <w:rPr>
          <w:rFonts w:hint="eastAsia" w:ascii="宋体" w:hAnsi="宋体"/>
          <w:color w:val="auto"/>
        </w:rPr>
        <w:t>3、诉讼期间，本合同继续履行。</w:t>
      </w:r>
    </w:p>
    <w:p>
      <w:pPr>
        <w:pStyle w:val="21"/>
        <w:shd w:val="clear"/>
        <w:snapToGrid w:val="0"/>
        <w:spacing w:line="360" w:lineRule="auto"/>
        <w:ind w:firstLine="413" w:firstLineChars="196"/>
        <w:rPr>
          <w:rFonts w:hAnsi="宋体"/>
          <w:b/>
          <w:color w:val="auto"/>
          <w:highlight w:val="none"/>
        </w:rPr>
      </w:pPr>
      <w:r>
        <w:rPr>
          <w:rFonts w:hint="eastAsia" w:hAnsi="宋体"/>
          <w:b/>
          <w:color w:val="auto"/>
          <w:highlight w:val="none"/>
        </w:rPr>
        <w:t>第十条  诉讼</w:t>
      </w:r>
    </w:p>
    <w:p>
      <w:pPr>
        <w:pStyle w:val="21"/>
        <w:snapToGrid w:val="0"/>
        <w:spacing w:line="360" w:lineRule="auto"/>
        <w:ind w:firstLine="411" w:firstLineChars="196"/>
        <w:rPr>
          <w:rFonts w:hAnsi="宋体"/>
          <w:color w:val="auto"/>
        </w:rPr>
      </w:pPr>
      <w:r>
        <w:rPr>
          <w:rFonts w:hint="eastAsia" w:hAnsi="宋体"/>
          <w:color w:val="auto"/>
        </w:rPr>
        <w:t>双方在执行合同中所发生的一切争议，应通过协商解决。如果协商不能解决，向甲方住所地人民法院提起诉讼。</w:t>
      </w:r>
    </w:p>
    <w:p>
      <w:pPr>
        <w:pStyle w:val="21"/>
        <w:shd w:val="clear"/>
        <w:snapToGrid w:val="0"/>
        <w:spacing w:line="360" w:lineRule="auto"/>
        <w:ind w:left="561" w:leftChars="267"/>
        <w:rPr>
          <w:rFonts w:hAnsi="宋体"/>
          <w:b/>
          <w:color w:val="auto"/>
          <w:highlight w:val="none"/>
        </w:rPr>
      </w:pPr>
      <w:r>
        <w:rPr>
          <w:rFonts w:hint="eastAsia" w:hAnsi="宋体"/>
          <w:b/>
          <w:color w:val="auto"/>
          <w:highlight w:val="none"/>
        </w:rPr>
        <w:t>第十一条 合同生效及其它</w:t>
      </w:r>
    </w:p>
    <w:p>
      <w:pPr>
        <w:pStyle w:val="21"/>
        <w:snapToGrid w:val="0"/>
        <w:spacing w:line="360" w:lineRule="auto"/>
        <w:ind w:firstLine="411" w:firstLineChars="196"/>
        <w:rPr>
          <w:rFonts w:hint="eastAsia" w:hAnsi="宋体"/>
          <w:color w:val="auto"/>
        </w:rPr>
      </w:pPr>
      <w:r>
        <w:rPr>
          <w:rFonts w:hint="eastAsia" w:hAnsi="宋体"/>
          <w:color w:val="auto"/>
        </w:rPr>
        <w:t>1、合同经双方法定代表人（负责人）或授权代表（委托代理人）签字并加盖单位公章后生效。</w:t>
      </w:r>
    </w:p>
    <w:p>
      <w:pPr>
        <w:pStyle w:val="21"/>
        <w:snapToGrid w:val="0"/>
        <w:spacing w:line="360" w:lineRule="auto"/>
        <w:ind w:firstLine="411" w:firstLineChars="196"/>
        <w:rPr>
          <w:rFonts w:hint="eastAsia" w:hAnsi="宋体"/>
          <w:color w:val="auto"/>
        </w:rPr>
      </w:pPr>
      <w:r>
        <w:rPr>
          <w:rFonts w:hint="eastAsia" w:hAnsi="宋体"/>
          <w:color w:val="auto"/>
        </w:rPr>
        <w:t>2、合同执行中涉及采购资金和采购内容修改或补充的，须经广西区财政厅政府采购监督管理处审批，并签书面补充协议报广西区财政厅政府采购监督管理处备案，方可作为主合同不可分割的一部分。</w:t>
      </w:r>
    </w:p>
    <w:p>
      <w:pPr>
        <w:pStyle w:val="21"/>
        <w:snapToGrid w:val="0"/>
        <w:spacing w:line="360" w:lineRule="auto"/>
        <w:ind w:firstLine="411" w:firstLineChars="196"/>
        <w:rPr>
          <w:rFonts w:hint="eastAsia" w:hAnsi="宋体"/>
          <w:color w:val="auto"/>
        </w:rPr>
      </w:pPr>
      <w:r>
        <w:rPr>
          <w:rFonts w:hint="eastAsia" w:hAnsi="宋体"/>
          <w:color w:val="auto"/>
        </w:rPr>
        <w:t>3、本合同未尽事宜，遵照《中华人民共和国民法典》有关条文执行。</w:t>
      </w:r>
    </w:p>
    <w:p>
      <w:pPr>
        <w:pStyle w:val="21"/>
        <w:snapToGrid w:val="0"/>
        <w:spacing w:line="360" w:lineRule="auto"/>
        <w:ind w:firstLine="411" w:firstLineChars="196"/>
        <w:rPr>
          <w:rFonts w:hint="eastAsia" w:hAnsi="宋体"/>
          <w:color w:val="auto"/>
        </w:rPr>
      </w:pPr>
      <w:r>
        <w:rPr>
          <w:rFonts w:hint="eastAsia" w:hAnsi="宋体"/>
          <w:color w:val="auto"/>
        </w:rPr>
        <w:t>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hd w:val="clear"/>
        <w:snapToGrid w:val="0"/>
        <w:spacing w:line="360" w:lineRule="auto"/>
        <w:ind w:firstLine="422" w:firstLineChars="200"/>
        <w:rPr>
          <w:rFonts w:ascii="宋体" w:hAnsi="宋体"/>
          <w:b/>
          <w:color w:val="auto"/>
          <w:highlight w:val="none"/>
        </w:rPr>
      </w:pPr>
      <w:r>
        <w:rPr>
          <w:rFonts w:hint="eastAsia" w:ascii="宋体" w:hAnsi="宋体"/>
          <w:b/>
          <w:color w:val="auto"/>
          <w:highlight w:val="none"/>
        </w:rPr>
        <w:t>第十二条　合同的变更、终止与转让</w:t>
      </w:r>
    </w:p>
    <w:p>
      <w:pPr>
        <w:snapToGrid w:val="0"/>
        <w:spacing w:line="360" w:lineRule="auto"/>
        <w:ind w:firstLine="420" w:firstLineChars="200"/>
        <w:rPr>
          <w:rFonts w:ascii="宋体" w:hAnsi="宋体"/>
          <w:color w:val="auto"/>
        </w:rPr>
      </w:pPr>
      <w:r>
        <w:rPr>
          <w:rFonts w:hint="eastAsia" w:ascii="宋体" w:hAnsi="宋体"/>
          <w:color w:val="auto"/>
        </w:rPr>
        <w:t>1、除《中华人民共和国政府采购法》第五十条规定的情形外，本合同一经签订，甲乙双方不得擅自变更、中止或终止。</w:t>
      </w:r>
    </w:p>
    <w:p>
      <w:pPr>
        <w:pStyle w:val="21"/>
        <w:snapToGrid w:val="0"/>
        <w:spacing w:line="360" w:lineRule="auto"/>
        <w:ind w:firstLine="411" w:firstLineChars="196"/>
        <w:rPr>
          <w:rFonts w:hAnsi="宋体"/>
          <w:b/>
          <w:color w:val="auto"/>
        </w:rPr>
      </w:pPr>
      <w:r>
        <w:rPr>
          <w:rFonts w:hint="eastAsia" w:hAnsi="宋体"/>
          <w:color w:val="auto"/>
        </w:rPr>
        <w:t>2、乙方不得擅自转让其应履行的合同义务。</w:t>
      </w:r>
    </w:p>
    <w:p>
      <w:pPr>
        <w:shd w:val="clear"/>
        <w:snapToGrid w:val="0"/>
        <w:spacing w:line="360" w:lineRule="auto"/>
        <w:ind w:firstLine="422" w:firstLineChars="200"/>
        <w:rPr>
          <w:rFonts w:ascii="宋体" w:hAnsi="宋体"/>
          <w:b/>
          <w:color w:val="auto"/>
          <w:highlight w:val="none"/>
        </w:rPr>
      </w:pPr>
      <w:r>
        <w:rPr>
          <w:rFonts w:hint="eastAsia" w:ascii="宋体" w:hAnsi="宋体"/>
          <w:b/>
          <w:color w:val="auto"/>
          <w:highlight w:val="none"/>
        </w:rPr>
        <w:t>第十三条　签订本合同依据</w:t>
      </w:r>
    </w:p>
    <w:p>
      <w:pPr>
        <w:shd w:val="clear"/>
        <w:snapToGrid w:val="0"/>
        <w:spacing w:line="360" w:lineRule="auto"/>
        <w:ind w:firstLine="420" w:firstLineChars="200"/>
        <w:rPr>
          <w:rFonts w:ascii="宋体" w:hAnsi="宋体"/>
          <w:color w:val="auto"/>
          <w:highlight w:val="none"/>
        </w:rPr>
      </w:pPr>
      <w:r>
        <w:rPr>
          <w:rFonts w:hint="eastAsia" w:ascii="宋体" w:hAnsi="宋体"/>
          <w:color w:val="auto"/>
          <w:highlight w:val="none"/>
        </w:rPr>
        <w:t>1、磋商文件；</w:t>
      </w:r>
    </w:p>
    <w:p>
      <w:pPr>
        <w:shd w:val="clear"/>
        <w:snapToGrid w:val="0"/>
        <w:spacing w:line="360" w:lineRule="auto"/>
        <w:ind w:firstLine="420" w:firstLineChars="200"/>
        <w:rPr>
          <w:rFonts w:ascii="宋体" w:hAnsi="宋体"/>
          <w:color w:val="auto"/>
          <w:highlight w:val="none"/>
        </w:rPr>
      </w:pPr>
      <w:r>
        <w:rPr>
          <w:rFonts w:hint="eastAsia" w:ascii="宋体" w:hAnsi="宋体"/>
          <w:color w:val="auto"/>
          <w:highlight w:val="none"/>
        </w:rPr>
        <w:t>2、乙方提供的响应文件；</w:t>
      </w:r>
    </w:p>
    <w:p>
      <w:pPr>
        <w:shd w:val="clear"/>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3、磋商书； </w:t>
      </w:r>
    </w:p>
    <w:p>
      <w:pPr>
        <w:shd w:val="clear"/>
        <w:snapToGrid w:val="0"/>
        <w:spacing w:line="360" w:lineRule="auto"/>
        <w:ind w:firstLine="420" w:firstLineChars="200"/>
        <w:rPr>
          <w:rFonts w:ascii="宋体" w:hAnsi="宋体"/>
          <w:color w:val="auto"/>
          <w:highlight w:val="none"/>
          <w:u w:val="single"/>
        </w:rPr>
      </w:pPr>
      <w:r>
        <w:rPr>
          <w:rFonts w:hint="eastAsia" w:ascii="宋体" w:hAnsi="宋体"/>
          <w:color w:val="auto"/>
          <w:highlight w:val="none"/>
        </w:rPr>
        <w:t>4、成交通知书。</w:t>
      </w:r>
    </w:p>
    <w:p>
      <w:pPr>
        <w:shd w:val="clear"/>
        <w:snapToGrid w:val="0"/>
        <w:spacing w:line="360" w:lineRule="auto"/>
        <w:ind w:firstLine="422" w:firstLineChars="200"/>
        <w:rPr>
          <w:rFonts w:ascii="宋体" w:hAnsi="宋体"/>
          <w:color w:val="auto"/>
          <w:highlight w:val="none"/>
        </w:rPr>
      </w:pPr>
      <w:r>
        <w:rPr>
          <w:rFonts w:hint="eastAsia" w:ascii="宋体" w:hAnsi="宋体"/>
          <w:b/>
          <w:color w:val="auto"/>
          <w:highlight w:val="none"/>
        </w:rPr>
        <w:t>第十四条　</w:t>
      </w:r>
      <w:r>
        <w:rPr>
          <w:rFonts w:hint="eastAsia" w:ascii="宋体" w:hAnsi="宋体"/>
          <w:color w:val="auto"/>
          <w:highlight w:val="none"/>
        </w:rPr>
        <w:t>本合同一式八份，具有同等法律效力，监督管理、采购代理机构各一份，甲乙双方各三份（可根据需要另增加）。</w:t>
      </w:r>
    </w:p>
    <w:p>
      <w:pPr>
        <w:shd w:val="clear"/>
        <w:snapToGrid w:val="0"/>
        <w:spacing w:line="400" w:lineRule="exact"/>
        <w:ind w:firstLine="420" w:firstLineChars="200"/>
        <w:rPr>
          <w:rFonts w:ascii="宋体" w:hAnsi="宋体"/>
          <w:color w:val="auto"/>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 xml:space="preserve">甲方（章）广西国际商务职业技术学院 </w:t>
            </w:r>
          </w:p>
          <w:p>
            <w:pPr>
              <w:shd w:val="clear"/>
              <w:snapToGrid w:val="0"/>
              <w:spacing w:line="400" w:lineRule="exact"/>
              <w:ind w:firstLine="945" w:firstLineChars="450"/>
              <w:jc w:val="right"/>
              <w:rPr>
                <w:rFonts w:ascii="宋体" w:hAnsi="宋体"/>
                <w:color w:val="auto"/>
                <w:highlight w:val="none"/>
              </w:rPr>
            </w:pPr>
            <w:r>
              <w:rPr>
                <w:rFonts w:hint="eastAsia" w:ascii="宋体" w:hAnsi="宋体"/>
                <w:color w:val="auto"/>
                <w:highlight w:val="none"/>
              </w:rPr>
              <w:t>年   月   日</w:t>
            </w:r>
          </w:p>
        </w:tc>
        <w:tc>
          <w:tcPr>
            <w:tcW w:w="4517"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 xml:space="preserve">乙方（章）              </w:t>
            </w:r>
          </w:p>
          <w:p>
            <w:pPr>
              <w:shd w:val="clear"/>
              <w:snapToGrid w:val="0"/>
              <w:spacing w:line="400" w:lineRule="exact"/>
              <w:rPr>
                <w:rFonts w:ascii="宋体" w:hAnsi="宋体"/>
                <w:color w:val="auto"/>
                <w:highlight w:val="none"/>
              </w:rPr>
            </w:pPr>
          </w:p>
          <w:p>
            <w:pPr>
              <w:shd w:val="clear"/>
              <w:snapToGrid w:val="0"/>
              <w:spacing w:line="400" w:lineRule="exact"/>
              <w:jc w:val="right"/>
              <w:rPr>
                <w:rFonts w:ascii="宋体" w:hAnsi="宋体"/>
                <w:color w:val="auto"/>
                <w:highlight w:val="none"/>
              </w:rPr>
            </w:pPr>
            <w:r>
              <w:rPr>
                <w:rFonts w:hint="eastAsia" w:ascii="宋体" w:hAnsi="宋体"/>
                <w:color w:val="auto"/>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单位地址：广西南宁市大学东路168号</w:t>
            </w:r>
          </w:p>
        </w:tc>
        <w:tc>
          <w:tcPr>
            <w:tcW w:w="4517"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法定代表人：</w:t>
            </w:r>
          </w:p>
        </w:tc>
        <w:tc>
          <w:tcPr>
            <w:tcW w:w="4517"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委托代理人：</w:t>
            </w:r>
          </w:p>
        </w:tc>
        <w:tc>
          <w:tcPr>
            <w:tcW w:w="4517"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电话：0771-3224391</w:t>
            </w:r>
          </w:p>
        </w:tc>
        <w:tc>
          <w:tcPr>
            <w:tcW w:w="4517"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电子邮箱：</w:t>
            </w:r>
          </w:p>
        </w:tc>
        <w:tc>
          <w:tcPr>
            <w:tcW w:w="4517"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开户银行：中国银行南宁高新区科技支行</w:t>
            </w:r>
          </w:p>
        </w:tc>
        <w:tc>
          <w:tcPr>
            <w:tcW w:w="4517"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账号：6145 8185 9133</w:t>
            </w:r>
          </w:p>
        </w:tc>
        <w:tc>
          <w:tcPr>
            <w:tcW w:w="4517"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邮政编码：</w:t>
            </w:r>
            <w:r>
              <w:rPr>
                <w:rFonts w:hint="eastAsia" w:ascii="宋体" w:hAnsi="宋体" w:cs="宋体"/>
                <w:color w:val="auto"/>
                <w:highlight w:val="none"/>
              </w:rPr>
              <w:t>530007</w:t>
            </w:r>
          </w:p>
        </w:tc>
        <w:tc>
          <w:tcPr>
            <w:tcW w:w="4517" w:type="dxa"/>
            <w:vAlign w:val="center"/>
          </w:tcPr>
          <w:p>
            <w:pPr>
              <w:shd w:val="clear"/>
              <w:snapToGrid w:val="0"/>
              <w:spacing w:line="400" w:lineRule="exact"/>
              <w:rPr>
                <w:rFonts w:ascii="宋体" w:hAnsi="宋体"/>
                <w:color w:val="auto"/>
                <w:highlight w:val="none"/>
              </w:rPr>
            </w:pPr>
            <w:r>
              <w:rPr>
                <w:rFonts w:hint="eastAsia" w:ascii="宋体" w:hAnsi="宋体"/>
                <w:color w:val="auto"/>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9033" w:type="dxa"/>
            <w:gridSpan w:val="2"/>
          </w:tcPr>
          <w:p>
            <w:pPr>
              <w:shd w:val="clear"/>
              <w:snapToGrid w:val="0"/>
              <w:spacing w:line="400" w:lineRule="exact"/>
              <w:rPr>
                <w:rFonts w:ascii="宋体" w:hAnsi="宋体"/>
                <w:color w:val="auto"/>
                <w:highlight w:val="none"/>
              </w:rPr>
            </w:pPr>
            <w:r>
              <w:rPr>
                <w:rFonts w:hint="eastAsia" w:ascii="宋体" w:hAnsi="宋体"/>
                <w:color w:val="auto"/>
                <w:highlight w:val="none"/>
              </w:rPr>
              <w:t>经办人：</w:t>
            </w:r>
          </w:p>
          <w:p>
            <w:pPr>
              <w:shd w:val="clear"/>
              <w:snapToGrid w:val="0"/>
              <w:spacing w:line="400" w:lineRule="exact"/>
              <w:ind w:firstLine="630" w:firstLineChars="300"/>
              <w:jc w:val="right"/>
              <w:rPr>
                <w:rFonts w:ascii="宋体" w:hAnsi="宋体"/>
                <w:color w:val="auto"/>
                <w:highlight w:val="none"/>
              </w:rPr>
            </w:pPr>
            <w:r>
              <w:rPr>
                <w:rFonts w:hint="eastAsia" w:ascii="宋体" w:hAnsi="宋体"/>
                <w:color w:val="auto"/>
                <w:highlight w:val="none"/>
              </w:rPr>
              <w:t>年    月    日</w:t>
            </w:r>
          </w:p>
        </w:tc>
      </w:tr>
    </w:tbl>
    <w:p>
      <w:pPr>
        <w:shd w:val="clear"/>
        <w:snapToGrid w:val="0"/>
        <w:ind w:left="420" w:hanging="420" w:hangingChars="200"/>
        <w:rPr>
          <w:rFonts w:ascii="宋体" w:hAnsi="宋体"/>
          <w:color w:val="auto"/>
          <w:highlight w:val="none"/>
        </w:rPr>
      </w:pPr>
    </w:p>
    <w:p>
      <w:pPr>
        <w:shd w:val="clear"/>
        <w:snapToGrid w:val="0"/>
        <w:spacing w:line="360" w:lineRule="auto"/>
        <w:jc w:val="center"/>
        <w:rPr>
          <w:rFonts w:ascii="宋体" w:hAnsi="宋体"/>
          <w:b/>
          <w:color w:val="auto"/>
          <w:highlight w:val="none"/>
        </w:rPr>
      </w:pPr>
      <w:r>
        <w:rPr>
          <w:rFonts w:hint="eastAsia" w:ascii="宋体" w:hAnsi="宋体"/>
          <w:b/>
          <w:color w:val="auto"/>
          <w:highlight w:val="none"/>
        </w:rPr>
        <w:t>合 同 附 件</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9369" w:type="dxa"/>
            <w:gridSpan w:val="2"/>
            <w:tcBorders>
              <w:top w:val="single" w:color="auto" w:sz="4" w:space="0"/>
              <w:left w:val="single" w:color="auto" w:sz="4" w:space="0"/>
              <w:right w:val="single" w:color="auto" w:sz="4" w:space="0"/>
            </w:tcBorders>
          </w:tcPr>
          <w:p>
            <w:pPr>
              <w:shd w:val="clear"/>
              <w:snapToGrid w:val="0"/>
              <w:ind w:left="-552" w:leftChars="-263" w:firstLine="422"/>
              <w:rPr>
                <w:rFonts w:hAnsi="宋体"/>
                <w:color w:val="auto"/>
                <w:highlight w:val="none"/>
              </w:rPr>
            </w:pPr>
            <w:r>
              <w:rPr>
                <w:rFonts w:hint="eastAsia" w:hAnsi="宋体"/>
                <w:color w:val="auto"/>
                <w:highlight w:val="none"/>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9369" w:type="dxa"/>
            <w:gridSpan w:val="2"/>
            <w:tcBorders>
              <w:top w:val="single" w:color="auto" w:sz="4" w:space="0"/>
              <w:left w:val="single" w:color="auto" w:sz="4" w:space="0"/>
              <w:right w:val="single" w:color="auto" w:sz="4" w:space="0"/>
            </w:tcBorders>
          </w:tcPr>
          <w:p>
            <w:pPr>
              <w:shd w:val="clear"/>
              <w:snapToGrid w:val="0"/>
              <w:rPr>
                <w:rFonts w:hAnsi="宋体"/>
                <w:color w:val="auto"/>
                <w:highlight w:val="none"/>
              </w:rPr>
            </w:pPr>
            <w:r>
              <w:rPr>
                <w:rFonts w:hint="eastAsia" w:hAnsi="宋体"/>
                <w:color w:val="auto"/>
                <w:highlight w:val="none"/>
              </w:rPr>
              <w:t>2、质保期责任：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9369" w:type="dxa"/>
            <w:gridSpan w:val="2"/>
            <w:tcBorders>
              <w:top w:val="single" w:color="auto" w:sz="4" w:space="0"/>
              <w:left w:val="single" w:color="auto" w:sz="4" w:space="0"/>
              <w:right w:val="single" w:color="auto" w:sz="4" w:space="0"/>
            </w:tcBorders>
          </w:tcPr>
          <w:p>
            <w:pPr>
              <w:shd w:val="clear"/>
              <w:snapToGrid w:val="0"/>
              <w:rPr>
                <w:rFonts w:hAnsi="宋体"/>
                <w:color w:val="auto"/>
                <w:highlight w:val="none"/>
              </w:rPr>
            </w:pPr>
            <w:r>
              <w:rPr>
                <w:rFonts w:hint="eastAsia" w:hAnsi="宋体"/>
                <w:color w:val="auto"/>
                <w:highlight w:val="none"/>
              </w:rPr>
              <w:t>3、其他具体事项：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4904" w:type="dxa"/>
            <w:tcBorders>
              <w:top w:val="single" w:color="auto" w:sz="4" w:space="0"/>
              <w:left w:val="single" w:color="auto" w:sz="4" w:space="0"/>
              <w:bottom w:val="single" w:color="auto" w:sz="4" w:space="0"/>
              <w:right w:val="single" w:color="auto" w:sz="4" w:space="0"/>
            </w:tcBorders>
            <w:vAlign w:val="center"/>
          </w:tcPr>
          <w:p>
            <w:pPr>
              <w:shd w:val="clear"/>
              <w:snapToGrid w:val="0"/>
              <w:ind w:firstLine="422"/>
              <w:rPr>
                <w:rFonts w:hAnsi="宋体"/>
                <w:color w:val="auto"/>
                <w:highlight w:val="none"/>
              </w:rPr>
            </w:pPr>
            <w:r>
              <w:rPr>
                <w:rFonts w:hint="eastAsia" w:hAnsi="宋体"/>
                <w:color w:val="auto"/>
                <w:highlight w:val="none"/>
              </w:rPr>
              <w:t>甲方（章）</w:t>
            </w:r>
          </w:p>
          <w:p>
            <w:pPr>
              <w:shd w:val="clear"/>
              <w:snapToGrid w:val="0"/>
              <w:ind w:firstLine="422"/>
              <w:rPr>
                <w:rFonts w:hAnsi="宋体"/>
                <w:color w:val="auto"/>
                <w:highlight w:val="none"/>
              </w:rPr>
            </w:pPr>
          </w:p>
          <w:p>
            <w:pPr>
              <w:shd w:val="clear"/>
              <w:snapToGrid w:val="0"/>
              <w:ind w:firstLine="422"/>
              <w:rPr>
                <w:rFonts w:hAnsi="宋体"/>
                <w:color w:val="auto"/>
                <w:highlight w:val="none"/>
              </w:rPr>
            </w:pPr>
          </w:p>
          <w:p>
            <w:pPr>
              <w:shd w:val="clear"/>
              <w:snapToGrid w:val="0"/>
              <w:ind w:firstLine="422"/>
              <w:rPr>
                <w:rFonts w:hAnsi="宋体"/>
                <w:color w:val="auto"/>
                <w:highlight w:val="none"/>
              </w:rPr>
            </w:pPr>
          </w:p>
          <w:p>
            <w:pPr>
              <w:shd w:val="clear"/>
              <w:snapToGrid w:val="0"/>
              <w:ind w:firstLine="422"/>
              <w:rPr>
                <w:rFonts w:hAnsi="宋体"/>
                <w:color w:val="auto"/>
                <w:highlight w:val="none"/>
              </w:rPr>
            </w:pPr>
          </w:p>
          <w:p>
            <w:pPr>
              <w:shd w:val="clear"/>
              <w:snapToGrid w:val="0"/>
              <w:ind w:firstLine="422"/>
              <w:rPr>
                <w:rFonts w:hAnsi="宋体"/>
                <w:color w:val="auto"/>
                <w:highlight w:val="none"/>
              </w:rPr>
            </w:pPr>
          </w:p>
          <w:p>
            <w:pPr>
              <w:shd w:val="clear"/>
              <w:snapToGrid w:val="0"/>
              <w:ind w:firstLine="422"/>
              <w:rPr>
                <w:rFonts w:hAnsi="宋体"/>
                <w:color w:val="auto"/>
                <w:highlight w:val="none"/>
              </w:rPr>
            </w:pPr>
          </w:p>
          <w:p>
            <w:pPr>
              <w:shd w:val="clear"/>
              <w:snapToGrid w:val="0"/>
              <w:ind w:firstLine="422"/>
              <w:rPr>
                <w:rFonts w:hAnsi="宋体"/>
                <w:color w:val="auto"/>
                <w:highlight w:val="none"/>
              </w:rPr>
            </w:pPr>
            <w:r>
              <w:rPr>
                <w:rFonts w:hint="eastAsia" w:hAnsi="宋体"/>
                <w:color w:val="auto"/>
                <w:highlight w:val="none"/>
              </w:rPr>
              <w:t xml:space="preserve">                 年   月   日 </w:t>
            </w:r>
          </w:p>
        </w:tc>
        <w:tc>
          <w:tcPr>
            <w:tcW w:w="4465" w:type="dxa"/>
            <w:tcBorders>
              <w:top w:val="single" w:color="auto" w:sz="4" w:space="0"/>
              <w:left w:val="single" w:color="auto" w:sz="4" w:space="0"/>
              <w:bottom w:val="single" w:color="auto" w:sz="4" w:space="0"/>
              <w:right w:val="single" w:color="auto" w:sz="4" w:space="0"/>
            </w:tcBorders>
            <w:vAlign w:val="center"/>
          </w:tcPr>
          <w:p>
            <w:pPr>
              <w:shd w:val="clear"/>
              <w:snapToGrid w:val="0"/>
              <w:ind w:firstLine="422"/>
              <w:rPr>
                <w:rFonts w:hAnsi="宋体"/>
                <w:color w:val="auto"/>
                <w:highlight w:val="none"/>
              </w:rPr>
            </w:pPr>
            <w:r>
              <w:rPr>
                <w:rFonts w:hint="eastAsia" w:hAnsi="宋体"/>
                <w:color w:val="auto"/>
                <w:highlight w:val="none"/>
              </w:rPr>
              <w:t>乙方（章）</w:t>
            </w:r>
          </w:p>
          <w:p>
            <w:pPr>
              <w:shd w:val="clear"/>
              <w:snapToGrid w:val="0"/>
              <w:ind w:firstLine="422"/>
              <w:rPr>
                <w:rFonts w:hAnsi="宋体"/>
                <w:color w:val="auto"/>
                <w:highlight w:val="none"/>
              </w:rPr>
            </w:pPr>
          </w:p>
          <w:p>
            <w:pPr>
              <w:shd w:val="clear"/>
              <w:snapToGrid w:val="0"/>
              <w:ind w:firstLine="422"/>
              <w:rPr>
                <w:rFonts w:hAnsi="宋体"/>
                <w:color w:val="auto"/>
                <w:highlight w:val="none"/>
              </w:rPr>
            </w:pPr>
          </w:p>
          <w:p>
            <w:pPr>
              <w:shd w:val="clear"/>
              <w:snapToGrid w:val="0"/>
              <w:ind w:firstLine="422"/>
              <w:rPr>
                <w:rFonts w:hAnsi="宋体"/>
                <w:color w:val="auto"/>
                <w:highlight w:val="none"/>
              </w:rPr>
            </w:pPr>
          </w:p>
          <w:p>
            <w:pPr>
              <w:shd w:val="clear"/>
              <w:snapToGrid w:val="0"/>
              <w:ind w:firstLine="422"/>
              <w:rPr>
                <w:rFonts w:hAnsi="宋体"/>
                <w:color w:val="auto"/>
                <w:highlight w:val="none"/>
              </w:rPr>
            </w:pPr>
          </w:p>
          <w:p>
            <w:pPr>
              <w:shd w:val="clear"/>
              <w:snapToGrid w:val="0"/>
              <w:ind w:firstLine="422"/>
              <w:rPr>
                <w:rFonts w:hAnsi="宋体"/>
                <w:color w:val="auto"/>
                <w:highlight w:val="none"/>
              </w:rPr>
            </w:pPr>
          </w:p>
          <w:p>
            <w:pPr>
              <w:shd w:val="clear"/>
              <w:snapToGrid w:val="0"/>
              <w:ind w:firstLine="422"/>
              <w:rPr>
                <w:rFonts w:hAnsi="宋体"/>
                <w:color w:val="auto"/>
                <w:highlight w:val="none"/>
              </w:rPr>
            </w:pPr>
          </w:p>
          <w:p>
            <w:pPr>
              <w:shd w:val="clear"/>
              <w:snapToGrid w:val="0"/>
              <w:ind w:firstLine="422"/>
              <w:rPr>
                <w:rFonts w:hAnsi="宋体"/>
                <w:color w:val="auto"/>
                <w:highlight w:val="none"/>
              </w:rPr>
            </w:pPr>
            <w:r>
              <w:rPr>
                <w:rFonts w:hint="eastAsia" w:hAnsi="宋体"/>
                <w:color w:val="auto"/>
                <w:highlight w:val="none"/>
              </w:rPr>
              <w:t xml:space="preserve">                年   月   日</w:t>
            </w:r>
          </w:p>
        </w:tc>
      </w:tr>
    </w:tbl>
    <w:p>
      <w:pPr>
        <w:shd w:val="clear"/>
        <w:snapToGrid w:val="0"/>
        <w:rPr>
          <w:rFonts w:ascii="宋体" w:hAnsi="宋体"/>
          <w:b/>
          <w:bCs/>
          <w:color w:val="auto"/>
          <w:sz w:val="30"/>
          <w:szCs w:val="30"/>
          <w:highlight w:val="none"/>
        </w:rPr>
        <w:sectPr>
          <w:pgSz w:w="11906" w:h="16838"/>
          <w:pgMar w:top="1247" w:right="1474" w:bottom="1247" w:left="1474" w:header="851" w:footer="992" w:gutter="0"/>
          <w:cols w:space="720" w:num="1"/>
          <w:titlePg/>
          <w:docGrid w:type="lines" w:linePitch="312" w:charSpace="0"/>
        </w:sectPr>
      </w:pPr>
      <w:r>
        <w:rPr>
          <w:rFonts w:hint="eastAsia" w:ascii="宋体" w:hAnsi="宋体"/>
          <w:color w:val="auto"/>
          <w:highlight w:val="none"/>
        </w:rPr>
        <w:t xml:space="preserve">  注：填不下时可另加附页</w:t>
      </w:r>
    </w:p>
    <w:p>
      <w:pPr>
        <w:pStyle w:val="21"/>
        <w:pageBreakBefore/>
        <w:shd w:val="clear"/>
        <w:spacing w:line="360" w:lineRule="exact"/>
        <w:jc w:val="center"/>
        <w:rPr>
          <w:rFonts w:hAnsi="宋体"/>
          <w:b/>
          <w:bCs/>
          <w:color w:val="auto"/>
          <w:kern w:val="0"/>
          <w:highlight w:val="none"/>
        </w:rPr>
      </w:pPr>
      <w:r>
        <w:rPr>
          <w:rFonts w:hint="eastAsia" w:hAnsi="宋体"/>
          <w:b/>
          <w:bCs/>
          <w:color w:val="auto"/>
          <w:kern w:val="0"/>
          <w:highlight w:val="none"/>
        </w:rPr>
        <w:t xml:space="preserve"> </w:t>
      </w:r>
    </w:p>
    <w:p>
      <w:pPr>
        <w:pStyle w:val="21"/>
        <w:shd w:val="clear"/>
        <w:spacing w:line="360" w:lineRule="exact"/>
        <w:jc w:val="center"/>
        <w:rPr>
          <w:rFonts w:hAnsi="宋体"/>
          <w:b/>
          <w:bCs/>
          <w:color w:val="auto"/>
          <w:kern w:val="0"/>
          <w:highlight w:val="none"/>
        </w:rPr>
      </w:pPr>
      <w:r>
        <w:rPr>
          <w:rFonts w:hint="eastAsia" w:hAnsi="宋体"/>
          <w:b/>
          <w:bCs/>
          <w:color w:val="auto"/>
          <w:kern w:val="0"/>
          <w:highlight w:val="none"/>
        </w:rPr>
        <w:t xml:space="preserve"> </w:t>
      </w:r>
    </w:p>
    <w:p>
      <w:pPr>
        <w:pStyle w:val="21"/>
        <w:shd w:val="clear"/>
        <w:spacing w:line="360" w:lineRule="exact"/>
        <w:jc w:val="center"/>
        <w:rPr>
          <w:rFonts w:hAnsi="宋体"/>
          <w:b/>
          <w:bCs/>
          <w:color w:val="auto"/>
          <w:kern w:val="0"/>
          <w:highlight w:val="none"/>
        </w:rPr>
      </w:pPr>
      <w:r>
        <w:rPr>
          <w:rFonts w:hint="eastAsia" w:hAnsi="宋体"/>
          <w:b/>
          <w:bCs/>
          <w:color w:val="auto"/>
          <w:kern w:val="0"/>
          <w:highlight w:val="none"/>
        </w:rPr>
        <w:t xml:space="preserve"> </w:t>
      </w:r>
    </w:p>
    <w:p>
      <w:pPr>
        <w:pStyle w:val="21"/>
        <w:shd w:val="clear"/>
        <w:spacing w:line="360" w:lineRule="exact"/>
        <w:jc w:val="center"/>
        <w:rPr>
          <w:rFonts w:hAnsi="宋体"/>
          <w:b/>
          <w:bCs/>
          <w:color w:val="auto"/>
          <w:kern w:val="0"/>
          <w:highlight w:val="none"/>
        </w:rPr>
      </w:pPr>
      <w:r>
        <w:rPr>
          <w:rFonts w:hint="eastAsia" w:hAnsi="宋体"/>
          <w:b/>
          <w:bCs/>
          <w:color w:val="auto"/>
          <w:kern w:val="0"/>
          <w:highlight w:val="none"/>
        </w:rPr>
        <w:t xml:space="preserve"> </w:t>
      </w:r>
    </w:p>
    <w:p>
      <w:pPr>
        <w:pStyle w:val="21"/>
        <w:shd w:val="clear"/>
        <w:spacing w:line="360" w:lineRule="exact"/>
        <w:jc w:val="center"/>
        <w:rPr>
          <w:rFonts w:hAnsi="宋体"/>
          <w:b/>
          <w:bCs/>
          <w:color w:val="auto"/>
          <w:kern w:val="0"/>
          <w:highlight w:val="none"/>
        </w:rPr>
      </w:pPr>
      <w:r>
        <w:rPr>
          <w:rFonts w:hint="eastAsia" w:hAnsi="宋体"/>
          <w:b/>
          <w:bCs/>
          <w:color w:val="auto"/>
          <w:kern w:val="0"/>
          <w:highlight w:val="none"/>
        </w:rPr>
        <w:t xml:space="preserve"> </w:t>
      </w:r>
    </w:p>
    <w:p>
      <w:pPr>
        <w:pStyle w:val="21"/>
        <w:shd w:val="clear"/>
        <w:spacing w:line="360" w:lineRule="exact"/>
        <w:jc w:val="center"/>
        <w:rPr>
          <w:rFonts w:hAnsi="宋体"/>
          <w:b/>
          <w:bCs/>
          <w:color w:val="auto"/>
          <w:kern w:val="0"/>
          <w:highlight w:val="none"/>
        </w:rPr>
      </w:pPr>
      <w:r>
        <w:rPr>
          <w:rFonts w:hint="eastAsia" w:hAnsi="宋体"/>
          <w:b/>
          <w:bCs/>
          <w:color w:val="auto"/>
          <w:kern w:val="0"/>
          <w:highlight w:val="none"/>
        </w:rPr>
        <w:t xml:space="preserve"> </w:t>
      </w:r>
    </w:p>
    <w:p>
      <w:pPr>
        <w:pStyle w:val="21"/>
        <w:shd w:val="clear"/>
        <w:spacing w:line="360" w:lineRule="exact"/>
        <w:jc w:val="center"/>
        <w:rPr>
          <w:rFonts w:hAnsi="宋体"/>
          <w:b/>
          <w:bCs/>
          <w:color w:val="auto"/>
          <w:kern w:val="0"/>
          <w:highlight w:val="none"/>
        </w:rPr>
      </w:pPr>
      <w:r>
        <w:rPr>
          <w:rFonts w:hint="eastAsia" w:hAnsi="宋体"/>
          <w:b/>
          <w:bCs/>
          <w:color w:val="auto"/>
          <w:kern w:val="0"/>
          <w:highlight w:val="none"/>
        </w:rPr>
        <w:t xml:space="preserve"> </w:t>
      </w:r>
    </w:p>
    <w:p>
      <w:pPr>
        <w:pStyle w:val="21"/>
        <w:shd w:val="clear"/>
        <w:spacing w:line="360" w:lineRule="exact"/>
        <w:jc w:val="center"/>
        <w:rPr>
          <w:rFonts w:hAnsi="宋体"/>
          <w:b/>
          <w:bCs/>
          <w:color w:val="auto"/>
          <w:kern w:val="0"/>
          <w:highlight w:val="none"/>
        </w:rPr>
      </w:pPr>
      <w:r>
        <w:rPr>
          <w:rFonts w:hint="eastAsia" w:hAnsi="宋体"/>
          <w:b/>
          <w:bCs/>
          <w:color w:val="auto"/>
          <w:kern w:val="0"/>
          <w:highlight w:val="none"/>
        </w:rPr>
        <w:t xml:space="preserve"> </w:t>
      </w:r>
    </w:p>
    <w:p>
      <w:pPr>
        <w:pStyle w:val="21"/>
        <w:shd w:val="clear"/>
        <w:spacing w:line="360" w:lineRule="exact"/>
        <w:jc w:val="center"/>
        <w:rPr>
          <w:rFonts w:hAnsi="宋体"/>
          <w:b/>
          <w:bCs/>
          <w:color w:val="auto"/>
          <w:kern w:val="0"/>
          <w:highlight w:val="none"/>
        </w:rPr>
      </w:pPr>
      <w:r>
        <w:rPr>
          <w:rFonts w:hint="eastAsia" w:hAnsi="宋体"/>
          <w:b/>
          <w:bCs/>
          <w:color w:val="auto"/>
          <w:kern w:val="0"/>
          <w:highlight w:val="none"/>
        </w:rPr>
        <w:t xml:space="preserve"> </w:t>
      </w:r>
    </w:p>
    <w:p>
      <w:pPr>
        <w:pStyle w:val="21"/>
        <w:shd w:val="clear"/>
        <w:spacing w:line="360" w:lineRule="exact"/>
        <w:jc w:val="center"/>
        <w:rPr>
          <w:rFonts w:hAnsi="宋体"/>
          <w:b/>
          <w:bCs/>
          <w:color w:val="auto"/>
          <w:kern w:val="0"/>
          <w:highlight w:val="none"/>
        </w:rPr>
      </w:pPr>
      <w:r>
        <w:rPr>
          <w:rFonts w:hint="eastAsia" w:hAnsi="宋体"/>
          <w:b/>
          <w:bCs/>
          <w:color w:val="auto"/>
          <w:kern w:val="0"/>
          <w:highlight w:val="none"/>
        </w:rPr>
        <w:t xml:space="preserve"> </w:t>
      </w:r>
    </w:p>
    <w:p>
      <w:pPr>
        <w:pStyle w:val="21"/>
        <w:shd w:val="clear"/>
        <w:spacing w:line="360" w:lineRule="exact"/>
        <w:jc w:val="center"/>
        <w:rPr>
          <w:rFonts w:hAnsi="宋体"/>
          <w:b/>
          <w:bCs/>
          <w:color w:val="auto"/>
          <w:kern w:val="0"/>
          <w:highlight w:val="none"/>
        </w:rPr>
      </w:pPr>
      <w:r>
        <w:rPr>
          <w:rFonts w:hint="eastAsia" w:hAnsi="宋体"/>
          <w:b/>
          <w:bCs/>
          <w:color w:val="auto"/>
          <w:kern w:val="0"/>
          <w:highlight w:val="none"/>
        </w:rPr>
        <w:t xml:space="preserve"> </w:t>
      </w:r>
    </w:p>
    <w:p>
      <w:pPr>
        <w:pStyle w:val="21"/>
        <w:shd w:val="clear"/>
        <w:spacing w:line="360" w:lineRule="exact"/>
        <w:jc w:val="center"/>
        <w:rPr>
          <w:rFonts w:hAnsi="宋体"/>
          <w:b/>
          <w:bCs/>
          <w:color w:val="auto"/>
          <w:kern w:val="0"/>
          <w:highlight w:val="none"/>
        </w:rPr>
      </w:pPr>
      <w:r>
        <w:rPr>
          <w:rFonts w:hint="eastAsia" w:hAnsi="宋体"/>
          <w:b/>
          <w:bCs/>
          <w:color w:val="auto"/>
          <w:kern w:val="0"/>
          <w:highlight w:val="none"/>
        </w:rPr>
        <w:t xml:space="preserve"> </w:t>
      </w:r>
    </w:p>
    <w:p>
      <w:pPr>
        <w:pStyle w:val="3"/>
        <w:shd w:val="clear"/>
        <w:jc w:val="center"/>
        <w:rPr>
          <w:rFonts w:ascii="宋体" w:hAnsi="宋体"/>
          <w:color w:val="auto"/>
          <w:highlight w:val="none"/>
        </w:rPr>
      </w:pPr>
      <w:bookmarkStart w:id="23" w:name="_Toc18481389"/>
      <w:bookmarkEnd w:id="23"/>
      <w:bookmarkStart w:id="24" w:name="_Toc598"/>
      <w:bookmarkStart w:id="25" w:name="_Toc15994"/>
      <w:bookmarkStart w:id="26" w:name="_Toc24636"/>
      <w:r>
        <w:rPr>
          <w:rFonts w:hint="eastAsia" w:ascii="宋体" w:hAnsi="宋体"/>
          <w:color w:val="auto"/>
          <w:highlight w:val="none"/>
        </w:rPr>
        <w:t>第六章  评标方法及评分标准</w:t>
      </w:r>
      <w:bookmarkEnd w:id="24"/>
      <w:bookmarkEnd w:id="25"/>
      <w:bookmarkEnd w:id="26"/>
    </w:p>
    <w:p>
      <w:pPr>
        <w:pStyle w:val="30"/>
        <w:shd w:val="clear"/>
        <w:snapToGrid w:val="0"/>
        <w:spacing w:line="400" w:lineRule="exact"/>
        <w:ind w:firstLine="527"/>
        <w:rPr>
          <w:rFonts w:ascii="宋体" w:hAnsi="宋体"/>
          <w:b/>
          <w:bCs/>
          <w:color w:val="auto"/>
          <w:highlight w:val="none"/>
        </w:rPr>
      </w:pPr>
      <w:r>
        <w:rPr>
          <w:rFonts w:hint="eastAsia" w:ascii="宋体" w:hAnsi="宋体"/>
          <w:b/>
          <w:bCs/>
          <w:color w:val="auto"/>
          <w:highlight w:val="none"/>
        </w:rPr>
        <w:t xml:space="preserve"> </w:t>
      </w:r>
    </w:p>
    <w:p>
      <w:pPr>
        <w:pStyle w:val="30"/>
        <w:shd w:val="clear"/>
        <w:snapToGrid w:val="0"/>
        <w:spacing w:line="400" w:lineRule="exact"/>
        <w:ind w:firstLine="527"/>
        <w:rPr>
          <w:rFonts w:ascii="宋体" w:hAnsi="宋体"/>
          <w:b/>
          <w:bCs/>
          <w:color w:val="auto"/>
          <w:highlight w:val="none"/>
        </w:rPr>
      </w:pPr>
      <w:r>
        <w:rPr>
          <w:rFonts w:hint="eastAsia" w:ascii="宋体" w:hAnsi="宋体"/>
          <w:b/>
          <w:bCs/>
          <w:color w:val="auto"/>
          <w:highlight w:val="none"/>
        </w:rPr>
        <w:t xml:space="preserve"> </w:t>
      </w:r>
    </w:p>
    <w:p>
      <w:pPr>
        <w:pStyle w:val="21"/>
        <w:shd w:val="clear"/>
        <w:adjustRightInd w:val="0"/>
        <w:snapToGrid w:val="0"/>
        <w:spacing w:line="400" w:lineRule="exact"/>
        <w:ind w:firstLine="422" w:firstLineChars="200"/>
        <w:jc w:val="center"/>
        <w:rPr>
          <w:rFonts w:hAnsi="宋体" w:cs="宋体"/>
          <w:b/>
          <w:bCs/>
          <w:color w:val="auto"/>
          <w:szCs w:val="21"/>
          <w:highlight w:val="none"/>
        </w:rPr>
      </w:pPr>
    </w:p>
    <w:p>
      <w:pPr>
        <w:pStyle w:val="21"/>
        <w:shd w:val="clear"/>
        <w:adjustRightInd w:val="0"/>
        <w:snapToGrid w:val="0"/>
        <w:spacing w:line="400" w:lineRule="exact"/>
        <w:ind w:firstLine="422" w:firstLineChars="200"/>
        <w:jc w:val="center"/>
        <w:rPr>
          <w:rFonts w:hAnsi="宋体" w:cs="宋体"/>
          <w:b/>
          <w:bCs/>
          <w:color w:val="auto"/>
          <w:szCs w:val="21"/>
          <w:highlight w:val="none"/>
        </w:rPr>
      </w:pPr>
    </w:p>
    <w:p>
      <w:pPr>
        <w:pStyle w:val="21"/>
        <w:shd w:val="clear"/>
        <w:adjustRightInd w:val="0"/>
        <w:snapToGrid w:val="0"/>
        <w:spacing w:line="400" w:lineRule="exact"/>
        <w:ind w:firstLine="422" w:firstLineChars="200"/>
        <w:jc w:val="center"/>
        <w:rPr>
          <w:rFonts w:hAnsi="宋体" w:cs="宋体"/>
          <w:b/>
          <w:bCs/>
          <w:color w:val="auto"/>
          <w:szCs w:val="21"/>
          <w:highlight w:val="none"/>
        </w:rPr>
      </w:pPr>
    </w:p>
    <w:p>
      <w:pPr>
        <w:pStyle w:val="21"/>
        <w:shd w:val="clear"/>
        <w:adjustRightInd w:val="0"/>
        <w:snapToGrid w:val="0"/>
        <w:spacing w:line="400" w:lineRule="exact"/>
        <w:ind w:firstLine="422" w:firstLineChars="200"/>
        <w:jc w:val="center"/>
        <w:rPr>
          <w:rFonts w:hAnsi="宋体" w:cs="宋体"/>
          <w:b/>
          <w:bCs/>
          <w:color w:val="auto"/>
          <w:szCs w:val="21"/>
          <w:highlight w:val="none"/>
        </w:rPr>
      </w:pPr>
    </w:p>
    <w:p>
      <w:pPr>
        <w:pStyle w:val="21"/>
        <w:shd w:val="clear"/>
        <w:adjustRightInd w:val="0"/>
        <w:snapToGrid w:val="0"/>
        <w:spacing w:line="400" w:lineRule="exact"/>
        <w:ind w:firstLine="422" w:firstLineChars="200"/>
        <w:jc w:val="center"/>
        <w:rPr>
          <w:rFonts w:hAnsi="宋体" w:cs="宋体"/>
          <w:b/>
          <w:bCs/>
          <w:color w:val="auto"/>
          <w:szCs w:val="21"/>
          <w:highlight w:val="none"/>
        </w:rPr>
      </w:pPr>
    </w:p>
    <w:p>
      <w:pPr>
        <w:pStyle w:val="21"/>
        <w:shd w:val="clear"/>
        <w:adjustRightInd w:val="0"/>
        <w:snapToGrid w:val="0"/>
        <w:spacing w:line="400" w:lineRule="exact"/>
        <w:ind w:firstLine="422" w:firstLineChars="200"/>
        <w:jc w:val="center"/>
        <w:rPr>
          <w:rFonts w:hAnsi="宋体" w:cs="宋体"/>
          <w:b/>
          <w:bCs/>
          <w:color w:val="auto"/>
          <w:szCs w:val="21"/>
          <w:highlight w:val="none"/>
        </w:rPr>
      </w:pPr>
    </w:p>
    <w:p>
      <w:pPr>
        <w:pStyle w:val="21"/>
        <w:shd w:val="clear"/>
        <w:adjustRightInd w:val="0"/>
        <w:snapToGrid w:val="0"/>
        <w:spacing w:line="400" w:lineRule="exact"/>
        <w:ind w:firstLine="422" w:firstLineChars="200"/>
        <w:jc w:val="center"/>
        <w:rPr>
          <w:rFonts w:hAnsi="宋体" w:cs="宋体"/>
          <w:b/>
          <w:bCs/>
          <w:color w:val="auto"/>
          <w:szCs w:val="21"/>
          <w:highlight w:val="none"/>
        </w:rPr>
      </w:pPr>
    </w:p>
    <w:p>
      <w:pPr>
        <w:pStyle w:val="21"/>
        <w:shd w:val="clear"/>
        <w:adjustRightInd w:val="0"/>
        <w:snapToGrid w:val="0"/>
        <w:spacing w:line="400" w:lineRule="exact"/>
        <w:ind w:firstLine="422" w:firstLineChars="200"/>
        <w:jc w:val="center"/>
        <w:rPr>
          <w:rFonts w:hAnsi="宋体" w:cs="宋体"/>
          <w:b/>
          <w:bCs/>
          <w:color w:val="auto"/>
          <w:szCs w:val="21"/>
          <w:highlight w:val="none"/>
        </w:rPr>
      </w:pPr>
    </w:p>
    <w:p>
      <w:pPr>
        <w:pStyle w:val="21"/>
        <w:shd w:val="clear"/>
        <w:adjustRightInd w:val="0"/>
        <w:snapToGrid w:val="0"/>
        <w:spacing w:line="400" w:lineRule="exact"/>
        <w:ind w:firstLine="422" w:firstLineChars="200"/>
        <w:jc w:val="center"/>
        <w:rPr>
          <w:rFonts w:hAnsi="宋体" w:cs="宋体"/>
          <w:b/>
          <w:bCs/>
          <w:color w:val="auto"/>
          <w:szCs w:val="21"/>
          <w:highlight w:val="none"/>
        </w:rPr>
      </w:pPr>
    </w:p>
    <w:p>
      <w:pPr>
        <w:pStyle w:val="21"/>
        <w:shd w:val="clear"/>
        <w:adjustRightInd w:val="0"/>
        <w:snapToGrid w:val="0"/>
        <w:spacing w:line="400" w:lineRule="exact"/>
        <w:ind w:firstLine="422" w:firstLineChars="200"/>
        <w:jc w:val="center"/>
        <w:rPr>
          <w:rFonts w:hAnsi="宋体" w:cs="宋体"/>
          <w:b/>
          <w:bCs/>
          <w:color w:val="auto"/>
          <w:szCs w:val="21"/>
          <w:highlight w:val="none"/>
        </w:rPr>
      </w:pPr>
    </w:p>
    <w:p>
      <w:pPr>
        <w:pStyle w:val="21"/>
        <w:shd w:val="clear"/>
        <w:adjustRightInd w:val="0"/>
        <w:snapToGrid w:val="0"/>
        <w:spacing w:line="400" w:lineRule="exact"/>
        <w:ind w:firstLine="422" w:firstLineChars="200"/>
        <w:jc w:val="center"/>
        <w:rPr>
          <w:rFonts w:hAnsi="宋体" w:cs="宋体"/>
          <w:b/>
          <w:bCs/>
          <w:color w:val="auto"/>
          <w:szCs w:val="21"/>
          <w:highlight w:val="none"/>
        </w:rPr>
      </w:pPr>
    </w:p>
    <w:p>
      <w:pPr>
        <w:pStyle w:val="21"/>
        <w:shd w:val="clear"/>
        <w:adjustRightInd w:val="0"/>
        <w:snapToGrid w:val="0"/>
        <w:spacing w:line="400" w:lineRule="exact"/>
        <w:ind w:firstLine="422" w:firstLineChars="200"/>
        <w:jc w:val="center"/>
        <w:rPr>
          <w:rFonts w:hAnsi="宋体" w:cs="宋体"/>
          <w:b/>
          <w:bCs/>
          <w:color w:val="auto"/>
          <w:szCs w:val="21"/>
          <w:highlight w:val="none"/>
        </w:rPr>
      </w:pPr>
    </w:p>
    <w:p>
      <w:pPr>
        <w:rPr>
          <w:rFonts w:hAnsi="宋体" w:cs="宋体"/>
          <w:b/>
          <w:bCs/>
          <w:color w:val="auto"/>
          <w:szCs w:val="21"/>
          <w:highlight w:val="none"/>
        </w:rPr>
      </w:pPr>
      <w:r>
        <w:rPr>
          <w:rFonts w:hAnsi="宋体" w:cs="宋体"/>
          <w:b/>
          <w:bCs/>
          <w:color w:val="auto"/>
          <w:szCs w:val="21"/>
          <w:highlight w:val="none"/>
        </w:rPr>
        <w:br w:type="page"/>
      </w:r>
    </w:p>
    <w:p>
      <w:pPr>
        <w:pStyle w:val="4"/>
        <w:bidi w:val="0"/>
        <w:jc w:val="center"/>
        <w:rPr>
          <w:rFonts w:hint="default"/>
          <w:color w:val="auto"/>
          <w:lang w:val="en-US" w:eastAsia="zh-CN"/>
        </w:rPr>
      </w:pPr>
      <w:r>
        <w:rPr>
          <w:rFonts w:hint="eastAsia"/>
          <w:color w:val="auto"/>
          <w:lang w:val="en-US" w:eastAsia="zh-CN"/>
        </w:rPr>
        <w:t>分标1</w:t>
      </w:r>
    </w:p>
    <w:p>
      <w:pPr>
        <w:pStyle w:val="21"/>
        <w:shd w:val="clear"/>
        <w:adjustRightInd w:val="0"/>
        <w:snapToGrid w:val="0"/>
        <w:spacing w:line="400" w:lineRule="exact"/>
        <w:ind w:left="63" w:right="63" w:firstLine="422" w:firstLineChars="200"/>
        <w:jc w:val="center"/>
        <w:rPr>
          <w:rFonts w:hAnsi="宋体" w:cs="宋体"/>
          <w:b/>
          <w:bCs/>
          <w:color w:val="auto"/>
          <w:szCs w:val="21"/>
          <w:highlight w:val="none"/>
        </w:rPr>
      </w:pPr>
      <w:r>
        <w:rPr>
          <w:rFonts w:hint="eastAsia" w:hAnsi="宋体" w:cs="宋体"/>
          <w:b/>
          <w:bCs/>
          <w:color w:val="auto"/>
          <w:szCs w:val="21"/>
          <w:highlight w:val="none"/>
        </w:rPr>
        <w:t>评标方法与评分标准</w:t>
      </w:r>
    </w:p>
    <w:p>
      <w:pPr>
        <w:pStyle w:val="21"/>
        <w:shd w:val="clear"/>
        <w:adjustRightInd w:val="0"/>
        <w:snapToGrid w:val="0"/>
        <w:spacing w:line="360" w:lineRule="auto"/>
        <w:ind w:left="63" w:right="63"/>
        <w:jc w:val="left"/>
        <w:rPr>
          <w:rFonts w:hAnsi="宋体" w:cs="宋体"/>
          <w:color w:val="auto"/>
          <w:szCs w:val="21"/>
          <w:highlight w:val="none"/>
        </w:rPr>
      </w:pPr>
      <w:r>
        <w:rPr>
          <w:rFonts w:hint="eastAsia" w:hAnsi="宋体" w:cs="宋体"/>
          <w:b/>
          <w:bCs/>
          <w:color w:val="auto"/>
          <w:szCs w:val="21"/>
          <w:highlight w:val="none"/>
        </w:rPr>
        <w:t>一、评标原则</w:t>
      </w:r>
    </w:p>
    <w:p>
      <w:pPr>
        <w:pStyle w:val="21"/>
        <w:shd w:val="clear"/>
        <w:adjustRightInd w:val="0"/>
        <w:snapToGrid w:val="0"/>
        <w:spacing w:line="360" w:lineRule="auto"/>
        <w:ind w:firstLine="420" w:firstLineChars="200"/>
        <w:rPr>
          <w:rFonts w:hAnsi="宋体" w:cs="宋体"/>
          <w:color w:val="auto"/>
          <w:kern w:val="0"/>
          <w:szCs w:val="21"/>
          <w:highlight w:val="none"/>
        </w:rPr>
      </w:pPr>
      <w:r>
        <w:rPr>
          <w:rFonts w:hint="eastAsia" w:hAnsi="宋体" w:cs="宋体"/>
          <w:color w:val="auto"/>
          <w:szCs w:val="21"/>
          <w:highlight w:val="none"/>
        </w:rPr>
        <w:t>(一) 磋商小组</w:t>
      </w:r>
      <w:r>
        <w:rPr>
          <w:rFonts w:hint="eastAsia" w:hAnsi="宋体" w:cs="宋体"/>
          <w:color w:val="auto"/>
          <w:kern w:val="0"/>
          <w:szCs w:val="21"/>
          <w:highlight w:val="none"/>
        </w:rPr>
        <w:t>成员组成：本竞争性磋商采购项目的磋商小组由采购人代表和评审专家共三人以上的单数组成，其中评审专家的人数不得少于磋商小组成员总数的三分之二。</w:t>
      </w:r>
    </w:p>
    <w:p>
      <w:pPr>
        <w:pStyle w:val="21"/>
        <w:shd w:val="clear"/>
        <w:adjustRightInd w:val="0"/>
        <w:snapToGrid w:val="0"/>
        <w:spacing w:line="360" w:lineRule="auto"/>
        <w:ind w:firstLine="420" w:firstLineChars="200"/>
        <w:rPr>
          <w:rFonts w:hAnsi="宋体" w:cs="宋体"/>
          <w:color w:val="auto"/>
          <w:kern w:val="0"/>
          <w:szCs w:val="21"/>
          <w:highlight w:val="none"/>
        </w:rPr>
      </w:pPr>
      <w:r>
        <w:rPr>
          <w:rFonts w:hint="eastAsia" w:hAnsi="宋体" w:cs="宋体"/>
          <w:color w:val="auto"/>
          <w:kern w:val="0"/>
          <w:szCs w:val="21"/>
          <w:highlight w:val="none"/>
        </w:rPr>
        <w:t>(二) 评审依据：磋商小组以竞争性磋商文件和竞争性磋商响应文件为依据，对磋商人的内容按百分制打分。</w:t>
      </w:r>
    </w:p>
    <w:p>
      <w:pPr>
        <w:pStyle w:val="21"/>
        <w:shd w:val="clear"/>
        <w:adjustRightInd w:val="0"/>
        <w:snapToGrid w:val="0"/>
        <w:spacing w:line="360" w:lineRule="auto"/>
        <w:ind w:firstLine="359" w:firstLineChars="171"/>
        <w:rPr>
          <w:rFonts w:hAnsi="宋体" w:cs="宋体"/>
          <w:color w:val="auto"/>
          <w:kern w:val="0"/>
          <w:szCs w:val="21"/>
          <w:highlight w:val="none"/>
        </w:rPr>
      </w:pPr>
      <w:r>
        <w:rPr>
          <w:rFonts w:hint="eastAsia" w:hAnsi="宋体" w:cs="宋体"/>
          <w:color w:val="auto"/>
          <w:kern w:val="0"/>
          <w:szCs w:val="21"/>
          <w:highlight w:val="none"/>
        </w:rPr>
        <w:t>（三）评审方法：采用百分制综合评分法。</w:t>
      </w:r>
    </w:p>
    <w:p>
      <w:pPr>
        <w:pStyle w:val="21"/>
        <w:shd w:val="clear"/>
        <w:adjustRightInd w:val="0"/>
        <w:snapToGrid w:val="0"/>
        <w:spacing w:line="360" w:lineRule="auto"/>
        <w:ind w:left="63" w:right="63"/>
        <w:rPr>
          <w:rFonts w:hAnsi="宋体" w:cs="宋体"/>
          <w:b/>
          <w:bCs/>
          <w:color w:val="auto"/>
          <w:szCs w:val="21"/>
          <w:highlight w:val="none"/>
        </w:rPr>
      </w:pPr>
      <w:r>
        <w:rPr>
          <w:rFonts w:hint="eastAsia" w:hAnsi="宋体" w:cs="宋体"/>
          <w:b/>
          <w:bCs/>
          <w:color w:val="auto"/>
          <w:szCs w:val="21"/>
          <w:highlight w:val="none"/>
        </w:rPr>
        <w:t>二、评标方法</w:t>
      </w:r>
    </w:p>
    <w:p>
      <w:pPr>
        <w:pStyle w:val="21"/>
        <w:shd w:val="clear"/>
        <w:adjustRightInd w:val="0"/>
        <w:snapToGrid w:val="0"/>
        <w:spacing w:line="360" w:lineRule="auto"/>
        <w:ind w:firstLine="422" w:firstLineChars="200"/>
        <w:rPr>
          <w:rFonts w:hAnsi="宋体" w:cs="宋体"/>
          <w:b/>
          <w:bCs/>
          <w:color w:val="auto"/>
          <w:szCs w:val="21"/>
          <w:highlight w:val="none"/>
        </w:rPr>
      </w:pPr>
      <w:r>
        <w:rPr>
          <w:rFonts w:hint="eastAsia" w:hAnsi="宋体" w:cs="宋体"/>
          <w:b/>
          <w:bCs/>
          <w:color w:val="auto"/>
          <w:szCs w:val="21"/>
          <w:highlight w:val="none"/>
        </w:rPr>
        <w:t>（一）对进入详评的，采用百分制综合评分法。</w:t>
      </w:r>
    </w:p>
    <w:p>
      <w:pPr>
        <w:pStyle w:val="21"/>
        <w:shd w:val="clear"/>
        <w:adjustRightInd w:val="0"/>
        <w:snapToGrid w:val="0"/>
        <w:spacing w:line="360" w:lineRule="auto"/>
        <w:ind w:firstLine="422" w:firstLineChars="200"/>
        <w:rPr>
          <w:rFonts w:hAnsi="宋体" w:cs="宋体"/>
          <w:b/>
          <w:bCs/>
          <w:color w:val="auto"/>
          <w:szCs w:val="21"/>
          <w:highlight w:val="none"/>
        </w:rPr>
      </w:pPr>
      <w:r>
        <w:rPr>
          <w:rFonts w:hint="eastAsia" w:hAnsi="宋体" w:cs="宋体"/>
          <w:b/>
          <w:bCs/>
          <w:color w:val="auto"/>
          <w:szCs w:val="21"/>
          <w:highlight w:val="none"/>
        </w:rPr>
        <w:t>（二）计分办法（按四舍五入取至百分位）：</w:t>
      </w:r>
    </w:p>
    <w:p>
      <w:pPr>
        <w:pStyle w:val="21"/>
        <w:shd w:val="clear"/>
        <w:adjustRightInd w:val="0"/>
        <w:snapToGrid w:val="0"/>
        <w:spacing w:line="360" w:lineRule="auto"/>
        <w:ind w:firstLine="422" w:firstLineChars="200"/>
        <w:rPr>
          <w:rFonts w:hAnsi="宋体" w:cs="宋体"/>
          <w:b/>
          <w:bCs/>
          <w:color w:val="auto"/>
          <w:szCs w:val="21"/>
          <w:highlight w:val="none"/>
        </w:rPr>
      </w:pPr>
      <w:r>
        <w:rPr>
          <w:rFonts w:hint="eastAsia" w:hAnsi="宋体" w:cs="宋体"/>
          <w:b/>
          <w:bCs/>
          <w:color w:val="auto"/>
          <w:szCs w:val="21"/>
          <w:highlight w:val="none"/>
        </w:rPr>
        <w:t>1、报价分………………………………………………………………………………</w:t>
      </w:r>
      <w:r>
        <w:rPr>
          <w:rFonts w:hint="eastAsia" w:hAnsi="宋体" w:cs="宋体"/>
          <w:b/>
          <w:bCs/>
          <w:color w:val="auto"/>
          <w:szCs w:val="21"/>
          <w:highlight w:val="none"/>
          <w:lang w:val="en-US" w:eastAsia="zh-CN"/>
        </w:rPr>
        <w:t>10</w:t>
      </w:r>
      <w:r>
        <w:rPr>
          <w:rFonts w:hint="eastAsia" w:hAnsi="宋体" w:cs="宋体"/>
          <w:b/>
          <w:bCs/>
          <w:color w:val="auto"/>
          <w:szCs w:val="21"/>
          <w:highlight w:val="none"/>
        </w:rPr>
        <w:t>分</w:t>
      </w:r>
    </w:p>
    <w:p>
      <w:pPr>
        <w:shd w:val="clear"/>
        <w:snapToGrid w:val="0"/>
        <w:spacing w:line="360" w:lineRule="auto"/>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1）符合《政府采购促进中小企业发展管理办法》（财库〔2020〕46号）的规定条件且按该办法中规定的格式提供了《中小企业声明函》的小型和微型企业，对报价给予20%的扣除，扣除后的价格为评标价，即评标价=报价×（1-20%）；除上述情况外，评标价=报价。</w:t>
      </w:r>
    </w:p>
    <w:p>
      <w:pPr>
        <w:shd w:val="clear"/>
        <w:snapToGrid w:val="0"/>
        <w:spacing w:line="360" w:lineRule="auto"/>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磋商产品生产企业或服务提供企业按《关于政府采购支持监狱企业发展有关问题的通知》(财库[2014]68号)认定为监狱企业的，在政府采购活动中，监狱企业视同小型、微型企业。供应商应当提供由省级以上监狱管理局、戒毒管理局(含新疆生产建设兵团)出具的磋商产品生产企业或服务提供企业属于监狱企业的证明文件，不再提供《中小企业声明函》；</w:t>
      </w:r>
    </w:p>
    <w:p>
      <w:pPr>
        <w:shd w:val="clear"/>
        <w:snapToGrid w:val="0"/>
        <w:spacing w:line="360" w:lineRule="auto"/>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磋商产品生产单位或服务提供单位按《关于促进残疾人就业政府采购政策的通知》(财库〔2017〕141号)认定为残疾人福利性单位的，在政府采购活动中，残疾人福利性单位视同小型、微型企业。供应商应当提供该通知规定的磋商产品生产单位或服务提供单位属于残疾人福利性单位的《残疾人福利性单位声明函》，不再提供《中小企业声明函》。</w:t>
      </w:r>
    </w:p>
    <w:p>
      <w:pPr>
        <w:shd w:val="clear"/>
        <w:snapToGrid w:val="0"/>
        <w:spacing w:line="360" w:lineRule="auto"/>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（2）以满足采购文件要求的最低最后评标价为10分。</w:t>
      </w:r>
    </w:p>
    <w:p>
      <w:pPr>
        <w:shd w:val="clear"/>
        <w:snapToGrid w:val="0"/>
        <w:spacing w:line="360" w:lineRule="auto"/>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（3）某磋商人报价分=磋商人最低最后评标价（金额）/某磋商人最后评标价（金额）×10分</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b/>
          <w:color w:val="auto"/>
        </w:rPr>
      </w:pPr>
      <w:r>
        <w:rPr>
          <w:rFonts w:ascii="宋体" w:hAnsi="宋体"/>
          <w:b/>
          <w:color w:val="auto"/>
        </w:rPr>
        <w:t>2</w:t>
      </w:r>
      <w:r>
        <w:rPr>
          <w:rFonts w:hint="eastAsia" w:ascii="宋体" w:hAnsi="宋体"/>
          <w:b/>
          <w:color w:val="auto"/>
        </w:rPr>
        <w:t>、技术分………………………………………………………………………………</w:t>
      </w:r>
      <w:r>
        <w:rPr>
          <w:rFonts w:hint="eastAsia" w:ascii="宋体" w:hAnsi="宋体"/>
          <w:b/>
          <w:color w:val="auto"/>
          <w:lang w:val="en-US" w:eastAsia="zh-CN"/>
        </w:rPr>
        <w:t>80</w:t>
      </w:r>
      <w:r>
        <w:rPr>
          <w:rFonts w:hint="eastAsia" w:ascii="宋体" w:hAnsi="宋体"/>
          <w:b/>
          <w:color w:val="auto"/>
        </w:rPr>
        <w:t>分</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Ansi="宋体"/>
          <w:b/>
          <w:bCs/>
          <w:color w:val="auto"/>
          <w:szCs w:val="22"/>
        </w:rPr>
      </w:pPr>
      <w:r>
        <w:rPr>
          <w:rFonts w:hint="eastAsia" w:hAnsi="宋体"/>
          <w:b/>
          <w:bCs/>
          <w:color w:val="auto"/>
          <w:szCs w:val="22"/>
        </w:rPr>
        <w:t>（1）技术性能分（</w:t>
      </w:r>
      <w:r>
        <w:rPr>
          <w:rFonts w:hint="eastAsia" w:hAnsi="宋体"/>
          <w:b/>
          <w:bCs/>
          <w:color w:val="auto"/>
          <w:szCs w:val="22"/>
          <w:lang w:val="en-US" w:eastAsia="zh-CN"/>
        </w:rPr>
        <w:t>9</w:t>
      </w:r>
      <w:r>
        <w:rPr>
          <w:rFonts w:hint="eastAsia" w:hAnsi="宋体"/>
          <w:b/>
          <w:bCs/>
          <w:color w:val="auto"/>
          <w:szCs w:val="22"/>
        </w:rPr>
        <w:t>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Courier New"/>
          <w:bCs/>
          <w:color w:val="auto"/>
          <w:kern w:val="0"/>
        </w:rPr>
      </w:pPr>
      <w:r>
        <w:rPr>
          <w:rFonts w:hint="eastAsia" w:ascii="宋体" w:hAnsi="宋体" w:cs="Courier New"/>
          <w:bCs/>
          <w:color w:val="auto"/>
          <w:kern w:val="0"/>
        </w:rPr>
        <w:t>完全响应服务内容及技术要求的全部内容，得</w:t>
      </w:r>
      <w:r>
        <w:rPr>
          <w:rFonts w:hint="eastAsia" w:ascii="宋体" w:hAnsi="宋体" w:cs="Courier New"/>
          <w:bCs/>
          <w:color w:val="auto"/>
          <w:kern w:val="0"/>
          <w:lang w:val="en-US" w:eastAsia="zh-CN"/>
        </w:rPr>
        <w:t>9</w:t>
      </w:r>
      <w:r>
        <w:rPr>
          <w:rFonts w:hint="eastAsia" w:ascii="宋体" w:hAnsi="宋体" w:cs="Courier New"/>
          <w:bCs/>
          <w:color w:val="auto"/>
          <w:kern w:val="0"/>
        </w:rPr>
        <w:t>分，每有一项普通无标识的条款不满足减</w:t>
      </w:r>
      <w:r>
        <w:rPr>
          <w:rFonts w:hint="eastAsia" w:ascii="宋体" w:hAnsi="宋体" w:cs="Courier New"/>
          <w:bCs/>
          <w:color w:val="auto"/>
          <w:kern w:val="0"/>
          <w:lang w:val="en-US" w:eastAsia="zh-CN"/>
        </w:rPr>
        <w:t>3</w:t>
      </w:r>
      <w:r>
        <w:rPr>
          <w:rFonts w:hint="eastAsia" w:ascii="宋体" w:hAnsi="宋体" w:cs="Courier New"/>
          <w:bCs/>
          <w:color w:val="auto"/>
          <w:kern w:val="0"/>
        </w:rPr>
        <w:t>分，直至扣至0分，漏报内容视为不满足。</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hAnsi="宋体"/>
          <w:b/>
          <w:bCs/>
          <w:color w:val="auto"/>
          <w:szCs w:val="22"/>
        </w:rPr>
      </w:pPr>
      <w:r>
        <w:rPr>
          <w:rFonts w:hint="eastAsia" w:hAnsi="宋体"/>
          <w:b/>
          <w:bCs/>
          <w:color w:val="auto"/>
          <w:szCs w:val="22"/>
        </w:rPr>
        <w:t>（2）产品安全性（</w:t>
      </w:r>
      <w:r>
        <w:rPr>
          <w:rFonts w:hint="eastAsia" w:hAnsi="宋体"/>
          <w:b/>
          <w:bCs/>
          <w:color w:val="auto"/>
          <w:szCs w:val="22"/>
          <w:lang w:eastAsia="zh-CN"/>
        </w:rPr>
        <w:t>满分</w:t>
      </w:r>
      <w:r>
        <w:rPr>
          <w:rFonts w:hint="eastAsia" w:hAnsi="宋体"/>
          <w:b/>
          <w:bCs/>
          <w:color w:val="auto"/>
          <w:szCs w:val="22"/>
        </w:rPr>
        <w:t>10分）</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Courier New"/>
          <w:b/>
          <w:bCs w:val="0"/>
          <w:color w:val="auto"/>
          <w:kern w:val="0"/>
          <w:sz w:val="21"/>
          <w:szCs w:val="21"/>
          <w:lang w:val="en-US" w:eastAsia="zh-CN" w:bidi="ar-SA"/>
        </w:rPr>
      </w:pPr>
      <w:r>
        <w:rPr>
          <w:rFonts w:hint="eastAsia" w:ascii="宋体" w:hAnsi="宋体" w:eastAsia="宋体" w:cs="Courier New"/>
          <w:bCs/>
          <w:color w:val="auto"/>
          <w:kern w:val="0"/>
          <w:sz w:val="21"/>
          <w:szCs w:val="21"/>
          <w:lang w:val="en-US" w:eastAsia="zh-CN" w:bidi="ar-SA"/>
        </w:rPr>
        <w:t>为保障系统安全性，磋商供应商需提供支持国产数据库（如达梦、高斯等）及中间件软件（如东方通等）的产品兼容相互认证证书至少各1份，提供得10分。</w:t>
      </w:r>
      <w:r>
        <w:rPr>
          <w:rFonts w:hint="eastAsia" w:ascii="宋体" w:hAnsi="宋体" w:eastAsia="宋体" w:cs="Courier New"/>
          <w:b/>
          <w:bCs w:val="0"/>
          <w:color w:val="auto"/>
          <w:kern w:val="0"/>
          <w:sz w:val="21"/>
          <w:szCs w:val="21"/>
          <w:lang w:val="en-US" w:eastAsia="zh-CN" w:bidi="ar-SA"/>
        </w:rPr>
        <w:t>（响应文件中提供有效的证书复印件，少提供或不提供不得分）。</w:t>
      </w:r>
    </w:p>
    <w:p>
      <w:pPr>
        <w:pStyle w:val="2"/>
        <w:snapToGrid w:val="0"/>
        <w:spacing w:line="360" w:lineRule="auto"/>
        <w:ind w:firstLine="422" w:firstLineChars="200"/>
        <w:rPr>
          <w:rFonts w:hAnsi="宋体"/>
          <w:b/>
          <w:bCs/>
          <w:color w:val="auto"/>
          <w:sz w:val="21"/>
          <w:szCs w:val="21"/>
        </w:rPr>
      </w:pPr>
      <w:r>
        <w:rPr>
          <w:rFonts w:hint="eastAsia" w:ascii="宋体" w:hAnsi="宋体" w:cs="Courier New"/>
          <w:b/>
          <w:color w:val="auto"/>
          <w:kern w:val="0"/>
          <w:sz w:val="21"/>
          <w:szCs w:val="21"/>
        </w:rPr>
        <w:t>（3）系统演示分</w:t>
      </w:r>
      <w:r>
        <w:rPr>
          <w:rFonts w:hint="eastAsia" w:hAnsi="宋体"/>
          <w:b/>
          <w:bCs/>
          <w:color w:val="auto"/>
          <w:sz w:val="21"/>
          <w:szCs w:val="21"/>
        </w:rPr>
        <w:t>（满分1</w:t>
      </w:r>
      <w:r>
        <w:rPr>
          <w:rFonts w:hAnsi="宋体"/>
          <w:b/>
          <w:bCs/>
          <w:color w:val="auto"/>
          <w:sz w:val="21"/>
          <w:szCs w:val="21"/>
        </w:rPr>
        <w:t>5</w:t>
      </w:r>
      <w:r>
        <w:rPr>
          <w:rFonts w:hint="eastAsia" w:hAnsi="宋体"/>
          <w:b/>
          <w:bCs/>
          <w:color w:val="auto"/>
          <w:sz w:val="21"/>
          <w:szCs w:val="21"/>
        </w:rPr>
        <w:t>分）</w:t>
      </w:r>
    </w:p>
    <w:p>
      <w:pPr>
        <w:pStyle w:val="2"/>
        <w:snapToGrid w:val="0"/>
        <w:spacing w:line="360" w:lineRule="auto"/>
        <w:ind w:firstLine="422" w:firstLineChars="200"/>
        <w:rPr>
          <w:rFonts w:ascii="宋体" w:hAnsi="宋体" w:cs="Courier New"/>
          <w:b/>
          <w:color w:val="auto"/>
          <w:kern w:val="0"/>
          <w:sz w:val="21"/>
          <w:szCs w:val="21"/>
        </w:rPr>
      </w:pPr>
      <w:r>
        <w:rPr>
          <w:rFonts w:hint="eastAsia" w:ascii="宋体" w:hAnsi="宋体" w:cs="Courier New"/>
          <w:b/>
          <w:color w:val="auto"/>
          <w:kern w:val="0"/>
          <w:sz w:val="21"/>
          <w:szCs w:val="21"/>
        </w:rPr>
        <w:t>供应商可自主选择是否对</w:t>
      </w:r>
      <w:r>
        <w:rPr>
          <w:rFonts w:hint="eastAsia" w:ascii="宋体" w:hAnsi="宋体" w:cs="Courier New"/>
          <w:b/>
          <w:color w:val="auto"/>
          <w:kern w:val="0"/>
          <w:sz w:val="21"/>
          <w:szCs w:val="21"/>
          <w:lang w:eastAsia="zh-CN"/>
        </w:rPr>
        <w:t>下</w:t>
      </w:r>
      <w:r>
        <w:rPr>
          <w:rFonts w:hint="eastAsia" w:ascii="宋体" w:hAnsi="宋体" w:cs="Courier New"/>
          <w:b/>
          <w:color w:val="auto"/>
          <w:kern w:val="0"/>
          <w:sz w:val="21"/>
          <w:szCs w:val="21"/>
        </w:rPr>
        <w:t>述功能进行</w:t>
      </w:r>
      <w:r>
        <w:rPr>
          <w:rFonts w:hint="eastAsia" w:ascii="宋体" w:hAnsi="宋体" w:cs="Courier New"/>
          <w:b/>
          <w:color w:val="auto"/>
          <w:kern w:val="0"/>
          <w:sz w:val="21"/>
          <w:szCs w:val="21"/>
          <w:lang w:eastAsia="zh-CN"/>
        </w:rPr>
        <w:t>现场</w:t>
      </w:r>
      <w:r>
        <w:rPr>
          <w:rFonts w:hint="eastAsia" w:ascii="宋体" w:hAnsi="宋体" w:cs="Courier New"/>
          <w:b/>
          <w:color w:val="auto"/>
          <w:kern w:val="0"/>
          <w:sz w:val="21"/>
          <w:szCs w:val="21"/>
        </w:rPr>
        <w:t>演示</w:t>
      </w:r>
      <w:r>
        <w:rPr>
          <w:rFonts w:hint="eastAsia" w:ascii="宋体" w:hAnsi="宋体" w:cs="Courier New"/>
          <w:b/>
          <w:color w:val="auto"/>
          <w:kern w:val="0"/>
          <w:sz w:val="21"/>
          <w:szCs w:val="21"/>
          <w:lang w:eastAsia="zh-CN"/>
        </w:rPr>
        <w:t>，不提供演示的计0分。</w:t>
      </w:r>
      <w:r>
        <w:rPr>
          <w:rFonts w:hint="eastAsia" w:ascii="宋体" w:hAnsi="宋体" w:cs="Courier New"/>
          <w:b/>
          <w:color w:val="auto"/>
          <w:kern w:val="0"/>
          <w:sz w:val="21"/>
          <w:szCs w:val="21"/>
        </w:rPr>
        <w:t>由磋商小组成员根据供应商现场演示进行评分</w:t>
      </w:r>
      <w:r>
        <w:rPr>
          <w:rFonts w:hint="eastAsia" w:ascii="宋体" w:hAnsi="宋体" w:cs="Courier New"/>
          <w:b/>
          <w:color w:val="auto"/>
          <w:kern w:val="0"/>
          <w:sz w:val="21"/>
          <w:szCs w:val="21"/>
          <w:lang w:eastAsia="zh-CN"/>
        </w:rPr>
        <w:t>。</w:t>
      </w:r>
      <w:r>
        <w:rPr>
          <w:rFonts w:hint="eastAsia" w:ascii="宋体" w:hAnsi="宋体" w:eastAsia="宋体" w:cs="Courier New"/>
          <w:b/>
          <w:color w:val="auto"/>
          <w:kern w:val="0"/>
          <w:sz w:val="21"/>
          <w:szCs w:val="21"/>
        </w:rPr>
        <w:t>如有演示，演示所用到的软硬件设备由供应商自理，每家供应商演示时间不得超过</w:t>
      </w:r>
      <w:r>
        <w:rPr>
          <w:rFonts w:hint="eastAsia" w:ascii="宋体" w:hAnsi="宋体" w:eastAsia="宋体" w:cs="Courier New"/>
          <w:b/>
          <w:color w:val="auto"/>
          <w:kern w:val="0"/>
          <w:sz w:val="21"/>
          <w:szCs w:val="21"/>
          <w:lang w:val="en-US" w:eastAsia="zh-CN"/>
        </w:rPr>
        <w:t>15</w:t>
      </w:r>
      <w:r>
        <w:rPr>
          <w:rFonts w:hint="eastAsia" w:ascii="宋体" w:hAnsi="宋体" w:eastAsia="宋体" w:cs="Courier New"/>
          <w:b/>
          <w:color w:val="auto"/>
          <w:kern w:val="0"/>
          <w:sz w:val="21"/>
          <w:szCs w:val="21"/>
        </w:rPr>
        <w:t>分钟。</w:t>
      </w:r>
      <w:r>
        <w:rPr>
          <w:rFonts w:hint="eastAsia" w:ascii="宋体" w:hAnsi="宋体" w:cs="Courier New"/>
          <w:b/>
          <w:color w:val="auto"/>
          <w:kern w:val="0"/>
          <w:sz w:val="21"/>
          <w:szCs w:val="21"/>
        </w:rPr>
        <w:t>要求使用真实系统演示，可采用测试数据或真实数据进行演示</w:t>
      </w:r>
      <w:r>
        <w:rPr>
          <w:rFonts w:hint="eastAsia" w:ascii="宋体" w:hAnsi="宋体" w:cs="Courier New"/>
          <w:b/>
          <w:color w:val="auto"/>
          <w:kern w:val="0"/>
          <w:sz w:val="21"/>
          <w:szCs w:val="21"/>
          <w:lang w:eastAsia="zh-CN"/>
        </w:rPr>
        <w:t>，以word文档、视频动画、PPT、图像、图片形式进行演示的视为不提供演示</w:t>
      </w:r>
      <w:r>
        <w:rPr>
          <w:rFonts w:hint="eastAsia" w:ascii="宋体" w:hAnsi="宋体" w:cs="Courier New"/>
          <w:b/>
          <w:color w:val="auto"/>
          <w:kern w:val="0"/>
          <w:sz w:val="21"/>
          <w:szCs w:val="21"/>
        </w:rPr>
        <w:t>。</w:t>
      </w:r>
      <w:r>
        <w:rPr>
          <w:rFonts w:hint="eastAsia" w:ascii="宋体" w:hAnsi="宋体" w:cs="Courier New"/>
          <w:b/>
          <w:color w:val="auto"/>
          <w:kern w:val="0"/>
          <w:sz w:val="21"/>
          <w:szCs w:val="21"/>
          <w:lang w:eastAsia="zh-CN"/>
        </w:rPr>
        <w:t>如某项</w:t>
      </w:r>
      <w:r>
        <w:rPr>
          <w:rFonts w:hint="eastAsia" w:ascii="宋体" w:hAnsi="宋体" w:cs="Courier New"/>
          <w:b/>
          <w:color w:val="auto"/>
          <w:kern w:val="0"/>
          <w:sz w:val="21"/>
          <w:szCs w:val="21"/>
        </w:rPr>
        <w:t>系统演示功能内容不全或无演示不得</w:t>
      </w:r>
      <w:r>
        <w:rPr>
          <w:rFonts w:hint="eastAsia" w:ascii="宋体" w:hAnsi="宋体" w:cs="Courier New"/>
          <w:b/>
          <w:color w:val="auto"/>
          <w:kern w:val="0"/>
          <w:sz w:val="21"/>
          <w:szCs w:val="21"/>
          <w:lang w:eastAsia="zh-CN"/>
        </w:rPr>
        <w:t>该项分</w:t>
      </w:r>
      <w:r>
        <w:rPr>
          <w:rFonts w:hint="eastAsia" w:ascii="宋体" w:hAnsi="宋体" w:cs="Courier New"/>
          <w:b/>
          <w:color w:val="auto"/>
          <w:kern w:val="0"/>
          <w:sz w:val="21"/>
          <w:szCs w:val="21"/>
        </w:rPr>
        <w:t>。</w:t>
      </w:r>
    </w:p>
    <w:p>
      <w:pPr>
        <w:pStyle w:val="2"/>
        <w:snapToGrid w:val="0"/>
        <w:spacing w:line="360" w:lineRule="auto"/>
        <w:ind w:firstLine="422" w:firstLineChars="200"/>
        <w:rPr>
          <w:rFonts w:hint="eastAsia" w:ascii="宋体" w:hAnsi="宋体" w:cs="Courier New"/>
          <w:b/>
          <w:color w:val="auto"/>
          <w:kern w:val="0"/>
          <w:sz w:val="21"/>
          <w:szCs w:val="21"/>
        </w:rPr>
      </w:pPr>
      <w:r>
        <w:rPr>
          <w:rFonts w:hint="eastAsia" w:ascii="宋体" w:hAnsi="宋体" w:cs="Courier New"/>
          <w:b/>
          <w:color w:val="auto"/>
          <w:kern w:val="0"/>
          <w:sz w:val="21"/>
          <w:szCs w:val="21"/>
        </w:rPr>
        <w:t>演示模块包括：</w:t>
      </w:r>
    </w:p>
    <w:p>
      <w:pPr>
        <w:snapToGrid w:val="0"/>
        <w:spacing w:line="360" w:lineRule="auto"/>
        <w:ind w:firstLine="420"/>
        <w:jc w:val="left"/>
        <w:rPr>
          <w:rFonts w:hint="eastAsia" w:ascii="宋体" w:hAnsi="宋体"/>
          <w:color w:val="auto"/>
        </w:rPr>
      </w:pPr>
      <w:r>
        <w:rPr>
          <w:rFonts w:hint="eastAsia" w:ascii="宋体" w:hAnsi="宋体"/>
          <w:color w:val="auto"/>
        </w:rPr>
        <w:t>①实体平台（</w:t>
      </w:r>
      <w:r>
        <w:rPr>
          <w:rFonts w:ascii="宋体" w:hAnsi="宋体"/>
          <w:color w:val="auto"/>
        </w:rPr>
        <w:t>3</w:t>
      </w:r>
      <w:r>
        <w:rPr>
          <w:rFonts w:hint="eastAsia" w:ascii="宋体" w:hAnsi="宋体"/>
          <w:color w:val="auto"/>
        </w:rPr>
        <w:t>分）：可构建页面元素，通过公式引擎，驱动表单动作，配置表单元素状态；通过可视化的界面配置业务流程，创建流程、图形式动态设置流程流转、管理流程在用、禁用；</w:t>
      </w:r>
    </w:p>
    <w:p>
      <w:pPr>
        <w:snapToGrid w:val="0"/>
        <w:spacing w:line="360" w:lineRule="auto"/>
        <w:ind w:firstLine="420" w:firstLineChars="200"/>
        <w:jc w:val="left"/>
        <w:rPr>
          <w:rFonts w:hint="eastAsia" w:ascii="宋体" w:hAnsi="宋体"/>
          <w:color w:val="auto"/>
        </w:rPr>
      </w:pPr>
      <w:r>
        <w:rPr>
          <w:rFonts w:hint="eastAsia" w:ascii="宋体" w:hAnsi="宋体"/>
          <w:color w:val="auto"/>
        </w:rPr>
        <w:t>②基本信息平台（3分）：以列表和架构图的形式展现党组织信息；能正常进行党员信息的增加/删除/修改/查询等操作、党员信息要素完善，可批量导入、导出党员信息；可以查看发展流程进度，可以在线预览发展党员材料；</w:t>
      </w:r>
    </w:p>
    <w:p>
      <w:pPr>
        <w:snapToGrid w:val="0"/>
        <w:spacing w:line="360" w:lineRule="auto"/>
        <w:ind w:firstLine="420" w:firstLineChars="200"/>
        <w:jc w:val="left"/>
        <w:rPr>
          <w:rFonts w:hint="eastAsia" w:ascii="宋体" w:hAnsi="宋体"/>
          <w:color w:val="auto"/>
        </w:rPr>
      </w:pPr>
      <w:r>
        <w:rPr>
          <w:rFonts w:hint="eastAsia" w:ascii="宋体" w:hAnsi="宋体"/>
          <w:color w:val="auto"/>
        </w:rPr>
        <w:t>③组织生活（</w:t>
      </w:r>
      <w:r>
        <w:rPr>
          <w:rFonts w:ascii="宋体" w:hAnsi="宋体"/>
          <w:color w:val="auto"/>
        </w:rPr>
        <w:t>3</w:t>
      </w:r>
      <w:r>
        <w:rPr>
          <w:rFonts w:hint="eastAsia" w:ascii="宋体" w:hAnsi="宋体"/>
          <w:color w:val="auto"/>
        </w:rPr>
        <w:t>分）：可对活动内容进行记录，并按照模板导出会议记录，可</w:t>
      </w:r>
      <w:r>
        <w:rPr>
          <w:rFonts w:hint="eastAsia" w:ascii="宋体" w:hAnsi="宋体"/>
          <w:color w:val="auto"/>
          <w:lang w:eastAsia="zh-CN"/>
        </w:rPr>
        <w:t>预览</w:t>
      </w:r>
      <w:r>
        <w:rPr>
          <w:rFonts w:hint="eastAsia" w:ascii="宋体" w:hAnsi="宋体"/>
          <w:color w:val="auto"/>
        </w:rPr>
        <w:t>会议相关照片、word文档、ppt文档；附件上传可以设置指定文件类型，如只可上传mp3、excel、ppt；会议附件可以从附件库中引用，上传的附件可以同步保存至附件库。</w:t>
      </w:r>
    </w:p>
    <w:p>
      <w:pPr>
        <w:snapToGrid w:val="0"/>
        <w:spacing w:line="360" w:lineRule="auto"/>
        <w:ind w:firstLine="420" w:firstLineChars="200"/>
        <w:jc w:val="left"/>
        <w:rPr>
          <w:rFonts w:hint="eastAsia" w:ascii="宋体" w:hAnsi="宋体"/>
          <w:color w:val="auto"/>
        </w:rPr>
      </w:pPr>
      <w:r>
        <w:rPr>
          <w:rFonts w:hint="eastAsia" w:ascii="宋体" w:hAnsi="宋体"/>
          <w:color w:val="auto"/>
        </w:rPr>
        <w:t>④</w:t>
      </w:r>
      <w:r>
        <w:rPr>
          <w:rFonts w:hint="eastAsia" w:ascii="宋体" w:hAnsi="宋体"/>
          <w:color w:val="auto"/>
          <w:lang w:eastAsia="zh-CN"/>
        </w:rPr>
        <w:t>党建</w:t>
      </w:r>
      <w:r>
        <w:rPr>
          <w:rFonts w:hint="eastAsia" w:ascii="宋体" w:hAnsi="宋体"/>
          <w:color w:val="auto"/>
        </w:rPr>
        <w:t>园地（</w:t>
      </w:r>
      <w:r>
        <w:rPr>
          <w:rFonts w:ascii="宋体" w:hAnsi="宋体"/>
          <w:color w:val="auto"/>
        </w:rPr>
        <w:t>3</w:t>
      </w:r>
      <w:r>
        <w:rPr>
          <w:rFonts w:hint="eastAsia" w:ascii="宋体" w:hAnsi="宋体"/>
          <w:color w:val="auto"/>
        </w:rPr>
        <w:t>分）：以党支部板报的样式展示支部的党建园地；</w:t>
      </w:r>
    </w:p>
    <w:p>
      <w:pPr>
        <w:snapToGrid w:val="0"/>
        <w:spacing w:line="360" w:lineRule="auto"/>
        <w:ind w:firstLine="420" w:firstLineChars="200"/>
        <w:jc w:val="left"/>
        <w:rPr>
          <w:rFonts w:hint="eastAsia" w:ascii="宋体" w:hAnsi="宋体" w:eastAsia="宋体" w:cs="Courier New"/>
          <w:b/>
          <w:bCs w:val="0"/>
          <w:color w:val="auto"/>
          <w:kern w:val="0"/>
          <w:sz w:val="21"/>
          <w:szCs w:val="21"/>
          <w:lang w:val="en-US" w:eastAsia="zh-CN" w:bidi="ar-SA"/>
        </w:rPr>
      </w:pPr>
      <w:r>
        <w:rPr>
          <w:rFonts w:hint="eastAsia" w:ascii="宋体" w:hAnsi="宋体"/>
          <w:color w:val="auto"/>
        </w:rPr>
        <w:t>⑤考核平台（</w:t>
      </w:r>
      <w:r>
        <w:rPr>
          <w:rFonts w:ascii="宋体" w:hAnsi="宋体"/>
          <w:color w:val="auto"/>
        </w:rPr>
        <w:t>3</w:t>
      </w:r>
      <w:r>
        <w:rPr>
          <w:rFonts w:hint="eastAsia" w:ascii="宋体" w:hAnsi="宋体"/>
          <w:color w:val="auto"/>
        </w:rPr>
        <w:t>分）：展示设置考核的一级指标、二级指标和考核细则模板，通过模板的引用快速设置考核任务及考核内容；支持组织、专家在线预览考核佐证材料，并对被考核对象各个指标进行评分。</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Ansi="宋体"/>
          <w:b/>
          <w:bCs/>
          <w:color w:val="auto"/>
          <w:szCs w:val="22"/>
        </w:rPr>
      </w:pPr>
      <w:r>
        <w:rPr>
          <w:rFonts w:hint="eastAsia" w:hAnsi="宋体"/>
          <w:b/>
          <w:bCs/>
          <w:color w:val="auto"/>
          <w:szCs w:val="22"/>
        </w:rPr>
        <w:t>（</w:t>
      </w:r>
      <w:r>
        <w:rPr>
          <w:rFonts w:hint="eastAsia" w:hAnsi="宋体"/>
          <w:b/>
          <w:bCs/>
          <w:color w:val="auto"/>
          <w:szCs w:val="22"/>
          <w:lang w:val="en-US" w:eastAsia="zh-CN"/>
        </w:rPr>
        <w:t>4</w:t>
      </w:r>
      <w:r>
        <w:rPr>
          <w:rFonts w:hint="eastAsia" w:hAnsi="宋体"/>
          <w:b/>
          <w:bCs/>
          <w:color w:val="auto"/>
          <w:szCs w:val="22"/>
        </w:rPr>
        <w:t>）项目建设服务技术方案（满分</w:t>
      </w:r>
      <w:r>
        <w:rPr>
          <w:rFonts w:hint="eastAsia" w:hAnsi="宋体"/>
          <w:b/>
          <w:bCs/>
          <w:color w:val="auto"/>
          <w:szCs w:val="22"/>
          <w:lang w:val="en-US" w:eastAsia="zh-CN"/>
        </w:rPr>
        <w:t>16</w:t>
      </w:r>
      <w:r>
        <w:rPr>
          <w:rFonts w:hint="eastAsia" w:hAnsi="宋体"/>
          <w:b/>
          <w:bCs/>
          <w:color w:val="auto"/>
          <w:szCs w:val="22"/>
        </w:rPr>
        <w:t>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rPr>
      </w:pPr>
      <w:r>
        <w:rPr>
          <w:rFonts w:hint="eastAsia" w:ascii="宋体" w:hAnsi="宋体" w:cs="Courier New"/>
          <w:bCs/>
          <w:color w:val="auto"/>
          <w:kern w:val="0"/>
        </w:rPr>
        <w:t>由磋商小组成员根据供应商响应文件中的项目</w:t>
      </w:r>
      <w:r>
        <w:rPr>
          <w:rFonts w:hint="eastAsia"/>
          <w:color w:val="auto"/>
        </w:rPr>
        <w:t>建设服务技术方案内容</w:t>
      </w:r>
      <w:r>
        <w:rPr>
          <w:rFonts w:hint="eastAsia" w:ascii="宋体" w:hAnsi="宋体" w:cs="Courier New"/>
          <w:bCs/>
          <w:color w:val="auto"/>
          <w:kern w:val="0"/>
        </w:rPr>
        <w:t>进行独立评审，并独立打分</w:t>
      </w:r>
      <w:r>
        <w:rPr>
          <w:rFonts w:hint="eastAsia"/>
          <w:color w:val="auto"/>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rPr>
      </w:pPr>
      <w:r>
        <w:rPr>
          <w:rFonts w:hint="eastAsia"/>
          <w:color w:val="auto"/>
        </w:rPr>
        <w:t>一档（</w:t>
      </w:r>
      <w:r>
        <w:rPr>
          <w:rFonts w:hint="eastAsia"/>
          <w:color w:val="auto"/>
          <w:lang w:val="en-US" w:eastAsia="zh-CN"/>
        </w:rPr>
        <w:t>4</w:t>
      </w:r>
      <w:r>
        <w:rPr>
          <w:rFonts w:hint="eastAsia"/>
          <w:color w:val="auto"/>
        </w:rPr>
        <w:t>分）：提供的服务技术方案针对本项</w:t>
      </w:r>
      <w:r>
        <w:rPr>
          <w:rFonts w:ascii="宋体" w:hAnsi="宋体"/>
          <w:color w:val="auto"/>
        </w:rPr>
        <w:t>简单描述了</w:t>
      </w:r>
      <w:r>
        <w:rPr>
          <w:rFonts w:hint="eastAsia"/>
          <w:color w:val="auto"/>
        </w:rPr>
        <w:t>项目背景、建设目标、建设服务内容的，得</w:t>
      </w:r>
      <w:r>
        <w:rPr>
          <w:rFonts w:hint="eastAsia"/>
          <w:color w:val="auto"/>
          <w:lang w:val="en-US" w:eastAsia="zh-CN"/>
        </w:rPr>
        <w:t>4</w:t>
      </w:r>
      <w:r>
        <w:rPr>
          <w:rFonts w:hint="eastAsia"/>
          <w:color w:val="auto"/>
        </w:rPr>
        <w:t>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rPr>
      </w:pPr>
      <w:r>
        <w:rPr>
          <w:rFonts w:hint="eastAsia"/>
          <w:color w:val="auto"/>
        </w:rPr>
        <w:t>二档（</w:t>
      </w:r>
      <w:r>
        <w:rPr>
          <w:rFonts w:hint="eastAsia"/>
          <w:color w:val="auto"/>
          <w:lang w:val="en-US" w:eastAsia="zh-CN"/>
        </w:rPr>
        <w:t>8</w:t>
      </w:r>
      <w:r>
        <w:rPr>
          <w:rFonts w:hint="eastAsia"/>
          <w:color w:val="auto"/>
        </w:rPr>
        <w:t>分）：提供的服务技术方案针对本项</w:t>
      </w:r>
      <w:r>
        <w:rPr>
          <w:rFonts w:hint="eastAsia" w:ascii="宋体" w:hAnsi="宋体"/>
          <w:color w:val="auto"/>
        </w:rPr>
        <w:t>详细</w:t>
      </w:r>
      <w:r>
        <w:rPr>
          <w:rFonts w:ascii="宋体" w:hAnsi="宋体"/>
          <w:color w:val="auto"/>
        </w:rPr>
        <w:t>描述了</w:t>
      </w:r>
      <w:r>
        <w:rPr>
          <w:rFonts w:hint="eastAsia"/>
          <w:color w:val="auto"/>
        </w:rPr>
        <w:t>项目背景、建设目标、建设服务内容、</w:t>
      </w:r>
      <w:r>
        <w:rPr>
          <w:rFonts w:ascii="宋体" w:hAnsi="宋体"/>
          <w:color w:val="auto"/>
        </w:rPr>
        <w:t>设计</w:t>
      </w:r>
      <w:r>
        <w:rPr>
          <w:rFonts w:hint="eastAsia" w:ascii="宋体" w:hAnsi="宋体"/>
          <w:color w:val="auto"/>
        </w:rPr>
        <w:t>原则</w:t>
      </w:r>
      <w:r>
        <w:rPr>
          <w:rFonts w:ascii="宋体" w:hAnsi="宋体"/>
          <w:color w:val="auto"/>
        </w:rPr>
        <w:t>、体系架构、建设后效果</w:t>
      </w:r>
      <w:r>
        <w:rPr>
          <w:rFonts w:hint="eastAsia" w:ascii="宋体" w:hAnsi="宋体"/>
          <w:color w:val="auto"/>
        </w:rPr>
        <w:t>的</w:t>
      </w:r>
      <w:r>
        <w:rPr>
          <w:rFonts w:hint="eastAsia"/>
          <w:color w:val="auto"/>
        </w:rPr>
        <w:t>，得</w:t>
      </w:r>
      <w:r>
        <w:rPr>
          <w:rFonts w:hint="eastAsia"/>
          <w:color w:val="auto"/>
          <w:lang w:val="en-US" w:eastAsia="zh-CN"/>
        </w:rPr>
        <w:t>8</w:t>
      </w:r>
      <w:r>
        <w:rPr>
          <w:rFonts w:hint="eastAsia"/>
          <w:color w:val="auto"/>
        </w:rPr>
        <w:t>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rPr>
      </w:pPr>
      <w:r>
        <w:rPr>
          <w:rFonts w:hint="eastAsia"/>
          <w:color w:val="auto"/>
        </w:rPr>
        <w:t>三档（</w:t>
      </w:r>
      <w:r>
        <w:rPr>
          <w:rFonts w:hint="eastAsia"/>
          <w:color w:val="auto"/>
          <w:lang w:val="en-US" w:eastAsia="zh-CN"/>
        </w:rPr>
        <w:t>12</w:t>
      </w:r>
      <w:r>
        <w:rPr>
          <w:rFonts w:hint="eastAsia"/>
          <w:color w:val="auto"/>
        </w:rPr>
        <w:t>分）：提供的建设服务技术方案针对本项</w:t>
      </w:r>
      <w:r>
        <w:rPr>
          <w:rFonts w:hint="eastAsia" w:ascii="宋体" w:hAnsi="宋体"/>
          <w:color w:val="auto"/>
        </w:rPr>
        <w:t>准确</w:t>
      </w:r>
      <w:r>
        <w:rPr>
          <w:rFonts w:ascii="宋体" w:hAnsi="宋体"/>
          <w:color w:val="auto"/>
        </w:rPr>
        <w:t>描述了</w:t>
      </w:r>
      <w:r>
        <w:rPr>
          <w:rFonts w:hint="eastAsia"/>
          <w:color w:val="auto"/>
        </w:rPr>
        <w:t>项目的背景、建设目标、建设服务内容、</w:t>
      </w:r>
      <w:r>
        <w:rPr>
          <w:rFonts w:ascii="宋体" w:hAnsi="宋体"/>
          <w:color w:val="auto"/>
        </w:rPr>
        <w:t>设计</w:t>
      </w:r>
      <w:r>
        <w:rPr>
          <w:rFonts w:hint="eastAsia" w:ascii="宋体" w:hAnsi="宋体"/>
          <w:color w:val="auto"/>
        </w:rPr>
        <w:t>原则</w:t>
      </w:r>
      <w:r>
        <w:rPr>
          <w:rFonts w:ascii="宋体" w:hAnsi="宋体"/>
          <w:color w:val="auto"/>
        </w:rPr>
        <w:t>、体系架构、建设后效果</w:t>
      </w:r>
      <w:r>
        <w:rPr>
          <w:rFonts w:hint="eastAsia"/>
          <w:color w:val="auto"/>
        </w:rPr>
        <w:t>，细化服务措施，优化服务流程的，得</w:t>
      </w:r>
      <w:r>
        <w:rPr>
          <w:rFonts w:hint="eastAsia"/>
          <w:color w:val="auto"/>
          <w:lang w:val="en-US" w:eastAsia="zh-CN"/>
        </w:rPr>
        <w:t>12</w:t>
      </w:r>
      <w:r>
        <w:rPr>
          <w:rFonts w:hint="eastAsia"/>
          <w:color w:val="auto"/>
        </w:rPr>
        <w:t>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rPr>
      </w:pPr>
      <w:r>
        <w:rPr>
          <w:rFonts w:hint="eastAsia"/>
          <w:color w:val="auto"/>
        </w:rPr>
        <w:t>四档（</w:t>
      </w:r>
      <w:r>
        <w:rPr>
          <w:rFonts w:hint="eastAsia"/>
          <w:color w:val="auto"/>
          <w:lang w:val="en-US" w:eastAsia="zh-CN"/>
        </w:rPr>
        <w:t>16</w:t>
      </w:r>
      <w:r>
        <w:rPr>
          <w:rFonts w:hint="eastAsia"/>
          <w:color w:val="auto"/>
        </w:rPr>
        <w:t>分）：提供的建设服务技术方案针对本项</w:t>
      </w:r>
      <w:r>
        <w:rPr>
          <w:rFonts w:hint="eastAsia" w:ascii="宋体" w:hAnsi="宋体"/>
          <w:color w:val="auto"/>
        </w:rPr>
        <w:t>准确</w:t>
      </w:r>
      <w:r>
        <w:rPr>
          <w:rFonts w:ascii="宋体" w:hAnsi="宋体"/>
          <w:color w:val="auto"/>
        </w:rPr>
        <w:t>描述了</w:t>
      </w:r>
      <w:r>
        <w:rPr>
          <w:rFonts w:hint="eastAsia"/>
          <w:color w:val="auto"/>
        </w:rPr>
        <w:t>项目的背景、建设目标、建设服务内容、</w:t>
      </w:r>
      <w:r>
        <w:rPr>
          <w:rFonts w:ascii="宋体" w:hAnsi="宋体"/>
          <w:color w:val="auto"/>
        </w:rPr>
        <w:t>设计</w:t>
      </w:r>
      <w:r>
        <w:rPr>
          <w:rFonts w:hint="eastAsia" w:ascii="宋体" w:hAnsi="宋体"/>
          <w:color w:val="auto"/>
        </w:rPr>
        <w:t>原则</w:t>
      </w:r>
      <w:r>
        <w:rPr>
          <w:rFonts w:ascii="宋体" w:hAnsi="宋体"/>
          <w:color w:val="auto"/>
        </w:rPr>
        <w:t>、体系架构、建设后效果</w:t>
      </w:r>
      <w:r>
        <w:rPr>
          <w:rFonts w:hint="eastAsia"/>
          <w:color w:val="auto"/>
        </w:rPr>
        <w:t>；准确把握本项目需求重点，细化服务措施，优化服务流程；详细描述具备处理紧急问题的能力以及</w:t>
      </w:r>
      <w:r>
        <w:rPr>
          <w:rFonts w:ascii="宋体" w:hAnsi="宋体"/>
          <w:color w:val="auto"/>
        </w:rPr>
        <w:t>安全保障措施</w:t>
      </w:r>
      <w:r>
        <w:rPr>
          <w:rFonts w:hint="eastAsia"/>
          <w:color w:val="auto"/>
        </w:rPr>
        <w:t>，确保服务正常平稳运行，得</w:t>
      </w:r>
      <w:r>
        <w:rPr>
          <w:rFonts w:hint="eastAsia"/>
          <w:color w:val="auto"/>
          <w:lang w:val="en-US" w:eastAsia="zh-CN"/>
        </w:rPr>
        <w:t>16</w:t>
      </w:r>
      <w:r>
        <w:rPr>
          <w:rFonts w:hint="eastAsia"/>
          <w:color w:val="auto"/>
        </w:rPr>
        <w:t>分。</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color w:val="auto"/>
          <w:szCs w:val="24"/>
        </w:rPr>
      </w:pPr>
      <w:r>
        <w:rPr>
          <w:rFonts w:hint="eastAsia" w:ascii="宋体" w:hAnsi="宋体" w:cs="Courier New"/>
          <w:b/>
          <w:color w:val="auto"/>
          <w:kern w:val="0"/>
        </w:rPr>
        <w:t>注：供应商未提供此项评分点内容的则不得分。</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Ansi="宋体"/>
          <w:b/>
          <w:bCs/>
          <w:color w:val="auto"/>
          <w:szCs w:val="22"/>
        </w:rPr>
      </w:pPr>
      <w:r>
        <w:rPr>
          <w:rFonts w:hint="eastAsia" w:hAnsi="宋体"/>
          <w:b/>
          <w:bCs/>
          <w:color w:val="auto"/>
          <w:szCs w:val="22"/>
        </w:rPr>
        <w:t>（</w:t>
      </w:r>
      <w:r>
        <w:rPr>
          <w:rFonts w:hint="eastAsia" w:hAnsi="宋体"/>
          <w:b/>
          <w:bCs/>
          <w:color w:val="auto"/>
          <w:szCs w:val="22"/>
          <w:lang w:val="en-US" w:eastAsia="zh-CN"/>
        </w:rPr>
        <w:t>5</w:t>
      </w:r>
      <w:r>
        <w:rPr>
          <w:rFonts w:hint="eastAsia" w:hAnsi="宋体"/>
          <w:b/>
          <w:bCs/>
          <w:color w:val="auto"/>
          <w:szCs w:val="22"/>
        </w:rPr>
        <w:t>）组织实施方案分（</w:t>
      </w:r>
      <w:r>
        <w:rPr>
          <w:rFonts w:hint="eastAsia" w:hAnsi="宋体"/>
          <w:b/>
          <w:bCs/>
          <w:color w:val="auto"/>
          <w:szCs w:val="22"/>
          <w:lang w:eastAsia="zh-CN"/>
        </w:rPr>
        <w:t>满分</w:t>
      </w:r>
      <w:r>
        <w:rPr>
          <w:rFonts w:hint="eastAsia" w:hAnsi="宋体"/>
          <w:b/>
          <w:bCs/>
          <w:color w:val="auto"/>
          <w:szCs w:val="22"/>
          <w:lang w:val="en-US" w:eastAsia="zh-CN"/>
        </w:rPr>
        <w:t>15</w:t>
      </w:r>
      <w:r>
        <w:rPr>
          <w:rFonts w:hint="eastAsia" w:hAnsi="宋体"/>
          <w:b/>
          <w:bCs/>
          <w:color w:val="auto"/>
          <w:szCs w:val="22"/>
        </w:rPr>
        <w:t>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rPr>
      </w:pPr>
      <w:r>
        <w:rPr>
          <w:rFonts w:hint="eastAsia" w:ascii="宋体" w:hAnsi="宋体" w:cs="Courier New"/>
          <w:bCs/>
          <w:color w:val="auto"/>
          <w:kern w:val="0"/>
        </w:rPr>
        <w:t>由磋商小组成员根据供应商响应文件中的组织实施方案</w:t>
      </w:r>
      <w:r>
        <w:rPr>
          <w:rFonts w:hint="eastAsia"/>
          <w:color w:val="auto"/>
        </w:rPr>
        <w:t>内容</w:t>
      </w:r>
      <w:r>
        <w:rPr>
          <w:rFonts w:hint="eastAsia" w:ascii="宋体" w:hAnsi="宋体" w:cs="Courier New"/>
          <w:bCs/>
          <w:color w:val="auto"/>
          <w:kern w:val="0"/>
        </w:rPr>
        <w:t>进行独立评审，并独立打分</w:t>
      </w:r>
      <w:r>
        <w:rPr>
          <w:rFonts w:hint="eastAsia"/>
          <w:color w:val="auto"/>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color w:val="auto"/>
          <w:szCs w:val="22"/>
        </w:rPr>
      </w:pPr>
      <w:r>
        <w:rPr>
          <w:rFonts w:hint="eastAsia" w:hAnsi="宋体"/>
          <w:color w:val="auto"/>
          <w:szCs w:val="22"/>
        </w:rPr>
        <w:t>一档（</w:t>
      </w:r>
      <w:r>
        <w:rPr>
          <w:rFonts w:hint="eastAsia" w:hAnsi="宋体"/>
          <w:color w:val="auto"/>
          <w:szCs w:val="22"/>
          <w:lang w:val="en-US" w:eastAsia="zh-CN"/>
        </w:rPr>
        <w:t>5</w:t>
      </w:r>
      <w:r>
        <w:rPr>
          <w:rFonts w:hint="eastAsia" w:hAnsi="宋体"/>
          <w:color w:val="auto"/>
          <w:szCs w:val="22"/>
        </w:rPr>
        <w:t>分）：组织实施方案基本满足采购要求，任务分工或进度安排基本可行。</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color w:val="auto"/>
          <w:szCs w:val="22"/>
        </w:rPr>
      </w:pPr>
      <w:r>
        <w:rPr>
          <w:rFonts w:hint="eastAsia" w:hAnsi="宋体"/>
          <w:color w:val="auto"/>
          <w:szCs w:val="22"/>
        </w:rPr>
        <w:t>二档（</w:t>
      </w:r>
      <w:r>
        <w:rPr>
          <w:rFonts w:hint="eastAsia" w:hAnsi="宋体"/>
          <w:color w:val="auto"/>
          <w:szCs w:val="22"/>
          <w:lang w:val="en-US" w:eastAsia="zh-CN"/>
        </w:rPr>
        <w:t>10</w:t>
      </w:r>
      <w:r>
        <w:rPr>
          <w:rFonts w:hint="eastAsia" w:hAnsi="宋体"/>
          <w:color w:val="auto"/>
          <w:szCs w:val="22"/>
        </w:rPr>
        <w:t>分）：组织实施方案满足采购要求，任务分工或进度安排可行，保障措施较具体。</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color w:val="auto"/>
          <w:szCs w:val="22"/>
        </w:rPr>
      </w:pPr>
      <w:r>
        <w:rPr>
          <w:rFonts w:hint="eastAsia" w:hAnsi="宋体"/>
          <w:color w:val="auto"/>
          <w:szCs w:val="22"/>
        </w:rPr>
        <w:t>三档（</w:t>
      </w:r>
      <w:r>
        <w:rPr>
          <w:rFonts w:hint="eastAsia" w:hAnsi="宋体"/>
          <w:color w:val="auto"/>
          <w:szCs w:val="22"/>
          <w:lang w:val="en-US" w:eastAsia="zh-CN"/>
        </w:rPr>
        <w:t>15</w:t>
      </w:r>
      <w:r>
        <w:rPr>
          <w:rFonts w:hint="eastAsia" w:hAnsi="宋体"/>
          <w:color w:val="auto"/>
          <w:szCs w:val="22"/>
        </w:rPr>
        <w:t>分）：组织实施方案完全满足采购要求，任务分工或进度安排详细、有针对性，保障措施具体、合理，提供完善的实施方法、实施流程；具有完善的质量管理措施、安全保障措施。</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color w:val="auto"/>
        </w:rPr>
      </w:pPr>
      <w:r>
        <w:rPr>
          <w:rFonts w:hint="eastAsia" w:ascii="宋体" w:hAnsi="宋体" w:cs="Courier New"/>
          <w:b/>
          <w:color w:val="auto"/>
          <w:kern w:val="0"/>
        </w:rPr>
        <w:t>注：供应商未提供此项评分点内容的则不得分。</w:t>
      </w:r>
    </w:p>
    <w:p>
      <w:pPr>
        <w:pStyle w:val="21"/>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Ansi="宋体"/>
          <w:b/>
          <w:bCs/>
          <w:color w:val="auto"/>
        </w:rPr>
      </w:pPr>
      <w:r>
        <w:rPr>
          <w:rFonts w:hint="eastAsia" w:hAnsi="宋体"/>
          <w:b/>
          <w:bCs/>
          <w:color w:val="auto"/>
          <w:szCs w:val="22"/>
        </w:rPr>
        <w:t>（</w:t>
      </w:r>
      <w:r>
        <w:rPr>
          <w:rFonts w:hint="eastAsia" w:hAnsi="宋体"/>
          <w:b/>
          <w:bCs/>
          <w:color w:val="auto"/>
          <w:szCs w:val="22"/>
          <w:lang w:val="en-US" w:eastAsia="zh-CN"/>
        </w:rPr>
        <w:t>6</w:t>
      </w:r>
      <w:r>
        <w:rPr>
          <w:rFonts w:hint="eastAsia" w:hAnsi="宋体"/>
          <w:b/>
          <w:bCs/>
          <w:color w:val="auto"/>
          <w:szCs w:val="22"/>
        </w:rPr>
        <w:t>）售后服务以及培训方案（满分</w:t>
      </w:r>
      <w:r>
        <w:rPr>
          <w:rFonts w:hint="eastAsia" w:hAnsi="宋体"/>
          <w:b/>
          <w:bCs/>
          <w:color w:val="auto"/>
          <w:szCs w:val="22"/>
          <w:lang w:val="en-US" w:eastAsia="zh-CN"/>
        </w:rPr>
        <w:t>15</w:t>
      </w:r>
      <w:r>
        <w:rPr>
          <w:rFonts w:hint="eastAsia" w:hAnsi="宋体"/>
          <w:b/>
          <w:bCs/>
          <w:color w:val="auto"/>
          <w:szCs w:val="22"/>
        </w:rPr>
        <w:t>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Courier New"/>
          <w:bCs/>
          <w:color w:val="auto"/>
          <w:kern w:val="0"/>
        </w:rPr>
      </w:pPr>
      <w:r>
        <w:rPr>
          <w:rFonts w:hint="eastAsia" w:ascii="宋体" w:hAnsi="宋体" w:cs="Courier New"/>
          <w:bCs/>
          <w:color w:val="auto"/>
          <w:kern w:val="0"/>
        </w:rPr>
        <w:t>由磋商小组成员根据</w:t>
      </w:r>
      <w:r>
        <w:rPr>
          <w:rFonts w:hint="eastAsia" w:ascii="宋体" w:hAnsi="宋体"/>
          <w:bCs/>
          <w:color w:val="auto"/>
        </w:rPr>
        <w:t>供应商响应文件中的售后服务以及培训方案</w:t>
      </w:r>
      <w:r>
        <w:rPr>
          <w:rFonts w:hint="eastAsia" w:ascii="宋体" w:hAnsi="宋体" w:cs="Courier New"/>
          <w:bCs/>
          <w:color w:val="auto"/>
          <w:kern w:val="0"/>
        </w:rPr>
        <w:t>进行独立评审，并独立打分。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Courier New"/>
          <w:bCs/>
          <w:color w:val="auto"/>
          <w:kern w:val="0"/>
        </w:rPr>
      </w:pPr>
      <w:r>
        <w:rPr>
          <w:rFonts w:hint="eastAsia" w:ascii="宋体" w:hAnsi="宋体" w:cs="Courier New"/>
          <w:bCs/>
          <w:color w:val="auto"/>
          <w:kern w:val="0"/>
        </w:rPr>
        <w:t>一档（</w:t>
      </w:r>
      <w:r>
        <w:rPr>
          <w:rFonts w:hint="eastAsia" w:ascii="宋体" w:hAnsi="宋体" w:cs="Courier New"/>
          <w:bCs/>
          <w:color w:val="auto"/>
          <w:kern w:val="0"/>
          <w:lang w:val="en-US" w:eastAsia="zh-CN"/>
        </w:rPr>
        <w:t>5</w:t>
      </w:r>
      <w:r>
        <w:rPr>
          <w:rFonts w:hint="eastAsia" w:ascii="宋体" w:hAnsi="宋体" w:cs="Courier New"/>
          <w:bCs/>
          <w:color w:val="auto"/>
          <w:kern w:val="0"/>
        </w:rPr>
        <w:t>分）：售后服务方案及培训方案简单，维保期、培训方案满足项目需求的。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Courier New"/>
          <w:bCs/>
          <w:color w:val="auto"/>
          <w:kern w:val="0"/>
        </w:rPr>
      </w:pPr>
      <w:r>
        <w:rPr>
          <w:rFonts w:hint="eastAsia" w:ascii="宋体" w:hAnsi="宋体" w:cs="Courier New"/>
          <w:bCs/>
          <w:color w:val="auto"/>
          <w:kern w:val="0"/>
        </w:rPr>
        <w:t>二档（</w:t>
      </w:r>
      <w:r>
        <w:rPr>
          <w:rFonts w:hint="eastAsia" w:ascii="宋体" w:hAnsi="宋体" w:cs="Courier New"/>
          <w:bCs/>
          <w:color w:val="auto"/>
          <w:kern w:val="0"/>
          <w:lang w:val="en-US" w:eastAsia="zh-CN"/>
        </w:rPr>
        <w:t>10</w:t>
      </w:r>
      <w:r>
        <w:rPr>
          <w:rFonts w:hint="eastAsia" w:ascii="宋体" w:hAnsi="宋体" w:cs="Courier New"/>
          <w:bCs/>
          <w:color w:val="auto"/>
          <w:kern w:val="0"/>
        </w:rPr>
        <w:t>分）：售后服务方案及培训方案较详细，能较准确地理解本项目的特点和服务要求，能提供快速的售后服务响应（优于采购需求），能保障项目的正常稳定运行，维保期、培训方案优于采购需求。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Courier New"/>
          <w:bCs/>
          <w:color w:val="auto"/>
          <w:kern w:val="0"/>
        </w:rPr>
      </w:pPr>
      <w:r>
        <w:rPr>
          <w:rFonts w:hint="eastAsia" w:ascii="宋体" w:hAnsi="宋体" w:cs="Courier New"/>
          <w:bCs/>
          <w:color w:val="auto"/>
          <w:kern w:val="0"/>
        </w:rPr>
        <w:t>三档（</w:t>
      </w:r>
      <w:r>
        <w:rPr>
          <w:rFonts w:hint="eastAsia" w:ascii="宋体" w:hAnsi="宋体" w:cs="Courier New"/>
          <w:bCs/>
          <w:color w:val="auto"/>
          <w:kern w:val="0"/>
          <w:lang w:val="en-US" w:eastAsia="zh-CN"/>
        </w:rPr>
        <w:t>15</w:t>
      </w:r>
      <w:r>
        <w:rPr>
          <w:rFonts w:hint="eastAsia" w:ascii="宋体" w:hAnsi="宋体" w:cs="Courier New"/>
          <w:bCs/>
          <w:color w:val="auto"/>
          <w:kern w:val="0"/>
        </w:rPr>
        <w:t>分）：售后服务方案及培训方案详细完整，充分理解本项目的特点和服务要求，能提供快速的售后服务响应（优于采购需求），能保障项目的正常稳定运行，维保期、培训方案优于采购需求。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color w:val="auto"/>
          <w:szCs w:val="24"/>
        </w:rPr>
      </w:pPr>
      <w:r>
        <w:rPr>
          <w:rFonts w:hint="eastAsia" w:ascii="宋体" w:hAnsi="宋体" w:cs="Courier New"/>
          <w:b/>
          <w:color w:val="auto"/>
          <w:kern w:val="0"/>
        </w:rPr>
        <w:t>注：供应商未提供此项评分点内容的则不得分。</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b/>
          <w:bCs/>
          <w:color w:val="auto"/>
        </w:rPr>
      </w:pPr>
      <w:r>
        <w:rPr>
          <w:rFonts w:hint="eastAsia" w:ascii="宋体" w:hAnsi="宋体"/>
          <w:b/>
          <w:bCs/>
          <w:color w:val="auto"/>
        </w:rPr>
        <w:t>3.商务以及综合实力分</w:t>
      </w:r>
      <w:r>
        <w:rPr>
          <w:rFonts w:hint="eastAsia" w:ascii="宋体" w:hAnsi="宋体"/>
          <w:b/>
          <w:color w:val="auto"/>
        </w:rPr>
        <w:t>………………………………………………………………………</w:t>
      </w:r>
      <w:r>
        <w:rPr>
          <w:rFonts w:hint="eastAsia" w:ascii="宋体" w:hAnsi="宋体"/>
          <w:b/>
          <w:color w:val="auto"/>
          <w:lang w:val="en-US" w:eastAsia="zh-CN"/>
        </w:rPr>
        <w:t>10</w:t>
      </w:r>
      <w:r>
        <w:rPr>
          <w:rFonts w:hint="eastAsia" w:ascii="宋体" w:hAnsi="宋体"/>
          <w:b/>
          <w:color w:val="auto"/>
        </w:rPr>
        <w:t>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auto"/>
        </w:rPr>
      </w:pPr>
      <w:r>
        <w:rPr>
          <w:rFonts w:hint="eastAsia" w:ascii="宋体" w:hAnsi="宋体"/>
          <w:color w:val="auto"/>
        </w:rPr>
        <w:t>（1）供应商2020年1月1日至今具有类似</w:t>
      </w:r>
      <w:r>
        <w:rPr>
          <w:rFonts w:hint="eastAsia" w:ascii="宋体" w:hAnsi="宋体"/>
          <w:b/>
          <w:bCs/>
          <w:color w:val="auto"/>
        </w:rPr>
        <w:t>平台或系统建设</w:t>
      </w:r>
      <w:r>
        <w:rPr>
          <w:rFonts w:hint="eastAsia" w:ascii="宋体" w:hAnsi="宋体"/>
          <w:color w:val="auto"/>
        </w:rPr>
        <w:t>项目业绩的，每提供一个项目业绩得3分，满分6分。</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color w:val="auto"/>
        </w:rPr>
      </w:pPr>
      <w:r>
        <w:rPr>
          <w:rFonts w:hint="eastAsia" w:ascii="宋体" w:hAnsi="宋体"/>
          <w:b/>
          <w:bCs/>
          <w:color w:val="auto"/>
        </w:rPr>
        <w:t>注：响应文件中须提供合同复印件（或中标（成交）通知书复印件）并加盖供应商公章，否则不得分。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color w:val="auto"/>
        </w:rPr>
      </w:pPr>
      <w:r>
        <w:rPr>
          <w:rFonts w:hint="eastAsia" w:ascii="宋体" w:hAnsi="宋体"/>
          <w:color w:val="auto"/>
        </w:rPr>
        <w:t>（2）供应商综合能力：供应商具有信息安全管理体系认证证书、商用密码产品认证证书且在有效期内的每提供1项得2分，满分</w:t>
      </w:r>
      <w:r>
        <w:rPr>
          <w:rFonts w:hint="eastAsia" w:ascii="宋体" w:hAnsi="宋体"/>
          <w:color w:val="auto"/>
          <w:lang w:val="en-US" w:eastAsia="zh-CN"/>
        </w:rPr>
        <w:t>4</w:t>
      </w:r>
      <w:r>
        <w:rPr>
          <w:rFonts w:hint="eastAsia" w:ascii="宋体" w:hAnsi="宋体"/>
          <w:color w:val="auto"/>
        </w:rPr>
        <w:t>分。</w:t>
      </w:r>
      <w:r>
        <w:rPr>
          <w:rFonts w:hint="eastAsia" w:ascii="宋体" w:hAnsi="宋体"/>
          <w:b/>
          <w:bCs/>
          <w:color w:val="auto"/>
        </w:rPr>
        <w:t>（响应文件中提供有效的证书复印件，未提供不得分）。</w:t>
      </w:r>
    </w:p>
    <w:p>
      <w:pPr>
        <w:shd w:val="clear"/>
        <w:snapToGrid w:val="0"/>
        <w:spacing w:line="360" w:lineRule="auto"/>
        <w:jc w:val="left"/>
        <w:rPr>
          <w:rFonts w:ascii="宋体" w:hAnsi="宋体"/>
          <w:b/>
          <w:color w:val="auto"/>
          <w:highlight w:val="none"/>
        </w:rPr>
      </w:pPr>
    </w:p>
    <w:p>
      <w:pPr>
        <w:pStyle w:val="21"/>
        <w:shd w:val="clear"/>
        <w:adjustRightInd w:val="0"/>
        <w:snapToGrid w:val="0"/>
        <w:spacing w:line="360" w:lineRule="auto"/>
        <w:ind w:left="63" w:right="63"/>
        <w:rPr>
          <w:rFonts w:hAnsi="宋体"/>
          <w:b/>
          <w:bCs/>
          <w:color w:val="auto"/>
          <w:szCs w:val="21"/>
          <w:highlight w:val="none"/>
        </w:rPr>
      </w:pPr>
      <w:r>
        <w:rPr>
          <w:rFonts w:hint="eastAsia" w:hAnsi="宋体"/>
          <w:b/>
          <w:bCs/>
          <w:color w:val="auto"/>
          <w:szCs w:val="21"/>
          <w:highlight w:val="none"/>
        </w:rPr>
        <w:t>三、成交候选人推荐原则</w:t>
      </w:r>
    </w:p>
    <w:p>
      <w:pPr>
        <w:pStyle w:val="21"/>
        <w:shd w:val="clear"/>
        <w:adjustRightInd w:val="0"/>
        <w:snapToGrid w:val="0"/>
        <w:spacing w:line="360" w:lineRule="auto"/>
        <w:ind w:firstLine="420" w:firstLineChars="200"/>
        <w:rPr>
          <w:rFonts w:hAnsi="宋体"/>
          <w:color w:val="auto"/>
          <w:szCs w:val="21"/>
          <w:highlight w:val="none"/>
        </w:rPr>
      </w:pPr>
      <w:r>
        <w:rPr>
          <w:rFonts w:hint="eastAsia" w:hAnsi="宋体"/>
          <w:color w:val="auto"/>
          <w:szCs w:val="21"/>
          <w:highlight w:val="none"/>
        </w:rPr>
        <w:t>（一）竞争性磋商响应文件在质量和服务均能满足竞争性磋商文件实质性响应要求时，磋商小组将根据得分由高到低排列次序（得分相同时，以最后报价由低到高顺序排列；得分相同且最后报价相同的，按服务方案优劣顺序排列）并推荐成交候选人。采购单位应当确定磋商小组推荐排名第一、第二的成交候选人为成交人。排名第一或第二的成交候选人放弃成交、因不可抗力提出不能履行协议的，或者竞争性磋商文件规定应当提交质量保证金而在规定的期限内未能提交的，采购单位可以确定排名第三的成交候人为成交人，其余以此类推。</w:t>
      </w:r>
    </w:p>
    <w:p>
      <w:pPr>
        <w:pStyle w:val="21"/>
        <w:shd w:val="clear"/>
        <w:adjustRightInd w:val="0"/>
        <w:snapToGrid w:val="0"/>
        <w:spacing w:line="360" w:lineRule="auto"/>
        <w:ind w:firstLine="424" w:firstLineChars="202"/>
        <w:rPr>
          <w:color w:val="auto"/>
        </w:rPr>
      </w:pPr>
      <w:r>
        <w:rPr>
          <w:rFonts w:hint="eastAsia" w:hAnsi="宋体"/>
          <w:color w:val="auto"/>
          <w:szCs w:val="21"/>
          <w:highlight w:val="none"/>
        </w:rPr>
        <w:t>（二）磋商</w:t>
      </w:r>
      <w:r>
        <w:rPr>
          <w:rFonts w:hAnsi="宋体"/>
          <w:color w:val="auto"/>
          <w:szCs w:val="21"/>
          <w:highlight w:val="none"/>
        </w:rPr>
        <w:t>小组认为</w:t>
      </w:r>
      <w:r>
        <w:rPr>
          <w:rFonts w:hint="eastAsia" w:hAnsi="宋体"/>
          <w:color w:val="auto"/>
          <w:szCs w:val="21"/>
          <w:highlight w:val="none"/>
        </w:rPr>
        <w:t>磋商</w:t>
      </w:r>
      <w:r>
        <w:rPr>
          <w:rFonts w:hAnsi="宋体"/>
          <w:color w:val="auto"/>
          <w:szCs w:val="21"/>
          <w:highlight w:val="none"/>
        </w:rPr>
        <w:t>供应商的报价明显低于其他满足</w:t>
      </w:r>
      <w:r>
        <w:rPr>
          <w:rFonts w:hint="eastAsia" w:hAnsi="宋体"/>
          <w:color w:val="auto"/>
          <w:szCs w:val="21"/>
          <w:highlight w:val="none"/>
        </w:rPr>
        <w:t>磋商</w:t>
      </w:r>
      <w:r>
        <w:rPr>
          <w:rFonts w:hAnsi="宋体"/>
          <w:color w:val="auto"/>
          <w:szCs w:val="21"/>
          <w:highlight w:val="none"/>
        </w:rPr>
        <w:t>文件实质性响应要求供应商的报价，有可能影响产品质量或者不能诚信履约的，应当要求其在</w:t>
      </w:r>
      <w:r>
        <w:rPr>
          <w:rFonts w:hint="eastAsia" w:hAnsi="宋体"/>
          <w:color w:val="auto"/>
          <w:szCs w:val="21"/>
          <w:highlight w:val="none"/>
        </w:rPr>
        <w:t>磋商</w:t>
      </w:r>
      <w:r>
        <w:rPr>
          <w:rFonts w:hAnsi="宋体"/>
          <w:color w:val="auto"/>
          <w:szCs w:val="21"/>
          <w:highlight w:val="none"/>
        </w:rPr>
        <w:t>现场合理的时间内提供书面说明，必要时提交相关证明材料；</w:t>
      </w:r>
      <w:r>
        <w:rPr>
          <w:rFonts w:hint="eastAsia" w:hAnsi="宋体"/>
          <w:color w:val="auto"/>
          <w:szCs w:val="21"/>
          <w:highlight w:val="none"/>
        </w:rPr>
        <w:t>磋商</w:t>
      </w:r>
      <w:r>
        <w:rPr>
          <w:rFonts w:hAnsi="宋体"/>
          <w:color w:val="auto"/>
          <w:szCs w:val="21"/>
          <w:highlight w:val="none"/>
        </w:rPr>
        <w:t>供应商不能证明其报价合理性的，</w:t>
      </w:r>
      <w:r>
        <w:rPr>
          <w:rFonts w:hint="eastAsia" w:hAnsi="宋体"/>
          <w:color w:val="auto"/>
          <w:szCs w:val="21"/>
          <w:highlight w:val="none"/>
        </w:rPr>
        <w:t>磋商</w:t>
      </w:r>
      <w:r>
        <w:rPr>
          <w:rFonts w:hAnsi="宋体"/>
          <w:color w:val="auto"/>
          <w:szCs w:val="21"/>
          <w:highlight w:val="none"/>
        </w:rPr>
        <w:t>小组将不推荐该</w:t>
      </w:r>
      <w:r>
        <w:rPr>
          <w:rFonts w:hint="eastAsia" w:hAnsi="宋体"/>
          <w:color w:val="auto"/>
          <w:szCs w:val="21"/>
          <w:highlight w:val="none"/>
        </w:rPr>
        <w:t>磋商</w:t>
      </w:r>
      <w:r>
        <w:rPr>
          <w:rFonts w:hAnsi="宋体"/>
          <w:color w:val="auto"/>
          <w:szCs w:val="21"/>
          <w:highlight w:val="none"/>
        </w:rPr>
        <w:t>供应商为成交候选供应商。</w:t>
      </w:r>
    </w:p>
    <w:p>
      <w:pPr>
        <w:pStyle w:val="2"/>
        <w:rPr>
          <w:color w:val="auto"/>
        </w:rPr>
      </w:pPr>
    </w:p>
    <w:p>
      <w:pPr>
        <w:pStyle w:val="4"/>
        <w:bidi w:val="0"/>
        <w:jc w:val="center"/>
        <w:rPr>
          <w:rFonts w:hint="default"/>
          <w:color w:val="auto"/>
          <w:lang w:val="en-US" w:eastAsia="zh-CN"/>
        </w:rPr>
      </w:pPr>
      <w:r>
        <w:rPr>
          <w:rFonts w:hint="eastAsia"/>
          <w:color w:val="auto"/>
          <w:lang w:val="en-US" w:eastAsia="zh-CN"/>
        </w:rPr>
        <w:t>分标2</w:t>
      </w:r>
    </w:p>
    <w:p>
      <w:pPr>
        <w:pStyle w:val="21"/>
        <w:shd w:val="clear"/>
        <w:adjustRightInd w:val="0"/>
        <w:snapToGrid w:val="0"/>
        <w:spacing w:line="400" w:lineRule="exact"/>
        <w:ind w:left="63" w:right="63" w:firstLine="422" w:firstLineChars="200"/>
        <w:jc w:val="center"/>
        <w:rPr>
          <w:rFonts w:hAnsi="宋体" w:cs="宋体"/>
          <w:b/>
          <w:bCs/>
          <w:color w:val="auto"/>
          <w:szCs w:val="21"/>
          <w:highlight w:val="none"/>
        </w:rPr>
      </w:pPr>
      <w:r>
        <w:rPr>
          <w:rFonts w:hint="eastAsia" w:hAnsi="宋体" w:cs="宋体"/>
          <w:b/>
          <w:bCs/>
          <w:color w:val="auto"/>
          <w:szCs w:val="21"/>
          <w:highlight w:val="none"/>
        </w:rPr>
        <w:t>评标方法与评分标准</w:t>
      </w:r>
    </w:p>
    <w:p>
      <w:pPr>
        <w:pStyle w:val="21"/>
        <w:shd w:val="clear"/>
        <w:adjustRightInd w:val="0"/>
        <w:snapToGrid w:val="0"/>
        <w:spacing w:line="360" w:lineRule="auto"/>
        <w:ind w:left="63" w:right="63"/>
        <w:jc w:val="left"/>
        <w:rPr>
          <w:rFonts w:hAnsi="宋体" w:cs="宋体"/>
          <w:color w:val="auto"/>
          <w:szCs w:val="21"/>
          <w:highlight w:val="none"/>
        </w:rPr>
      </w:pPr>
      <w:r>
        <w:rPr>
          <w:rFonts w:hint="eastAsia" w:hAnsi="宋体" w:cs="宋体"/>
          <w:b/>
          <w:bCs/>
          <w:color w:val="auto"/>
          <w:szCs w:val="21"/>
          <w:highlight w:val="none"/>
        </w:rPr>
        <w:t>一、评标原则</w:t>
      </w:r>
    </w:p>
    <w:p>
      <w:pPr>
        <w:pStyle w:val="21"/>
        <w:shd w:val="clear"/>
        <w:adjustRightInd w:val="0"/>
        <w:snapToGrid w:val="0"/>
        <w:spacing w:line="360" w:lineRule="auto"/>
        <w:ind w:firstLine="420" w:firstLineChars="200"/>
        <w:rPr>
          <w:rFonts w:hAnsi="宋体" w:cs="宋体"/>
          <w:color w:val="auto"/>
          <w:kern w:val="0"/>
          <w:szCs w:val="21"/>
          <w:highlight w:val="none"/>
        </w:rPr>
      </w:pPr>
      <w:r>
        <w:rPr>
          <w:rFonts w:hint="eastAsia" w:hAnsi="宋体" w:cs="宋体"/>
          <w:color w:val="auto"/>
          <w:szCs w:val="21"/>
          <w:highlight w:val="none"/>
        </w:rPr>
        <w:t>(一) 磋商小组</w:t>
      </w:r>
      <w:r>
        <w:rPr>
          <w:rFonts w:hint="eastAsia" w:hAnsi="宋体" w:cs="宋体"/>
          <w:color w:val="auto"/>
          <w:kern w:val="0"/>
          <w:szCs w:val="21"/>
          <w:highlight w:val="none"/>
        </w:rPr>
        <w:t>成员组成：本竞争性磋商采购项目的磋商小组由采购人代表和评审专家共三人以上的单数组成，其中评审专家的人数不得少于磋商小组成员总数的三分之二。</w:t>
      </w:r>
    </w:p>
    <w:p>
      <w:pPr>
        <w:pStyle w:val="21"/>
        <w:shd w:val="clear"/>
        <w:adjustRightInd w:val="0"/>
        <w:snapToGrid w:val="0"/>
        <w:spacing w:line="360" w:lineRule="auto"/>
        <w:ind w:firstLine="420" w:firstLineChars="200"/>
        <w:rPr>
          <w:rFonts w:hAnsi="宋体" w:cs="宋体"/>
          <w:color w:val="auto"/>
          <w:kern w:val="0"/>
          <w:szCs w:val="21"/>
          <w:highlight w:val="none"/>
        </w:rPr>
      </w:pPr>
      <w:r>
        <w:rPr>
          <w:rFonts w:hint="eastAsia" w:hAnsi="宋体" w:cs="宋体"/>
          <w:color w:val="auto"/>
          <w:kern w:val="0"/>
          <w:szCs w:val="21"/>
          <w:highlight w:val="none"/>
        </w:rPr>
        <w:t>(二) 评审依据：磋商小组以竞争性磋商文件和竞争性磋商响应文件为依据，对磋商人的内容按百分制打分。</w:t>
      </w:r>
    </w:p>
    <w:p>
      <w:pPr>
        <w:pStyle w:val="21"/>
        <w:shd w:val="clear"/>
        <w:adjustRightInd w:val="0"/>
        <w:snapToGrid w:val="0"/>
        <w:spacing w:line="360" w:lineRule="auto"/>
        <w:ind w:firstLine="359" w:firstLineChars="171"/>
        <w:rPr>
          <w:rFonts w:hAnsi="宋体" w:cs="宋体"/>
          <w:color w:val="auto"/>
          <w:kern w:val="0"/>
          <w:szCs w:val="21"/>
          <w:highlight w:val="none"/>
        </w:rPr>
      </w:pPr>
      <w:r>
        <w:rPr>
          <w:rFonts w:hint="eastAsia" w:hAnsi="宋体" w:cs="宋体"/>
          <w:color w:val="auto"/>
          <w:kern w:val="0"/>
          <w:szCs w:val="21"/>
          <w:highlight w:val="none"/>
        </w:rPr>
        <w:t>（三）评审方法：采用百分制综合评分法。</w:t>
      </w:r>
    </w:p>
    <w:p>
      <w:pPr>
        <w:pStyle w:val="21"/>
        <w:shd w:val="clear"/>
        <w:adjustRightInd w:val="0"/>
        <w:snapToGrid w:val="0"/>
        <w:spacing w:line="360" w:lineRule="auto"/>
        <w:ind w:left="63" w:right="63"/>
        <w:rPr>
          <w:rFonts w:hAnsi="宋体" w:cs="宋体"/>
          <w:b/>
          <w:bCs/>
          <w:color w:val="auto"/>
          <w:szCs w:val="21"/>
          <w:highlight w:val="none"/>
        </w:rPr>
      </w:pPr>
      <w:r>
        <w:rPr>
          <w:rFonts w:hint="eastAsia" w:hAnsi="宋体" w:cs="宋体"/>
          <w:b/>
          <w:bCs/>
          <w:color w:val="auto"/>
          <w:szCs w:val="21"/>
          <w:highlight w:val="none"/>
        </w:rPr>
        <w:t>二、评标方法</w:t>
      </w:r>
    </w:p>
    <w:p>
      <w:pPr>
        <w:pStyle w:val="21"/>
        <w:shd w:val="clear"/>
        <w:adjustRightInd w:val="0"/>
        <w:snapToGrid w:val="0"/>
        <w:spacing w:line="360" w:lineRule="auto"/>
        <w:ind w:firstLine="422" w:firstLineChars="200"/>
        <w:rPr>
          <w:rFonts w:hAnsi="宋体" w:cs="宋体"/>
          <w:b/>
          <w:bCs/>
          <w:color w:val="auto"/>
          <w:szCs w:val="21"/>
          <w:highlight w:val="none"/>
        </w:rPr>
      </w:pPr>
      <w:r>
        <w:rPr>
          <w:rFonts w:hint="eastAsia" w:hAnsi="宋体" w:cs="宋体"/>
          <w:b/>
          <w:bCs/>
          <w:color w:val="auto"/>
          <w:szCs w:val="21"/>
          <w:highlight w:val="none"/>
        </w:rPr>
        <w:t>（一）对进入详评的，采用百分制综合评分法。</w:t>
      </w:r>
    </w:p>
    <w:p>
      <w:pPr>
        <w:pStyle w:val="21"/>
        <w:shd w:val="clear"/>
        <w:adjustRightInd w:val="0"/>
        <w:snapToGrid w:val="0"/>
        <w:spacing w:line="360" w:lineRule="auto"/>
        <w:ind w:firstLine="422" w:firstLineChars="200"/>
        <w:rPr>
          <w:rFonts w:hAnsi="宋体" w:cs="宋体"/>
          <w:b/>
          <w:bCs/>
          <w:color w:val="auto"/>
          <w:szCs w:val="21"/>
          <w:highlight w:val="none"/>
        </w:rPr>
      </w:pPr>
      <w:r>
        <w:rPr>
          <w:rFonts w:hint="eastAsia" w:hAnsi="宋体" w:cs="宋体"/>
          <w:b/>
          <w:bCs/>
          <w:color w:val="auto"/>
          <w:szCs w:val="21"/>
          <w:highlight w:val="none"/>
        </w:rPr>
        <w:t>（二）计分办法（按四舍五入取至百分位）：</w:t>
      </w:r>
    </w:p>
    <w:p>
      <w:pPr>
        <w:pStyle w:val="21"/>
        <w:shd w:val="clear"/>
        <w:adjustRightInd w:val="0"/>
        <w:snapToGrid w:val="0"/>
        <w:spacing w:line="360" w:lineRule="auto"/>
        <w:ind w:firstLine="422" w:firstLineChars="200"/>
        <w:rPr>
          <w:rFonts w:hAnsi="宋体" w:cs="宋体"/>
          <w:b/>
          <w:bCs/>
          <w:color w:val="auto"/>
          <w:szCs w:val="21"/>
          <w:highlight w:val="none"/>
        </w:rPr>
      </w:pPr>
      <w:r>
        <w:rPr>
          <w:rFonts w:hint="eastAsia" w:hAnsi="宋体" w:cs="宋体"/>
          <w:b/>
          <w:bCs/>
          <w:color w:val="auto"/>
          <w:szCs w:val="21"/>
          <w:highlight w:val="none"/>
        </w:rPr>
        <w:t>1、报价分………………………………………………………………………………</w:t>
      </w:r>
      <w:r>
        <w:rPr>
          <w:rFonts w:hint="eastAsia" w:hAnsi="宋体" w:cs="宋体"/>
          <w:b/>
          <w:bCs/>
          <w:color w:val="auto"/>
          <w:szCs w:val="21"/>
          <w:highlight w:val="none"/>
          <w:lang w:val="en-US" w:eastAsia="zh-CN"/>
        </w:rPr>
        <w:t>10</w:t>
      </w:r>
      <w:r>
        <w:rPr>
          <w:rFonts w:hint="eastAsia" w:hAnsi="宋体" w:cs="宋体"/>
          <w:b/>
          <w:bCs/>
          <w:color w:val="auto"/>
          <w:szCs w:val="21"/>
          <w:highlight w:val="none"/>
        </w:rPr>
        <w:t>分</w:t>
      </w:r>
    </w:p>
    <w:p>
      <w:pPr>
        <w:shd w:val="clear"/>
        <w:snapToGrid w:val="0"/>
        <w:spacing w:line="360" w:lineRule="auto"/>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1）符合《政府采购促进中小企业发展管理办法》（财库〔2020〕46号）的规定条件且按该办法中规定的格式提供了《中小企业声明函》的小型和微型企业，对报价给予20%的扣除，扣除后的价格为评标价，即评标价=报价×（1-20%）；除上述情况外，评标价=报价。</w:t>
      </w:r>
    </w:p>
    <w:p>
      <w:pPr>
        <w:shd w:val="clear"/>
        <w:snapToGrid w:val="0"/>
        <w:spacing w:line="360" w:lineRule="auto"/>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磋商产品生产企业或服务提供企业按《关于政府采购支持监狱企业发展有关问题的通知》(财库[2014]68号)认定为监狱企业的，在政府采购活动中，监狱企业视同小型、微型企业。供应商应当提供由省级以上监狱管理局、戒毒管理局(含新疆生产建设兵团)出具的磋商产品生产企业或服务提供企业属于监狱企业的证明文件，不再提供《中小企业声明函》；</w:t>
      </w:r>
    </w:p>
    <w:p>
      <w:pPr>
        <w:shd w:val="clear"/>
        <w:snapToGrid w:val="0"/>
        <w:spacing w:line="360" w:lineRule="auto"/>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磋商产品生产单位或服务提供单位按《关于促进残疾人就业政府采购政策的通知》(财库〔2017〕141号)认定为残疾人福利性单位的，在政府采购活动中，残疾人福利性单位视同小型、微型企业。供应商应当提供该通知规定的磋商产品生产单位或服务提供单位属于残疾人福利性单位的《残疾人福利性单位声明函》，不再提供《中小企业声明函》。</w:t>
      </w:r>
    </w:p>
    <w:p>
      <w:pPr>
        <w:shd w:val="clear"/>
        <w:snapToGrid w:val="0"/>
        <w:spacing w:line="360" w:lineRule="auto"/>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（2）以满足采购文件要求的最低最后评标价为10分。</w:t>
      </w:r>
    </w:p>
    <w:p>
      <w:pPr>
        <w:shd w:val="clear"/>
        <w:snapToGrid w:val="0"/>
        <w:spacing w:line="360" w:lineRule="auto"/>
        <w:ind w:firstLine="420" w:firstLineChars="200"/>
        <w:jc w:val="left"/>
        <w:rPr>
          <w:rFonts w:hint="eastAsia" w:ascii="宋体" w:hAnsi="宋体"/>
          <w:b w:val="0"/>
          <w:bCs w:val="0"/>
          <w:color w:val="auto"/>
          <w:highlight w:val="none"/>
        </w:rPr>
      </w:pPr>
      <w:r>
        <w:rPr>
          <w:rFonts w:hint="eastAsia" w:ascii="宋体" w:hAnsi="宋体"/>
          <w:b w:val="0"/>
          <w:bCs w:val="0"/>
          <w:color w:val="auto"/>
          <w:highlight w:val="none"/>
        </w:rPr>
        <w:t>（3）某磋商人报价分=磋商人最低最后评标价（金额）/某磋商人最后评标价（金额）×10分</w:t>
      </w:r>
    </w:p>
    <w:p>
      <w:pPr>
        <w:shd w:val="clear"/>
        <w:snapToGrid w:val="0"/>
        <w:spacing w:line="360" w:lineRule="auto"/>
        <w:ind w:firstLine="422" w:firstLineChars="200"/>
        <w:jc w:val="left"/>
        <w:rPr>
          <w:rFonts w:ascii="宋体" w:hAnsi="宋体"/>
          <w:b/>
          <w:color w:val="auto"/>
          <w:highlight w:val="none"/>
        </w:rPr>
      </w:pPr>
      <w:r>
        <w:rPr>
          <w:rFonts w:ascii="宋体" w:hAnsi="宋体"/>
          <w:b/>
          <w:color w:val="auto"/>
          <w:highlight w:val="none"/>
        </w:rPr>
        <w:t>2</w:t>
      </w:r>
      <w:r>
        <w:rPr>
          <w:rFonts w:hint="eastAsia" w:ascii="宋体" w:hAnsi="宋体"/>
          <w:b/>
          <w:color w:val="auto"/>
          <w:highlight w:val="none"/>
        </w:rPr>
        <w:t>、技术分………………………………………………………………………………</w:t>
      </w:r>
      <w:r>
        <w:rPr>
          <w:rFonts w:hint="eastAsia" w:ascii="宋体" w:hAnsi="宋体"/>
          <w:b/>
          <w:color w:val="auto"/>
          <w:highlight w:val="none"/>
          <w:lang w:val="en-US" w:eastAsia="zh-CN"/>
        </w:rPr>
        <w:t>87</w:t>
      </w:r>
      <w:r>
        <w:rPr>
          <w:rFonts w:hint="eastAsia" w:ascii="宋体" w:hAnsi="宋体"/>
          <w:b/>
          <w:color w:val="auto"/>
          <w:highlight w:val="none"/>
        </w:rPr>
        <w:t>分</w:t>
      </w:r>
    </w:p>
    <w:p>
      <w:pPr>
        <w:keepNext w:val="0"/>
        <w:keepLines w:val="0"/>
        <w:pageBreakBefore w:val="0"/>
        <w:kinsoku/>
        <w:wordWrap/>
        <w:overflowPunct/>
        <w:topLinePunct w:val="0"/>
        <w:autoSpaceDE/>
        <w:autoSpaceDN/>
        <w:bidi w:val="0"/>
        <w:snapToGrid w:val="0"/>
        <w:spacing w:line="360" w:lineRule="auto"/>
        <w:ind w:firstLine="422" w:firstLineChars="200"/>
        <w:textAlignment w:val="auto"/>
        <w:rPr>
          <w:rFonts w:hint="eastAsia" w:hAnsi="宋体"/>
          <w:b/>
          <w:bCs/>
          <w:color w:val="auto"/>
          <w:szCs w:val="22"/>
          <w:highlight w:val="none"/>
        </w:rPr>
      </w:pPr>
      <w:r>
        <w:rPr>
          <w:rFonts w:hint="eastAsia" w:hAnsi="宋体"/>
          <w:b/>
          <w:bCs/>
          <w:color w:val="auto"/>
          <w:szCs w:val="22"/>
          <w:highlight w:val="none"/>
        </w:rPr>
        <w:t>（1）技术性能分（</w:t>
      </w:r>
      <w:r>
        <w:rPr>
          <w:rFonts w:hint="eastAsia" w:hAnsi="宋体"/>
          <w:b/>
          <w:bCs/>
          <w:color w:val="auto"/>
          <w:szCs w:val="22"/>
          <w:highlight w:val="none"/>
          <w:lang w:val="en-US" w:eastAsia="zh-CN"/>
        </w:rPr>
        <w:t>24</w:t>
      </w:r>
      <w:r>
        <w:rPr>
          <w:rFonts w:hint="eastAsia" w:hAnsi="宋体"/>
          <w:b/>
          <w:bCs/>
          <w:color w:val="auto"/>
          <w:szCs w:val="22"/>
          <w:highlight w:val="none"/>
        </w:rPr>
        <w:t>分）</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s="Courier New"/>
          <w:bCs/>
          <w:color w:val="auto"/>
          <w:kern w:val="0"/>
          <w:highlight w:val="none"/>
        </w:rPr>
      </w:pPr>
      <w:r>
        <w:rPr>
          <w:rFonts w:hint="eastAsia" w:ascii="宋体" w:hAnsi="宋体" w:cs="Courier New"/>
          <w:bCs/>
          <w:color w:val="auto"/>
          <w:kern w:val="0"/>
          <w:highlight w:val="none"/>
        </w:rPr>
        <w:t>完全响应服务内容及技术要求的全部内容，得</w:t>
      </w:r>
      <w:r>
        <w:rPr>
          <w:rFonts w:hint="eastAsia" w:ascii="宋体" w:hAnsi="宋体" w:cs="Courier New"/>
          <w:bCs/>
          <w:color w:val="auto"/>
          <w:kern w:val="0"/>
          <w:highlight w:val="none"/>
          <w:lang w:val="en-US" w:eastAsia="zh-CN"/>
        </w:rPr>
        <w:t>24</w:t>
      </w:r>
      <w:r>
        <w:rPr>
          <w:rFonts w:hint="eastAsia" w:ascii="宋体" w:hAnsi="宋体" w:cs="Courier New"/>
          <w:bCs/>
          <w:color w:val="auto"/>
          <w:kern w:val="0"/>
          <w:highlight w:val="none"/>
        </w:rPr>
        <w:t>分，每有一项普通无标识的条款不满足减</w:t>
      </w:r>
      <w:r>
        <w:rPr>
          <w:rFonts w:hint="eastAsia" w:ascii="宋体" w:hAnsi="宋体" w:cs="Courier New"/>
          <w:bCs/>
          <w:color w:val="auto"/>
          <w:kern w:val="0"/>
          <w:highlight w:val="none"/>
          <w:lang w:val="en-US" w:eastAsia="zh-CN"/>
        </w:rPr>
        <w:t>3</w:t>
      </w:r>
      <w:r>
        <w:rPr>
          <w:rFonts w:hint="eastAsia" w:ascii="宋体" w:hAnsi="宋体" w:cs="Courier New"/>
          <w:bCs/>
          <w:color w:val="auto"/>
          <w:kern w:val="0"/>
          <w:highlight w:val="none"/>
        </w:rPr>
        <w:t>分，直至扣至0分，漏报内容视为不满足。</w:t>
      </w:r>
    </w:p>
    <w:p>
      <w:pPr>
        <w:keepNext w:val="0"/>
        <w:keepLines w:val="0"/>
        <w:pageBreakBefore w:val="0"/>
        <w:kinsoku/>
        <w:wordWrap/>
        <w:overflowPunct/>
        <w:topLinePunct w:val="0"/>
        <w:autoSpaceDE/>
        <w:autoSpaceDN/>
        <w:bidi w:val="0"/>
        <w:snapToGrid w:val="0"/>
        <w:spacing w:line="360" w:lineRule="auto"/>
        <w:ind w:firstLine="422" w:firstLineChars="200"/>
        <w:textAlignment w:val="auto"/>
        <w:rPr>
          <w:rFonts w:hint="eastAsia" w:hAnsi="宋体"/>
          <w:b/>
          <w:bCs/>
          <w:color w:val="auto"/>
          <w:szCs w:val="22"/>
          <w:highlight w:val="none"/>
        </w:rPr>
      </w:pPr>
      <w:r>
        <w:rPr>
          <w:rFonts w:hint="eastAsia" w:hAnsi="宋体"/>
          <w:b/>
          <w:bCs/>
          <w:color w:val="auto"/>
          <w:szCs w:val="22"/>
          <w:highlight w:val="none"/>
        </w:rPr>
        <w:t>（2）项目建设服务技术方案（满分</w:t>
      </w:r>
      <w:r>
        <w:rPr>
          <w:rFonts w:hint="eastAsia" w:hAnsi="宋体"/>
          <w:b/>
          <w:bCs/>
          <w:color w:val="auto"/>
          <w:szCs w:val="22"/>
          <w:highlight w:val="none"/>
          <w:lang w:val="en-US" w:eastAsia="zh-CN"/>
        </w:rPr>
        <w:t>24</w:t>
      </w:r>
      <w:r>
        <w:rPr>
          <w:rFonts w:hint="eastAsia" w:hAnsi="宋体"/>
          <w:b/>
          <w:bCs/>
          <w:color w:val="auto"/>
          <w:szCs w:val="22"/>
          <w:highlight w:val="none"/>
        </w:rPr>
        <w:t>分）</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color w:val="auto"/>
          <w:highlight w:val="none"/>
        </w:rPr>
      </w:pPr>
      <w:r>
        <w:rPr>
          <w:rFonts w:hint="eastAsia" w:ascii="宋体" w:hAnsi="宋体" w:cs="Courier New"/>
          <w:bCs/>
          <w:color w:val="auto"/>
          <w:kern w:val="0"/>
          <w:highlight w:val="none"/>
        </w:rPr>
        <w:t>由磋商小组成员根据供应商响应文件中的</w:t>
      </w:r>
      <w:r>
        <w:rPr>
          <w:rFonts w:hint="eastAsia" w:ascii="宋体" w:hAnsi="宋体" w:cs="Courier New"/>
          <w:bCs/>
          <w:color w:val="auto"/>
          <w:kern w:val="0"/>
          <w:highlight w:val="none"/>
          <w:lang w:eastAsia="zh-CN"/>
        </w:rPr>
        <w:t>项目</w:t>
      </w:r>
      <w:r>
        <w:rPr>
          <w:rFonts w:hint="eastAsia"/>
          <w:color w:val="auto"/>
          <w:highlight w:val="none"/>
        </w:rPr>
        <w:t>建设服务技术方案内容</w:t>
      </w:r>
      <w:r>
        <w:rPr>
          <w:rFonts w:hint="eastAsia" w:ascii="宋体" w:hAnsi="宋体" w:cs="Courier New"/>
          <w:bCs/>
          <w:color w:val="auto"/>
          <w:kern w:val="0"/>
          <w:highlight w:val="none"/>
        </w:rPr>
        <w:t>进行独立评审，并独立打分</w:t>
      </w:r>
      <w:r>
        <w:rPr>
          <w:rFonts w:hint="eastAsia"/>
          <w:color w:val="auto"/>
          <w:highlight w:val="none"/>
        </w:rPr>
        <w:t>。</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color w:val="auto"/>
          <w:highlight w:val="none"/>
        </w:rPr>
      </w:pPr>
      <w:r>
        <w:rPr>
          <w:rFonts w:hint="eastAsia"/>
          <w:color w:val="auto"/>
          <w:highlight w:val="none"/>
        </w:rPr>
        <w:t>一档</w:t>
      </w:r>
      <w:r>
        <w:rPr>
          <w:rFonts w:hint="eastAsia"/>
          <w:color w:val="auto"/>
          <w:highlight w:val="none"/>
          <w:lang w:eastAsia="zh-CN"/>
        </w:rPr>
        <w:t>（</w:t>
      </w:r>
      <w:r>
        <w:rPr>
          <w:rFonts w:hint="eastAsia"/>
          <w:color w:val="auto"/>
          <w:highlight w:val="none"/>
          <w:lang w:val="en-US" w:eastAsia="zh-CN"/>
        </w:rPr>
        <w:t>6分</w:t>
      </w:r>
      <w:r>
        <w:rPr>
          <w:rFonts w:hint="eastAsia"/>
          <w:color w:val="auto"/>
          <w:highlight w:val="none"/>
          <w:lang w:eastAsia="zh-CN"/>
        </w:rPr>
        <w:t>）</w:t>
      </w:r>
      <w:r>
        <w:rPr>
          <w:rFonts w:hint="eastAsia"/>
          <w:color w:val="auto"/>
          <w:highlight w:val="none"/>
        </w:rPr>
        <w:t>：提供的服务技术方案针对本项</w:t>
      </w:r>
      <w:r>
        <w:rPr>
          <w:rFonts w:ascii="宋体" w:hAnsi="宋体"/>
          <w:color w:val="auto"/>
          <w:highlight w:val="none"/>
        </w:rPr>
        <w:t>简单描述了</w:t>
      </w:r>
      <w:r>
        <w:rPr>
          <w:rFonts w:hint="eastAsia"/>
          <w:color w:val="auto"/>
          <w:highlight w:val="none"/>
        </w:rPr>
        <w:t>项目背景、建设目标、建设服务内容的，得</w:t>
      </w:r>
      <w:r>
        <w:rPr>
          <w:rFonts w:hint="eastAsia"/>
          <w:color w:val="auto"/>
          <w:highlight w:val="none"/>
          <w:lang w:val="en-US" w:eastAsia="zh-CN"/>
        </w:rPr>
        <w:t>6</w:t>
      </w:r>
      <w:r>
        <w:rPr>
          <w:rFonts w:hint="eastAsia"/>
          <w:color w:val="auto"/>
          <w:highlight w:val="none"/>
        </w:rPr>
        <w:t>分。</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color w:val="auto"/>
          <w:highlight w:val="none"/>
        </w:rPr>
      </w:pPr>
      <w:r>
        <w:rPr>
          <w:rFonts w:hint="eastAsia"/>
          <w:color w:val="auto"/>
          <w:highlight w:val="none"/>
        </w:rPr>
        <w:t>二档</w:t>
      </w:r>
      <w:r>
        <w:rPr>
          <w:rFonts w:hint="eastAsia"/>
          <w:color w:val="auto"/>
          <w:highlight w:val="none"/>
          <w:lang w:eastAsia="zh-CN"/>
        </w:rPr>
        <w:t>（</w:t>
      </w:r>
      <w:r>
        <w:rPr>
          <w:rFonts w:hint="eastAsia"/>
          <w:color w:val="auto"/>
          <w:highlight w:val="none"/>
          <w:lang w:val="en-US" w:eastAsia="zh-CN"/>
        </w:rPr>
        <w:t>12分</w:t>
      </w:r>
      <w:r>
        <w:rPr>
          <w:rFonts w:hint="eastAsia"/>
          <w:color w:val="auto"/>
          <w:highlight w:val="none"/>
          <w:lang w:eastAsia="zh-CN"/>
        </w:rPr>
        <w:t>）</w:t>
      </w:r>
      <w:r>
        <w:rPr>
          <w:rFonts w:hint="eastAsia"/>
          <w:color w:val="auto"/>
          <w:highlight w:val="none"/>
        </w:rPr>
        <w:t>：提供的服务技术方案针对本项</w:t>
      </w:r>
      <w:r>
        <w:rPr>
          <w:rFonts w:hint="eastAsia" w:ascii="宋体" w:hAnsi="宋体"/>
          <w:color w:val="auto"/>
          <w:highlight w:val="none"/>
        </w:rPr>
        <w:t>详细</w:t>
      </w:r>
      <w:r>
        <w:rPr>
          <w:rFonts w:ascii="宋体" w:hAnsi="宋体"/>
          <w:color w:val="auto"/>
          <w:highlight w:val="none"/>
        </w:rPr>
        <w:t>描述了</w:t>
      </w:r>
      <w:r>
        <w:rPr>
          <w:rFonts w:hint="eastAsia"/>
          <w:color w:val="auto"/>
          <w:highlight w:val="none"/>
        </w:rPr>
        <w:t>项目背景、建设目标、建设服务内容、</w:t>
      </w:r>
      <w:r>
        <w:rPr>
          <w:rFonts w:ascii="宋体" w:hAnsi="宋体"/>
          <w:color w:val="auto"/>
          <w:highlight w:val="none"/>
        </w:rPr>
        <w:t>设计</w:t>
      </w:r>
      <w:r>
        <w:rPr>
          <w:rFonts w:hint="eastAsia" w:ascii="宋体" w:hAnsi="宋体"/>
          <w:color w:val="auto"/>
          <w:highlight w:val="none"/>
        </w:rPr>
        <w:t>原则</w:t>
      </w:r>
      <w:r>
        <w:rPr>
          <w:rFonts w:ascii="宋体" w:hAnsi="宋体"/>
          <w:color w:val="auto"/>
          <w:highlight w:val="none"/>
        </w:rPr>
        <w:t>、体系架构、建设后效果</w:t>
      </w:r>
      <w:r>
        <w:rPr>
          <w:rFonts w:hint="eastAsia" w:ascii="宋体" w:hAnsi="宋体"/>
          <w:color w:val="auto"/>
          <w:highlight w:val="none"/>
        </w:rPr>
        <w:t>的</w:t>
      </w:r>
      <w:r>
        <w:rPr>
          <w:rFonts w:hint="eastAsia"/>
          <w:color w:val="auto"/>
          <w:highlight w:val="none"/>
        </w:rPr>
        <w:t>，得</w:t>
      </w:r>
      <w:r>
        <w:rPr>
          <w:rFonts w:hint="eastAsia"/>
          <w:color w:val="auto"/>
          <w:highlight w:val="none"/>
          <w:lang w:val="en-US" w:eastAsia="zh-CN"/>
        </w:rPr>
        <w:t>12</w:t>
      </w:r>
      <w:r>
        <w:rPr>
          <w:rFonts w:hint="eastAsia"/>
          <w:color w:val="auto"/>
          <w:highlight w:val="none"/>
        </w:rPr>
        <w:t>分。</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color w:val="auto"/>
          <w:highlight w:val="none"/>
        </w:rPr>
      </w:pPr>
      <w:r>
        <w:rPr>
          <w:rFonts w:hint="eastAsia"/>
          <w:color w:val="auto"/>
          <w:highlight w:val="none"/>
          <w:lang w:eastAsia="zh-CN"/>
        </w:rPr>
        <w:t>三</w:t>
      </w:r>
      <w:r>
        <w:rPr>
          <w:rFonts w:hint="eastAsia"/>
          <w:color w:val="auto"/>
          <w:highlight w:val="none"/>
        </w:rPr>
        <w:t>档</w:t>
      </w:r>
      <w:r>
        <w:rPr>
          <w:rFonts w:hint="eastAsia"/>
          <w:color w:val="auto"/>
          <w:highlight w:val="none"/>
          <w:lang w:eastAsia="zh-CN"/>
        </w:rPr>
        <w:t>（</w:t>
      </w:r>
      <w:r>
        <w:rPr>
          <w:rFonts w:hint="eastAsia"/>
          <w:color w:val="auto"/>
          <w:highlight w:val="none"/>
          <w:lang w:val="en-US" w:eastAsia="zh-CN"/>
        </w:rPr>
        <w:t>18分</w:t>
      </w:r>
      <w:r>
        <w:rPr>
          <w:rFonts w:hint="eastAsia"/>
          <w:color w:val="auto"/>
          <w:highlight w:val="none"/>
          <w:lang w:eastAsia="zh-CN"/>
        </w:rPr>
        <w:t>）</w:t>
      </w:r>
      <w:r>
        <w:rPr>
          <w:rFonts w:hint="eastAsia"/>
          <w:color w:val="auto"/>
          <w:highlight w:val="none"/>
        </w:rPr>
        <w:t>：提供的建设服务技术方案针对本项</w:t>
      </w:r>
      <w:r>
        <w:rPr>
          <w:rFonts w:hint="eastAsia" w:ascii="宋体" w:hAnsi="宋体"/>
          <w:color w:val="auto"/>
          <w:highlight w:val="none"/>
        </w:rPr>
        <w:t>准确</w:t>
      </w:r>
      <w:r>
        <w:rPr>
          <w:rFonts w:ascii="宋体" w:hAnsi="宋体"/>
          <w:color w:val="auto"/>
          <w:highlight w:val="none"/>
        </w:rPr>
        <w:t>描述了</w:t>
      </w:r>
      <w:r>
        <w:rPr>
          <w:rFonts w:hint="eastAsia"/>
          <w:color w:val="auto"/>
          <w:highlight w:val="none"/>
        </w:rPr>
        <w:t>项目的背景、建设目标、建设服务内容、</w:t>
      </w:r>
      <w:r>
        <w:rPr>
          <w:rFonts w:ascii="宋体" w:hAnsi="宋体"/>
          <w:color w:val="auto"/>
          <w:highlight w:val="none"/>
        </w:rPr>
        <w:t>设计</w:t>
      </w:r>
      <w:r>
        <w:rPr>
          <w:rFonts w:hint="eastAsia" w:ascii="宋体" w:hAnsi="宋体"/>
          <w:color w:val="auto"/>
          <w:highlight w:val="none"/>
        </w:rPr>
        <w:t>原则</w:t>
      </w:r>
      <w:r>
        <w:rPr>
          <w:rFonts w:ascii="宋体" w:hAnsi="宋体"/>
          <w:color w:val="auto"/>
          <w:highlight w:val="none"/>
        </w:rPr>
        <w:t>、体系架构、建设后效果</w:t>
      </w:r>
      <w:r>
        <w:rPr>
          <w:rFonts w:hint="eastAsia"/>
          <w:color w:val="auto"/>
          <w:highlight w:val="none"/>
          <w:lang w:eastAsia="zh-CN"/>
        </w:rPr>
        <w:t>，</w:t>
      </w:r>
      <w:r>
        <w:rPr>
          <w:rFonts w:hint="eastAsia"/>
          <w:color w:val="auto"/>
          <w:highlight w:val="none"/>
        </w:rPr>
        <w:t>细化服务措施，优化服务流程</w:t>
      </w:r>
      <w:r>
        <w:rPr>
          <w:rFonts w:hint="eastAsia"/>
          <w:color w:val="auto"/>
          <w:highlight w:val="none"/>
          <w:lang w:eastAsia="zh-CN"/>
        </w:rPr>
        <w:t>的，得</w:t>
      </w:r>
      <w:r>
        <w:rPr>
          <w:rFonts w:hint="eastAsia"/>
          <w:color w:val="auto"/>
          <w:highlight w:val="none"/>
          <w:lang w:val="en-US" w:eastAsia="zh-CN"/>
        </w:rPr>
        <w:t>18分</w:t>
      </w:r>
      <w:r>
        <w:rPr>
          <w:rFonts w:hint="eastAsia"/>
          <w:color w:val="auto"/>
          <w:highlight w:val="none"/>
        </w:rPr>
        <w:t>。</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color w:val="auto"/>
          <w:highlight w:val="none"/>
        </w:rPr>
      </w:pPr>
      <w:r>
        <w:rPr>
          <w:rFonts w:hint="eastAsia"/>
          <w:color w:val="auto"/>
          <w:highlight w:val="none"/>
          <w:lang w:eastAsia="zh-CN"/>
        </w:rPr>
        <w:t>四</w:t>
      </w:r>
      <w:r>
        <w:rPr>
          <w:rFonts w:hint="eastAsia"/>
          <w:color w:val="auto"/>
          <w:highlight w:val="none"/>
        </w:rPr>
        <w:t>档</w:t>
      </w:r>
      <w:r>
        <w:rPr>
          <w:rFonts w:hint="eastAsia"/>
          <w:color w:val="auto"/>
          <w:highlight w:val="none"/>
          <w:lang w:eastAsia="zh-CN"/>
        </w:rPr>
        <w:t>（</w:t>
      </w:r>
      <w:r>
        <w:rPr>
          <w:rFonts w:hint="eastAsia"/>
          <w:color w:val="auto"/>
          <w:highlight w:val="none"/>
          <w:lang w:val="en-US" w:eastAsia="zh-CN"/>
        </w:rPr>
        <w:t>24分</w:t>
      </w:r>
      <w:r>
        <w:rPr>
          <w:rFonts w:hint="eastAsia"/>
          <w:color w:val="auto"/>
          <w:highlight w:val="none"/>
          <w:lang w:eastAsia="zh-CN"/>
        </w:rPr>
        <w:t>）</w:t>
      </w:r>
      <w:r>
        <w:rPr>
          <w:rFonts w:hint="eastAsia"/>
          <w:color w:val="auto"/>
          <w:highlight w:val="none"/>
        </w:rPr>
        <w:t>：提供的建设服务技术方案针对本项</w:t>
      </w:r>
      <w:r>
        <w:rPr>
          <w:rFonts w:hint="eastAsia" w:ascii="宋体" w:hAnsi="宋体"/>
          <w:color w:val="auto"/>
          <w:highlight w:val="none"/>
        </w:rPr>
        <w:t>准确</w:t>
      </w:r>
      <w:r>
        <w:rPr>
          <w:rFonts w:ascii="宋体" w:hAnsi="宋体"/>
          <w:color w:val="auto"/>
          <w:highlight w:val="none"/>
        </w:rPr>
        <w:t>描述了</w:t>
      </w:r>
      <w:r>
        <w:rPr>
          <w:rFonts w:hint="eastAsia"/>
          <w:color w:val="auto"/>
          <w:highlight w:val="none"/>
        </w:rPr>
        <w:t>项目的背景、建设目标、建设服务内容、</w:t>
      </w:r>
      <w:r>
        <w:rPr>
          <w:rFonts w:ascii="宋体" w:hAnsi="宋体"/>
          <w:color w:val="auto"/>
          <w:highlight w:val="none"/>
        </w:rPr>
        <w:t>设计</w:t>
      </w:r>
      <w:r>
        <w:rPr>
          <w:rFonts w:hint="eastAsia" w:ascii="宋体" w:hAnsi="宋体"/>
          <w:color w:val="auto"/>
          <w:highlight w:val="none"/>
        </w:rPr>
        <w:t>原则</w:t>
      </w:r>
      <w:r>
        <w:rPr>
          <w:rFonts w:ascii="宋体" w:hAnsi="宋体"/>
          <w:color w:val="auto"/>
          <w:highlight w:val="none"/>
        </w:rPr>
        <w:t>、体系架构、建设后效果</w:t>
      </w:r>
      <w:r>
        <w:rPr>
          <w:rFonts w:hint="eastAsia"/>
          <w:color w:val="auto"/>
          <w:highlight w:val="none"/>
        </w:rPr>
        <w:t>；准确把握本项目需求重点，细化服务措施，优化服务流程；详细描述具备处理紧急问题的能力以及</w:t>
      </w:r>
      <w:r>
        <w:rPr>
          <w:rFonts w:ascii="宋体" w:hAnsi="宋体"/>
          <w:color w:val="auto"/>
          <w:highlight w:val="none"/>
        </w:rPr>
        <w:t>安全保障措施</w:t>
      </w:r>
      <w:r>
        <w:rPr>
          <w:rFonts w:hint="eastAsia"/>
          <w:color w:val="auto"/>
          <w:highlight w:val="none"/>
        </w:rPr>
        <w:t>，确保服务正常平稳运行，得24分。</w:t>
      </w:r>
    </w:p>
    <w:p>
      <w:pPr>
        <w:pageBreakBefore w:val="0"/>
        <w:kinsoku/>
        <w:wordWrap/>
        <w:overflowPunct/>
        <w:topLinePunct w:val="0"/>
        <w:autoSpaceDE/>
        <w:autoSpaceDN/>
        <w:bidi w:val="0"/>
        <w:snapToGrid w:val="0"/>
        <w:spacing w:line="324" w:lineRule="auto"/>
        <w:ind w:firstLine="422" w:firstLineChars="200"/>
        <w:rPr>
          <w:rFonts w:hint="eastAsia"/>
          <w:color w:val="auto"/>
          <w:szCs w:val="24"/>
          <w:highlight w:val="none"/>
        </w:rPr>
      </w:pPr>
      <w:r>
        <w:rPr>
          <w:rFonts w:hint="eastAsia" w:ascii="宋体" w:hAnsi="宋体" w:cs="Courier New"/>
          <w:b/>
          <w:color w:val="auto"/>
          <w:kern w:val="0"/>
          <w:highlight w:val="none"/>
        </w:rPr>
        <w:t>注：供应商未提供此项评分点内容的则不得分。</w:t>
      </w:r>
    </w:p>
    <w:p>
      <w:pPr>
        <w:snapToGrid w:val="0"/>
        <w:spacing w:line="360" w:lineRule="auto"/>
        <w:ind w:firstLine="422" w:firstLineChars="200"/>
        <w:rPr>
          <w:rFonts w:hAnsi="宋体"/>
          <w:b/>
          <w:bCs/>
          <w:color w:val="auto"/>
          <w:szCs w:val="22"/>
        </w:rPr>
      </w:pPr>
      <w:r>
        <w:rPr>
          <w:rFonts w:hint="eastAsia" w:hAnsi="宋体"/>
          <w:b/>
          <w:bCs/>
          <w:color w:val="auto"/>
          <w:szCs w:val="22"/>
        </w:rPr>
        <w:t>（</w:t>
      </w:r>
      <w:r>
        <w:rPr>
          <w:rFonts w:hint="eastAsia" w:hAnsi="宋体"/>
          <w:b/>
          <w:bCs/>
          <w:color w:val="auto"/>
          <w:szCs w:val="22"/>
          <w:lang w:val="en-US" w:eastAsia="zh-CN"/>
        </w:rPr>
        <w:t>3</w:t>
      </w:r>
      <w:r>
        <w:rPr>
          <w:rFonts w:hint="eastAsia" w:hAnsi="宋体"/>
          <w:b/>
          <w:bCs/>
          <w:color w:val="auto"/>
          <w:szCs w:val="22"/>
        </w:rPr>
        <w:t>）组织实施方案分（</w:t>
      </w:r>
      <w:r>
        <w:rPr>
          <w:rFonts w:hint="eastAsia" w:hAnsi="宋体"/>
          <w:b/>
          <w:bCs/>
          <w:color w:val="auto"/>
          <w:szCs w:val="22"/>
          <w:lang w:val="en-US" w:eastAsia="zh-CN"/>
        </w:rPr>
        <w:t>24</w:t>
      </w:r>
      <w:r>
        <w:rPr>
          <w:rFonts w:hint="eastAsia" w:hAnsi="宋体"/>
          <w:b/>
          <w:bCs/>
          <w:color w:val="auto"/>
          <w:szCs w:val="22"/>
        </w:rPr>
        <w:t>分）</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color w:val="auto"/>
          <w:highlight w:val="none"/>
        </w:rPr>
      </w:pPr>
      <w:r>
        <w:rPr>
          <w:rFonts w:hint="eastAsia" w:ascii="宋体" w:hAnsi="宋体" w:cs="Courier New"/>
          <w:bCs/>
          <w:color w:val="auto"/>
          <w:kern w:val="0"/>
          <w:highlight w:val="none"/>
        </w:rPr>
        <w:t>由磋商小组成员根据供应商响应文件中的组织实施方案</w:t>
      </w:r>
      <w:r>
        <w:rPr>
          <w:rFonts w:hint="eastAsia"/>
          <w:color w:val="auto"/>
          <w:highlight w:val="none"/>
        </w:rPr>
        <w:t>内容</w:t>
      </w:r>
      <w:r>
        <w:rPr>
          <w:rFonts w:hint="eastAsia" w:ascii="宋体" w:hAnsi="宋体" w:cs="Courier New"/>
          <w:bCs/>
          <w:color w:val="auto"/>
          <w:kern w:val="0"/>
          <w:highlight w:val="none"/>
        </w:rPr>
        <w:t>进行独立评审，并独立打分</w:t>
      </w:r>
      <w:r>
        <w:rPr>
          <w:rFonts w:hint="eastAsia"/>
          <w:color w:val="auto"/>
          <w:highlight w:val="none"/>
        </w:rPr>
        <w:t>。</w:t>
      </w:r>
    </w:p>
    <w:p>
      <w:pPr>
        <w:snapToGrid w:val="0"/>
        <w:spacing w:line="360" w:lineRule="auto"/>
        <w:ind w:firstLine="420" w:firstLineChars="200"/>
        <w:rPr>
          <w:rFonts w:hAnsi="宋体"/>
          <w:color w:val="auto"/>
          <w:szCs w:val="22"/>
        </w:rPr>
      </w:pPr>
      <w:r>
        <w:rPr>
          <w:rFonts w:hint="eastAsia" w:hAnsi="宋体"/>
          <w:color w:val="auto"/>
          <w:szCs w:val="22"/>
        </w:rPr>
        <w:t>一档（</w:t>
      </w:r>
      <w:r>
        <w:rPr>
          <w:rFonts w:hint="eastAsia" w:hAnsi="宋体"/>
          <w:color w:val="auto"/>
          <w:szCs w:val="22"/>
          <w:lang w:val="en-US" w:eastAsia="zh-CN"/>
        </w:rPr>
        <w:t>6</w:t>
      </w:r>
      <w:r>
        <w:rPr>
          <w:rFonts w:hint="eastAsia" w:hAnsi="宋体"/>
          <w:color w:val="auto"/>
          <w:szCs w:val="22"/>
        </w:rPr>
        <w:t>分）：</w:t>
      </w:r>
      <w:r>
        <w:rPr>
          <w:rFonts w:hint="eastAsia" w:hAnsi="宋体"/>
          <w:color w:val="auto"/>
          <w:szCs w:val="22"/>
          <w:lang w:eastAsia="zh-CN"/>
        </w:rPr>
        <w:t>组织</w:t>
      </w:r>
      <w:r>
        <w:rPr>
          <w:rFonts w:hint="eastAsia" w:hAnsi="宋体"/>
          <w:color w:val="auto"/>
          <w:szCs w:val="22"/>
        </w:rPr>
        <w:t>实施方案基本满足采购要求，任务分工或进度安排基本可行。</w:t>
      </w:r>
    </w:p>
    <w:p>
      <w:pPr>
        <w:snapToGrid w:val="0"/>
        <w:spacing w:line="360" w:lineRule="auto"/>
        <w:ind w:firstLine="420" w:firstLineChars="200"/>
        <w:rPr>
          <w:rFonts w:hint="eastAsia" w:hAnsi="宋体"/>
          <w:color w:val="auto"/>
          <w:szCs w:val="22"/>
        </w:rPr>
      </w:pPr>
      <w:r>
        <w:rPr>
          <w:rFonts w:hint="eastAsia" w:hAnsi="宋体"/>
          <w:color w:val="auto"/>
          <w:szCs w:val="22"/>
        </w:rPr>
        <w:t>二档（</w:t>
      </w:r>
      <w:r>
        <w:rPr>
          <w:rFonts w:hint="eastAsia" w:hAnsi="宋体"/>
          <w:color w:val="auto"/>
          <w:szCs w:val="22"/>
          <w:lang w:val="en-US" w:eastAsia="zh-CN"/>
        </w:rPr>
        <w:t>12</w:t>
      </w:r>
      <w:r>
        <w:rPr>
          <w:rFonts w:hint="eastAsia" w:hAnsi="宋体"/>
          <w:color w:val="auto"/>
          <w:szCs w:val="22"/>
        </w:rPr>
        <w:t>分）：</w:t>
      </w:r>
      <w:r>
        <w:rPr>
          <w:rFonts w:hint="eastAsia" w:hAnsi="宋体"/>
          <w:color w:val="auto"/>
          <w:szCs w:val="22"/>
          <w:lang w:eastAsia="zh-CN"/>
        </w:rPr>
        <w:t>组织</w:t>
      </w:r>
      <w:r>
        <w:rPr>
          <w:rFonts w:hint="eastAsia" w:hAnsi="宋体"/>
          <w:color w:val="auto"/>
          <w:szCs w:val="22"/>
        </w:rPr>
        <w:t>实施方案满足采购要求，任务分工或进度安排可行，</w:t>
      </w:r>
      <w:r>
        <w:rPr>
          <w:rFonts w:hint="eastAsia" w:hAnsi="宋体"/>
          <w:color w:val="auto"/>
          <w:szCs w:val="22"/>
          <w:lang w:eastAsia="zh-CN"/>
        </w:rPr>
        <w:t>保</w:t>
      </w:r>
      <w:r>
        <w:rPr>
          <w:rFonts w:hint="eastAsia" w:hAnsi="宋体"/>
          <w:color w:val="auto"/>
          <w:szCs w:val="22"/>
        </w:rPr>
        <w:t>障</w:t>
      </w:r>
      <w:r>
        <w:rPr>
          <w:rFonts w:hint="eastAsia" w:hAnsi="宋体"/>
          <w:color w:val="auto"/>
          <w:szCs w:val="22"/>
          <w:lang w:eastAsia="zh-CN"/>
        </w:rPr>
        <w:t>措施较具体</w:t>
      </w:r>
      <w:r>
        <w:rPr>
          <w:rFonts w:hint="eastAsia" w:hAnsi="宋体"/>
          <w:color w:val="auto"/>
          <w:szCs w:val="22"/>
        </w:rPr>
        <w:t>。</w:t>
      </w:r>
    </w:p>
    <w:p>
      <w:pPr>
        <w:snapToGrid w:val="0"/>
        <w:spacing w:line="360" w:lineRule="auto"/>
        <w:ind w:firstLine="420" w:firstLineChars="200"/>
        <w:rPr>
          <w:rFonts w:hint="eastAsia" w:hAnsi="宋体"/>
          <w:color w:val="auto"/>
          <w:szCs w:val="22"/>
        </w:rPr>
      </w:pPr>
      <w:r>
        <w:rPr>
          <w:rFonts w:hint="eastAsia" w:hAnsi="宋体"/>
          <w:color w:val="auto"/>
          <w:szCs w:val="22"/>
        </w:rPr>
        <w:t>三档（</w:t>
      </w:r>
      <w:r>
        <w:rPr>
          <w:rFonts w:hint="eastAsia" w:hAnsi="宋体"/>
          <w:color w:val="auto"/>
          <w:szCs w:val="22"/>
          <w:lang w:val="en-US" w:eastAsia="zh-CN"/>
        </w:rPr>
        <w:t>18</w:t>
      </w:r>
      <w:r>
        <w:rPr>
          <w:rFonts w:hint="eastAsia" w:hAnsi="宋体"/>
          <w:color w:val="auto"/>
          <w:szCs w:val="22"/>
        </w:rPr>
        <w:t>分）：</w:t>
      </w:r>
      <w:r>
        <w:rPr>
          <w:rFonts w:hint="eastAsia" w:hAnsi="宋体"/>
          <w:color w:val="auto"/>
          <w:szCs w:val="22"/>
          <w:lang w:eastAsia="zh-CN"/>
        </w:rPr>
        <w:t>组织</w:t>
      </w:r>
      <w:r>
        <w:rPr>
          <w:rFonts w:hint="eastAsia" w:hAnsi="宋体"/>
          <w:color w:val="auto"/>
          <w:szCs w:val="22"/>
        </w:rPr>
        <w:t>实施方案满足采购要求，任务分工或进度安排可行，</w:t>
      </w:r>
      <w:r>
        <w:rPr>
          <w:rFonts w:hint="eastAsia" w:hAnsi="宋体"/>
          <w:color w:val="auto"/>
          <w:szCs w:val="22"/>
          <w:lang w:eastAsia="zh-CN"/>
        </w:rPr>
        <w:t>保</w:t>
      </w:r>
      <w:r>
        <w:rPr>
          <w:rFonts w:hint="eastAsia" w:hAnsi="宋体"/>
          <w:color w:val="auto"/>
          <w:szCs w:val="22"/>
        </w:rPr>
        <w:t>障</w:t>
      </w:r>
      <w:r>
        <w:rPr>
          <w:rFonts w:hint="eastAsia" w:hAnsi="宋体"/>
          <w:color w:val="auto"/>
          <w:szCs w:val="22"/>
          <w:lang w:eastAsia="zh-CN"/>
        </w:rPr>
        <w:t>措施具体</w:t>
      </w:r>
      <w:r>
        <w:rPr>
          <w:rFonts w:hint="eastAsia" w:hAnsi="宋体"/>
          <w:color w:val="auto"/>
          <w:szCs w:val="22"/>
        </w:rPr>
        <w:t>，提供完善的实施组织办法</w:t>
      </w:r>
      <w:r>
        <w:rPr>
          <w:rFonts w:hint="eastAsia" w:hAnsi="宋体"/>
          <w:color w:val="auto"/>
          <w:szCs w:val="22"/>
          <w:lang w:eastAsia="zh-CN"/>
        </w:rPr>
        <w:t>、</w:t>
      </w:r>
      <w:r>
        <w:rPr>
          <w:rFonts w:hint="eastAsia" w:hAnsi="宋体"/>
          <w:color w:val="auto"/>
          <w:szCs w:val="22"/>
        </w:rPr>
        <w:t>实施流程。</w:t>
      </w:r>
    </w:p>
    <w:p>
      <w:pPr>
        <w:snapToGrid w:val="0"/>
        <w:spacing w:line="360" w:lineRule="auto"/>
        <w:ind w:firstLine="420" w:firstLineChars="200"/>
        <w:rPr>
          <w:rFonts w:hint="eastAsia" w:hAnsi="宋体"/>
          <w:color w:val="auto"/>
          <w:szCs w:val="22"/>
        </w:rPr>
      </w:pPr>
      <w:r>
        <w:rPr>
          <w:rFonts w:hint="eastAsia" w:hAnsi="宋体"/>
          <w:color w:val="auto"/>
          <w:szCs w:val="22"/>
          <w:lang w:eastAsia="zh-CN"/>
        </w:rPr>
        <w:t>四</w:t>
      </w:r>
      <w:r>
        <w:rPr>
          <w:rFonts w:hint="eastAsia" w:hAnsi="宋体"/>
          <w:color w:val="auto"/>
          <w:szCs w:val="22"/>
        </w:rPr>
        <w:t>档（</w:t>
      </w:r>
      <w:r>
        <w:rPr>
          <w:rFonts w:hint="eastAsia" w:hAnsi="宋体"/>
          <w:color w:val="auto"/>
          <w:szCs w:val="22"/>
          <w:lang w:val="en-US" w:eastAsia="zh-CN"/>
        </w:rPr>
        <w:t>24</w:t>
      </w:r>
      <w:r>
        <w:rPr>
          <w:rFonts w:hint="eastAsia" w:hAnsi="宋体"/>
          <w:color w:val="auto"/>
          <w:szCs w:val="22"/>
        </w:rPr>
        <w:t>分）：</w:t>
      </w:r>
      <w:r>
        <w:rPr>
          <w:rFonts w:hint="eastAsia" w:hAnsi="宋体"/>
          <w:color w:val="auto"/>
          <w:szCs w:val="22"/>
          <w:lang w:eastAsia="zh-CN"/>
        </w:rPr>
        <w:t>组织</w:t>
      </w:r>
      <w:r>
        <w:rPr>
          <w:rFonts w:hint="eastAsia" w:hAnsi="宋体"/>
          <w:color w:val="auto"/>
          <w:szCs w:val="22"/>
        </w:rPr>
        <w:t>实施方案完全满足采购要求，任务分工或进度安排</w:t>
      </w:r>
      <w:r>
        <w:rPr>
          <w:rFonts w:hint="eastAsia" w:hAnsi="宋体"/>
          <w:color w:val="auto"/>
          <w:szCs w:val="22"/>
          <w:lang w:eastAsia="zh-CN"/>
        </w:rPr>
        <w:t>详细、有针对性，保</w:t>
      </w:r>
      <w:r>
        <w:rPr>
          <w:rFonts w:hint="eastAsia" w:hAnsi="宋体"/>
          <w:color w:val="auto"/>
          <w:szCs w:val="22"/>
        </w:rPr>
        <w:t>障</w:t>
      </w:r>
      <w:r>
        <w:rPr>
          <w:rFonts w:hint="eastAsia" w:hAnsi="宋体"/>
          <w:color w:val="auto"/>
          <w:szCs w:val="22"/>
          <w:lang w:eastAsia="zh-CN"/>
        </w:rPr>
        <w:t>措施具体、合理，</w:t>
      </w:r>
      <w:r>
        <w:rPr>
          <w:rFonts w:hint="eastAsia" w:hAnsi="宋体"/>
          <w:color w:val="auto"/>
          <w:szCs w:val="22"/>
        </w:rPr>
        <w:t>提供完善的实施方法</w:t>
      </w:r>
      <w:r>
        <w:rPr>
          <w:rFonts w:hint="eastAsia" w:hAnsi="宋体"/>
          <w:color w:val="auto"/>
          <w:szCs w:val="22"/>
          <w:lang w:eastAsia="zh-CN"/>
        </w:rPr>
        <w:t>、</w:t>
      </w:r>
      <w:r>
        <w:rPr>
          <w:rFonts w:hint="eastAsia" w:hAnsi="宋体"/>
          <w:color w:val="auto"/>
          <w:szCs w:val="22"/>
        </w:rPr>
        <w:t>实施流程；具有完善的质量管理</w:t>
      </w:r>
      <w:r>
        <w:rPr>
          <w:rFonts w:hint="eastAsia" w:hAnsi="宋体"/>
          <w:color w:val="auto"/>
          <w:szCs w:val="22"/>
          <w:lang w:eastAsia="zh-CN"/>
        </w:rPr>
        <w:t>措施、</w:t>
      </w:r>
      <w:r>
        <w:rPr>
          <w:rFonts w:hint="eastAsia" w:hAnsi="宋体"/>
          <w:color w:val="auto"/>
          <w:szCs w:val="22"/>
        </w:rPr>
        <w:t>安全保障措施。</w:t>
      </w:r>
    </w:p>
    <w:p>
      <w:pPr>
        <w:pageBreakBefore w:val="0"/>
        <w:kinsoku/>
        <w:wordWrap/>
        <w:overflowPunct/>
        <w:topLinePunct w:val="0"/>
        <w:autoSpaceDE/>
        <w:autoSpaceDN/>
        <w:bidi w:val="0"/>
        <w:snapToGrid w:val="0"/>
        <w:spacing w:line="324" w:lineRule="auto"/>
        <w:ind w:firstLine="422" w:firstLineChars="200"/>
        <w:rPr>
          <w:rFonts w:hint="eastAsia"/>
          <w:color w:val="auto"/>
        </w:rPr>
      </w:pPr>
      <w:r>
        <w:rPr>
          <w:rFonts w:hint="eastAsia" w:ascii="宋体" w:hAnsi="宋体" w:cs="Courier New"/>
          <w:b/>
          <w:color w:val="auto"/>
          <w:kern w:val="0"/>
          <w:highlight w:val="none"/>
        </w:rPr>
        <w:t>注：供应商未提供此项评分点内容的则不得分。</w:t>
      </w:r>
    </w:p>
    <w:p>
      <w:pPr>
        <w:pStyle w:val="21"/>
        <w:keepNext w:val="0"/>
        <w:keepLines w:val="0"/>
        <w:pageBreakBefore w:val="0"/>
        <w:kinsoku/>
        <w:wordWrap/>
        <w:overflowPunct/>
        <w:topLinePunct w:val="0"/>
        <w:autoSpaceDE/>
        <w:autoSpaceDN/>
        <w:bidi w:val="0"/>
        <w:snapToGrid w:val="0"/>
        <w:spacing w:line="360" w:lineRule="auto"/>
        <w:ind w:firstLine="422" w:firstLineChars="200"/>
        <w:textAlignment w:val="auto"/>
        <w:rPr>
          <w:rFonts w:hAnsi="宋体"/>
          <w:b/>
          <w:bCs/>
          <w:color w:val="auto"/>
          <w:highlight w:val="none"/>
        </w:rPr>
      </w:pPr>
      <w:r>
        <w:rPr>
          <w:rFonts w:hint="eastAsia" w:hAnsi="宋体"/>
          <w:b/>
          <w:bCs/>
          <w:color w:val="auto"/>
          <w:szCs w:val="22"/>
          <w:highlight w:val="none"/>
        </w:rPr>
        <w:t>（</w:t>
      </w:r>
      <w:r>
        <w:rPr>
          <w:rFonts w:hint="eastAsia" w:hAnsi="宋体"/>
          <w:b/>
          <w:bCs/>
          <w:color w:val="auto"/>
          <w:szCs w:val="22"/>
          <w:highlight w:val="none"/>
          <w:lang w:val="en-US" w:eastAsia="zh-CN"/>
        </w:rPr>
        <w:t>4</w:t>
      </w:r>
      <w:r>
        <w:rPr>
          <w:rFonts w:hint="eastAsia" w:hAnsi="宋体"/>
          <w:b/>
          <w:bCs/>
          <w:color w:val="auto"/>
          <w:szCs w:val="22"/>
          <w:highlight w:val="none"/>
        </w:rPr>
        <w:t>）售后服务以及培训方案（满分1</w:t>
      </w:r>
      <w:r>
        <w:rPr>
          <w:rFonts w:hint="eastAsia" w:hAnsi="宋体"/>
          <w:b/>
          <w:bCs/>
          <w:color w:val="auto"/>
          <w:szCs w:val="22"/>
          <w:highlight w:val="none"/>
          <w:lang w:val="en-US" w:eastAsia="zh-CN"/>
        </w:rPr>
        <w:t>5</w:t>
      </w:r>
      <w:r>
        <w:rPr>
          <w:rFonts w:hint="eastAsia" w:hAnsi="宋体"/>
          <w:b/>
          <w:bCs/>
          <w:color w:val="auto"/>
          <w:szCs w:val="22"/>
          <w:highlight w:val="none"/>
        </w:rPr>
        <w:t>分）</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ascii="宋体" w:hAnsi="宋体" w:cs="Courier New"/>
          <w:bCs/>
          <w:color w:val="auto"/>
          <w:kern w:val="0"/>
          <w:highlight w:val="none"/>
        </w:rPr>
      </w:pPr>
      <w:r>
        <w:rPr>
          <w:rFonts w:hint="eastAsia" w:ascii="宋体" w:hAnsi="宋体" w:cs="Courier New"/>
          <w:bCs/>
          <w:color w:val="auto"/>
          <w:kern w:val="0"/>
          <w:highlight w:val="none"/>
        </w:rPr>
        <w:t>由磋商小组成员根据</w:t>
      </w:r>
      <w:r>
        <w:rPr>
          <w:rFonts w:hint="eastAsia" w:ascii="宋体" w:hAnsi="宋体"/>
          <w:bCs/>
          <w:color w:val="auto"/>
          <w:highlight w:val="none"/>
        </w:rPr>
        <w:t>供应商响应文件中的售后服务以及培训方案</w:t>
      </w:r>
      <w:r>
        <w:rPr>
          <w:rFonts w:hint="eastAsia" w:ascii="宋体" w:hAnsi="宋体" w:cs="Courier New"/>
          <w:bCs/>
          <w:color w:val="auto"/>
          <w:kern w:val="0"/>
          <w:highlight w:val="none"/>
        </w:rPr>
        <w:t>进行独立评审，并独立打分。</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ascii="宋体" w:hAnsi="宋体" w:cs="Courier New"/>
          <w:bCs/>
          <w:color w:val="auto"/>
          <w:kern w:val="0"/>
          <w:highlight w:val="none"/>
        </w:rPr>
      </w:pPr>
      <w:r>
        <w:rPr>
          <w:rFonts w:hint="eastAsia" w:ascii="宋体" w:hAnsi="宋体" w:cs="Courier New"/>
          <w:bCs/>
          <w:color w:val="auto"/>
          <w:kern w:val="0"/>
          <w:highlight w:val="none"/>
        </w:rPr>
        <w:t>一档（</w:t>
      </w:r>
      <w:r>
        <w:rPr>
          <w:rFonts w:hint="eastAsia" w:ascii="宋体" w:hAnsi="宋体" w:cs="Courier New"/>
          <w:bCs/>
          <w:color w:val="auto"/>
          <w:kern w:val="0"/>
          <w:highlight w:val="none"/>
          <w:lang w:val="en-US" w:eastAsia="zh-CN"/>
        </w:rPr>
        <w:t>5</w:t>
      </w:r>
      <w:r>
        <w:rPr>
          <w:rFonts w:hint="eastAsia" w:ascii="宋体" w:hAnsi="宋体" w:cs="Courier New"/>
          <w:bCs/>
          <w:color w:val="auto"/>
          <w:kern w:val="0"/>
          <w:highlight w:val="none"/>
        </w:rPr>
        <w:t>分）：售后服务方案及培训方案简单，维保期、培训方案满足项目需求的。</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s="Courier New"/>
          <w:bCs/>
          <w:color w:val="auto"/>
          <w:kern w:val="0"/>
          <w:highlight w:val="none"/>
        </w:rPr>
      </w:pPr>
      <w:r>
        <w:rPr>
          <w:rFonts w:hint="eastAsia" w:ascii="宋体" w:hAnsi="宋体" w:cs="Courier New"/>
          <w:bCs/>
          <w:color w:val="auto"/>
          <w:kern w:val="0"/>
          <w:highlight w:val="none"/>
        </w:rPr>
        <w:t>二档（</w:t>
      </w:r>
      <w:r>
        <w:rPr>
          <w:rFonts w:hint="eastAsia" w:ascii="宋体" w:hAnsi="宋体" w:cs="Courier New"/>
          <w:bCs/>
          <w:color w:val="auto"/>
          <w:kern w:val="0"/>
          <w:highlight w:val="none"/>
          <w:lang w:val="en-US" w:eastAsia="zh-CN"/>
        </w:rPr>
        <w:t>10</w:t>
      </w:r>
      <w:r>
        <w:rPr>
          <w:rFonts w:hint="eastAsia" w:ascii="宋体" w:hAnsi="宋体" w:cs="Courier New"/>
          <w:bCs/>
          <w:color w:val="auto"/>
          <w:kern w:val="0"/>
          <w:highlight w:val="none"/>
        </w:rPr>
        <w:t>分）：售后服务方案及培训方案较详细，能较准确地理解本项目的特点和服务要求，能提供快速的售后服务响应（优于采购需求），能保障项目的正常稳定运行，维保期、培训方案优于采购需求。</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s="Courier New"/>
          <w:bCs/>
          <w:color w:val="auto"/>
          <w:kern w:val="0"/>
          <w:highlight w:val="none"/>
        </w:rPr>
      </w:pPr>
      <w:r>
        <w:rPr>
          <w:rFonts w:hint="eastAsia" w:ascii="宋体" w:hAnsi="宋体" w:cs="Courier New"/>
          <w:bCs/>
          <w:color w:val="auto"/>
          <w:kern w:val="0"/>
          <w:highlight w:val="none"/>
        </w:rPr>
        <w:t>三档（15分）：售后服务方案及培训方案详细完整，充分理解本项目的特点和服务要求，能提供快速的售后服务响应（优于采购需求），能保障项目的正常稳定运行，维保期、培训方案优于采购需求。</w:t>
      </w:r>
    </w:p>
    <w:p>
      <w:pPr>
        <w:pageBreakBefore w:val="0"/>
        <w:kinsoku/>
        <w:wordWrap/>
        <w:overflowPunct/>
        <w:topLinePunct w:val="0"/>
        <w:autoSpaceDE/>
        <w:autoSpaceDN/>
        <w:bidi w:val="0"/>
        <w:snapToGrid w:val="0"/>
        <w:spacing w:line="324" w:lineRule="auto"/>
        <w:ind w:firstLine="422" w:firstLineChars="200"/>
        <w:rPr>
          <w:rFonts w:hint="eastAsia"/>
          <w:color w:val="auto"/>
          <w:szCs w:val="24"/>
          <w:highlight w:val="none"/>
        </w:rPr>
      </w:pPr>
      <w:r>
        <w:rPr>
          <w:rFonts w:hint="eastAsia" w:ascii="宋体" w:hAnsi="宋体" w:cs="Courier New"/>
          <w:b/>
          <w:color w:val="auto"/>
          <w:kern w:val="0"/>
          <w:highlight w:val="none"/>
        </w:rPr>
        <w:t>注：供应商未提供此项评分点内容的则不得分。</w:t>
      </w:r>
    </w:p>
    <w:p>
      <w:pPr>
        <w:keepNext w:val="0"/>
        <w:keepLines w:val="0"/>
        <w:pageBreakBefore w:val="0"/>
        <w:kinsoku/>
        <w:wordWrap/>
        <w:overflowPunct/>
        <w:topLinePunct w:val="0"/>
        <w:autoSpaceDE/>
        <w:autoSpaceDN/>
        <w:bidi w:val="0"/>
        <w:snapToGrid w:val="0"/>
        <w:spacing w:line="360" w:lineRule="auto"/>
        <w:ind w:firstLine="422" w:firstLineChars="200"/>
        <w:jc w:val="left"/>
        <w:textAlignment w:val="auto"/>
        <w:rPr>
          <w:rFonts w:hint="eastAsia" w:ascii="宋体" w:hAnsi="宋体"/>
          <w:b/>
          <w:bCs/>
          <w:color w:val="auto"/>
          <w:highlight w:val="none"/>
        </w:rPr>
      </w:pPr>
      <w:r>
        <w:rPr>
          <w:rFonts w:hint="eastAsia" w:ascii="宋体" w:hAnsi="宋体"/>
          <w:b/>
          <w:bCs/>
          <w:color w:val="auto"/>
          <w:highlight w:val="none"/>
        </w:rPr>
        <w:t>3.商务以及综合实力分</w:t>
      </w:r>
      <w:r>
        <w:rPr>
          <w:rFonts w:hint="eastAsia" w:ascii="宋体" w:hAnsi="宋体"/>
          <w:b/>
          <w:color w:val="auto"/>
          <w:highlight w:val="none"/>
        </w:rPr>
        <w:t>………………………………………………………………………</w:t>
      </w:r>
      <w:r>
        <w:rPr>
          <w:rFonts w:hint="eastAsia" w:ascii="宋体" w:hAnsi="宋体"/>
          <w:b/>
          <w:color w:val="auto"/>
          <w:highlight w:val="none"/>
          <w:lang w:val="en-US" w:eastAsia="zh-CN"/>
        </w:rPr>
        <w:t>3</w:t>
      </w:r>
      <w:r>
        <w:rPr>
          <w:rFonts w:hint="eastAsia" w:ascii="宋体" w:hAnsi="宋体"/>
          <w:b/>
          <w:color w:val="auto"/>
          <w:highlight w:val="none"/>
        </w:rPr>
        <w:t>分</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供应商2020年1月1日至今具有类似</w:t>
      </w:r>
      <w:r>
        <w:rPr>
          <w:rFonts w:hint="eastAsia" w:ascii="宋体" w:hAnsi="宋体"/>
          <w:b/>
          <w:bCs/>
          <w:color w:val="auto"/>
          <w:highlight w:val="none"/>
          <w:lang w:eastAsia="zh-CN"/>
        </w:rPr>
        <w:t>平台</w:t>
      </w:r>
      <w:r>
        <w:rPr>
          <w:rFonts w:hint="eastAsia" w:ascii="宋体" w:hAnsi="宋体"/>
          <w:b/>
          <w:bCs/>
          <w:color w:val="auto"/>
          <w:highlight w:val="none"/>
          <w:lang w:val="en-US" w:eastAsia="zh-CN"/>
        </w:rPr>
        <w:t>或系统建设</w:t>
      </w:r>
      <w:r>
        <w:rPr>
          <w:rFonts w:hint="eastAsia" w:ascii="宋体" w:hAnsi="宋体"/>
          <w:color w:val="auto"/>
          <w:highlight w:val="none"/>
        </w:rPr>
        <w:t>项目业绩</w:t>
      </w:r>
      <w:r>
        <w:rPr>
          <w:rFonts w:hint="eastAsia" w:ascii="宋体" w:hAnsi="宋体"/>
          <w:color w:val="auto"/>
          <w:highlight w:val="none"/>
          <w:lang w:val="en-US" w:eastAsia="zh-CN"/>
        </w:rPr>
        <w:t>的</w:t>
      </w:r>
      <w:r>
        <w:rPr>
          <w:rFonts w:hint="eastAsia" w:ascii="宋体" w:hAnsi="宋体"/>
          <w:color w:val="auto"/>
          <w:highlight w:val="none"/>
        </w:rPr>
        <w:t>，每提供一个项目业绩得</w:t>
      </w:r>
      <w:r>
        <w:rPr>
          <w:rFonts w:hint="eastAsia" w:ascii="宋体" w:hAnsi="宋体"/>
          <w:color w:val="auto"/>
          <w:highlight w:val="none"/>
          <w:lang w:val="en-US" w:eastAsia="zh-CN"/>
        </w:rPr>
        <w:t>3</w:t>
      </w:r>
      <w:r>
        <w:rPr>
          <w:rFonts w:hint="eastAsia" w:ascii="宋体" w:hAnsi="宋体"/>
          <w:color w:val="auto"/>
          <w:highlight w:val="none"/>
        </w:rPr>
        <w:t>分，</w:t>
      </w:r>
      <w:r>
        <w:rPr>
          <w:rFonts w:hint="eastAsia" w:ascii="宋体" w:hAnsi="宋体"/>
          <w:color w:val="auto"/>
          <w:highlight w:val="none"/>
          <w:lang w:eastAsia="zh-CN"/>
        </w:rPr>
        <w:t>满分</w:t>
      </w:r>
      <w:r>
        <w:rPr>
          <w:rFonts w:hint="eastAsia" w:ascii="宋体" w:hAnsi="宋体"/>
          <w:color w:val="auto"/>
          <w:highlight w:val="none"/>
          <w:lang w:val="en-US" w:eastAsia="zh-CN"/>
        </w:rPr>
        <w:t>3</w:t>
      </w:r>
      <w:r>
        <w:rPr>
          <w:rFonts w:hint="eastAsia" w:ascii="宋体" w:hAnsi="宋体"/>
          <w:color w:val="auto"/>
          <w:highlight w:val="none"/>
        </w:rPr>
        <w:t>分。</w:t>
      </w:r>
    </w:p>
    <w:p>
      <w:pPr>
        <w:keepNext w:val="0"/>
        <w:keepLines w:val="0"/>
        <w:pageBreakBefore w:val="0"/>
        <w:kinsoku/>
        <w:wordWrap/>
        <w:overflowPunct/>
        <w:topLinePunct w:val="0"/>
        <w:autoSpaceDE/>
        <w:autoSpaceDN/>
        <w:bidi w:val="0"/>
        <w:snapToGrid w:val="0"/>
        <w:spacing w:line="360" w:lineRule="auto"/>
        <w:ind w:firstLine="422" w:firstLineChars="200"/>
        <w:jc w:val="left"/>
        <w:textAlignment w:val="auto"/>
        <w:rPr>
          <w:rFonts w:hint="eastAsia"/>
          <w:color w:val="auto"/>
        </w:rPr>
      </w:pPr>
      <w:r>
        <w:rPr>
          <w:rFonts w:hint="eastAsia" w:ascii="宋体" w:hAnsi="宋体" w:eastAsia="宋体"/>
          <w:b/>
          <w:bCs/>
          <w:color w:val="auto"/>
          <w:highlight w:val="none"/>
        </w:rPr>
        <w:t>注：</w:t>
      </w:r>
      <w:r>
        <w:rPr>
          <w:rFonts w:hint="eastAsia" w:ascii="宋体" w:hAnsi="宋体" w:eastAsia="宋体"/>
          <w:b/>
          <w:bCs/>
          <w:color w:val="auto"/>
          <w:highlight w:val="none"/>
          <w:lang w:eastAsia="zh-CN"/>
        </w:rPr>
        <w:t>响应文件中须</w:t>
      </w:r>
      <w:r>
        <w:rPr>
          <w:rFonts w:hint="eastAsia" w:ascii="宋体" w:hAnsi="宋体" w:eastAsia="宋体"/>
          <w:b/>
          <w:bCs/>
          <w:color w:val="auto"/>
          <w:highlight w:val="none"/>
        </w:rPr>
        <w:t>提供合同复印件（或中标（成交）通知书复印件）</w:t>
      </w:r>
      <w:r>
        <w:rPr>
          <w:rFonts w:hint="eastAsia" w:ascii="宋体" w:hAnsi="宋体" w:eastAsia="宋体"/>
          <w:b/>
          <w:bCs/>
          <w:color w:val="auto"/>
          <w:highlight w:val="none"/>
          <w:lang w:eastAsia="zh-CN"/>
        </w:rPr>
        <w:t>并</w:t>
      </w:r>
      <w:r>
        <w:rPr>
          <w:rFonts w:hint="eastAsia" w:ascii="宋体" w:hAnsi="宋体" w:eastAsia="宋体"/>
          <w:b/>
          <w:bCs/>
          <w:color w:val="auto"/>
          <w:highlight w:val="none"/>
        </w:rPr>
        <w:t>加盖供应商公章，否则不得分。</w:t>
      </w:r>
    </w:p>
    <w:p>
      <w:pPr>
        <w:pStyle w:val="21"/>
        <w:shd w:val="clear"/>
        <w:adjustRightInd w:val="0"/>
        <w:snapToGrid w:val="0"/>
        <w:spacing w:line="360" w:lineRule="auto"/>
        <w:ind w:left="63" w:right="63"/>
        <w:rPr>
          <w:rFonts w:hAnsi="宋体"/>
          <w:b/>
          <w:bCs/>
          <w:color w:val="auto"/>
          <w:szCs w:val="21"/>
          <w:highlight w:val="none"/>
        </w:rPr>
      </w:pPr>
      <w:r>
        <w:rPr>
          <w:rFonts w:hint="eastAsia" w:hAnsi="宋体"/>
          <w:b/>
          <w:bCs/>
          <w:color w:val="auto"/>
          <w:szCs w:val="21"/>
          <w:highlight w:val="none"/>
        </w:rPr>
        <w:t>三、成交候选人推荐原则</w:t>
      </w:r>
    </w:p>
    <w:p>
      <w:pPr>
        <w:pStyle w:val="21"/>
        <w:shd w:val="clear"/>
        <w:adjustRightInd w:val="0"/>
        <w:snapToGrid w:val="0"/>
        <w:spacing w:line="360" w:lineRule="auto"/>
        <w:ind w:firstLine="420" w:firstLineChars="200"/>
        <w:rPr>
          <w:rFonts w:hAnsi="宋体"/>
          <w:color w:val="auto"/>
          <w:szCs w:val="21"/>
          <w:highlight w:val="none"/>
        </w:rPr>
      </w:pPr>
      <w:r>
        <w:rPr>
          <w:rFonts w:hint="eastAsia" w:hAnsi="宋体"/>
          <w:color w:val="auto"/>
          <w:szCs w:val="21"/>
          <w:highlight w:val="none"/>
        </w:rPr>
        <w:t>（一）竞争性磋商响应文件在质量和服务均能满足竞争性磋商文件实质性响应要求时，磋商小组将根据得分由高到低排列次序（得分相同时，以最后报价由低到高顺序排列；得分相同且最后报价相同的，按服务方案优劣顺序排列）并推荐成交候选人。采购单位应当确定磋商小组推荐排名第一、第二的成交候选人为成交人。排名第一或第二的成交候选人放弃成交、因不可抗力提出不能履行协议的，或者竞争性磋商文件规定应当提交质量保证金而在规定的期限内未能提交的，采购单位可以确定排名第三的成交候人为成交人，其余以此类推。</w:t>
      </w:r>
    </w:p>
    <w:p>
      <w:pPr>
        <w:pStyle w:val="21"/>
        <w:shd w:val="clear"/>
        <w:adjustRightInd w:val="0"/>
        <w:snapToGrid w:val="0"/>
        <w:spacing w:line="360" w:lineRule="auto"/>
        <w:ind w:firstLine="424" w:firstLineChars="202"/>
        <w:rPr>
          <w:color w:val="auto"/>
        </w:rPr>
      </w:pPr>
      <w:r>
        <w:rPr>
          <w:rFonts w:hint="eastAsia" w:hAnsi="宋体"/>
          <w:color w:val="auto"/>
          <w:szCs w:val="21"/>
          <w:highlight w:val="none"/>
        </w:rPr>
        <w:t>（二）磋商</w:t>
      </w:r>
      <w:r>
        <w:rPr>
          <w:rFonts w:hAnsi="宋体"/>
          <w:color w:val="auto"/>
          <w:szCs w:val="21"/>
          <w:highlight w:val="none"/>
        </w:rPr>
        <w:t>小组认为</w:t>
      </w:r>
      <w:r>
        <w:rPr>
          <w:rFonts w:hint="eastAsia" w:hAnsi="宋体"/>
          <w:color w:val="auto"/>
          <w:szCs w:val="21"/>
          <w:highlight w:val="none"/>
        </w:rPr>
        <w:t>磋商</w:t>
      </w:r>
      <w:r>
        <w:rPr>
          <w:rFonts w:hAnsi="宋体"/>
          <w:color w:val="auto"/>
          <w:szCs w:val="21"/>
          <w:highlight w:val="none"/>
        </w:rPr>
        <w:t>供应商的报价明显低于其他满足</w:t>
      </w:r>
      <w:r>
        <w:rPr>
          <w:rFonts w:hint="eastAsia" w:hAnsi="宋体"/>
          <w:color w:val="auto"/>
          <w:szCs w:val="21"/>
          <w:highlight w:val="none"/>
        </w:rPr>
        <w:t>磋商</w:t>
      </w:r>
      <w:r>
        <w:rPr>
          <w:rFonts w:hAnsi="宋体"/>
          <w:color w:val="auto"/>
          <w:szCs w:val="21"/>
          <w:highlight w:val="none"/>
        </w:rPr>
        <w:t>文件实质性响应要求供应商的报价，有可能影响产品质量或者不能诚信履约的，应当要求其在</w:t>
      </w:r>
      <w:r>
        <w:rPr>
          <w:rFonts w:hint="eastAsia" w:hAnsi="宋体"/>
          <w:color w:val="auto"/>
          <w:szCs w:val="21"/>
          <w:highlight w:val="none"/>
        </w:rPr>
        <w:t>磋商</w:t>
      </w:r>
      <w:r>
        <w:rPr>
          <w:rFonts w:hAnsi="宋体"/>
          <w:color w:val="auto"/>
          <w:szCs w:val="21"/>
          <w:highlight w:val="none"/>
        </w:rPr>
        <w:t>现场合理的时间内提供书面说明，必要时提交相关证明材料；</w:t>
      </w:r>
      <w:r>
        <w:rPr>
          <w:rFonts w:hint="eastAsia" w:hAnsi="宋体"/>
          <w:color w:val="auto"/>
          <w:szCs w:val="21"/>
          <w:highlight w:val="none"/>
        </w:rPr>
        <w:t>磋商</w:t>
      </w:r>
      <w:r>
        <w:rPr>
          <w:rFonts w:hAnsi="宋体"/>
          <w:color w:val="auto"/>
          <w:szCs w:val="21"/>
          <w:highlight w:val="none"/>
        </w:rPr>
        <w:t>供应商不能证明其报价合理性的，</w:t>
      </w:r>
      <w:r>
        <w:rPr>
          <w:rFonts w:hint="eastAsia" w:hAnsi="宋体"/>
          <w:color w:val="auto"/>
          <w:szCs w:val="21"/>
          <w:highlight w:val="none"/>
        </w:rPr>
        <w:t>磋商</w:t>
      </w:r>
      <w:r>
        <w:rPr>
          <w:rFonts w:hAnsi="宋体"/>
          <w:color w:val="auto"/>
          <w:szCs w:val="21"/>
          <w:highlight w:val="none"/>
        </w:rPr>
        <w:t>小组将不推荐该</w:t>
      </w:r>
      <w:r>
        <w:rPr>
          <w:rFonts w:hint="eastAsia" w:hAnsi="宋体"/>
          <w:color w:val="auto"/>
          <w:szCs w:val="21"/>
          <w:highlight w:val="none"/>
        </w:rPr>
        <w:t>磋商</w:t>
      </w:r>
      <w:r>
        <w:rPr>
          <w:rFonts w:hAnsi="宋体"/>
          <w:color w:val="auto"/>
          <w:szCs w:val="21"/>
          <w:highlight w:val="none"/>
        </w:rPr>
        <w:t>供应商为成交候选供应商。</w:t>
      </w:r>
    </w:p>
    <w:p>
      <w:pPr>
        <w:pStyle w:val="21"/>
        <w:shd w:val="clear"/>
        <w:adjustRightInd w:val="0"/>
        <w:snapToGrid w:val="0"/>
        <w:spacing w:line="400" w:lineRule="exact"/>
        <w:jc w:val="both"/>
        <w:rPr>
          <w:rFonts w:hAnsi="宋体"/>
          <w:color w:val="auto"/>
          <w:highlight w:val="none"/>
        </w:rPr>
      </w:pPr>
    </w:p>
    <w:p>
      <w:pPr>
        <w:pStyle w:val="6"/>
        <w:rPr>
          <w:color w:val="auto"/>
        </w:rPr>
      </w:pPr>
    </w:p>
    <w:sectPr>
      <w:pgSz w:w="11906" w:h="16838"/>
      <w:pgMar w:top="1247" w:right="1474" w:bottom="1247"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仿宋"/>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EABF7"/>
    <w:multiLevelType w:val="singleLevel"/>
    <w:tmpl w:val="BA8EABF7"/>
    <w:lvl w:ilvl="0" w:tentative="0">
      <w:start w:val="1"/>
      <w:numFmt w:val="decimal"/>
      <w:suff w:val="nothing"/>
      <w:lvlText w:val="%1、"/>
      <w:lvlJc w:val="left"/>
    </w:lvl>
  </w:abstractNum>
  <w:abstractNum w:abstractNumId="1">
    <w:nsid w:val="EEFE8A4D"/>
    <w:multiLevelType w:val="singleLevel"/>
    <w:tmpl w:val="EEFE8A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5NTg2MDFmOTY1NmU3MmIxYTZiZGUxNWNhNzYyZWUifQ=="/>
    <w:docVar w:name="KSO_WPS_MARK_KEY" w:val="76c9956c-a71e-4976-b5ff-cb6667768c33"/>
  </w:docVars>
  <w:rsids>
    <w:rsidRoot w:val="00BC4F35"/>
    <w:rsid w:val="00000497"/>
    <w:rsid w:val="00002E71"/>
    <w:rsid w:val="00005AA5"/>
    <w:rsid w:val="00007BFC"/>
    <w:rsid w:val="00017FAD"/>
    <w:rsid w:val="00021965"/>
    <w:rsid w:val="00040014"/>
    <w:rsid w:val="0004257D"/>
    <w:rsid w:val="000443CD"/>
    <w:rsid w:val="000504BF"/>
    <w:rsid w:val="00052913"/>
    <w:rsid w:val="000600EB"/>
    <w:rsid w:val="0007196D"/>
    <w:rsid w:val="00073399"/>
    <w:rsid w:val="000737A1"/>
    <w:rsid w:val="00076279"/>
    <w:rsid w:val="00076888"/>
    <w:rsid w:val="00085445"/>
    <w:rsid w:val="00091754"/>
    <w:rsid w:val="00095139"/>
    <w:rsid w:val="000973DB"/>
    <w:rsid w:val="000A05F5"/>
    <w:rsid w:val="000B45BB"/>
    <w:rsid w:val="000D297B"/>
    <w:rsid w:val="000D6F6A"/>
    <w:rsid w:val="000D70B6"/>
    <w:rsid w:val="000E25E3"/>
    <w:rsid w:val="000E458B"/>
    <w:rsid w:val="000E4EB9"/>
    <w:rsid w:val="000F1DE7"/>
    <w:rsid w:val="000F6A68"/>
    <w:rsid w:val="000F6CC3"/>
    <w:rsid w:val="00104185"/>
    <w:rsid w:val="00105CDE"/>
    <w:rsid w:val="001065E3"/>
    <w:rsid w:val="00112BB1"/>
    <w:rsid w:val="0011370E"/>
    <w:rsid w:val="00120D77"/>
    <w:rsid w:val="001255FC"/>
    <w:rsid w:val="00126896"/>
    <w:rsid w:val="00127186"/>
    <w:rsid w:val="00136C7C"/>
    <w:rsid w:val="00143156"/>
    <w:rsid w:val="001441F2"/>
    <w:rsid w:val="00145FA2"/>
    <w:rsid w:val="0014681C"/>
    <w:rsid w:val="00150DAA"/>
    <w:rsid w:val="0015263B"/>
    <w:rsid w:val="00161BE7"/>
    <w:rsid w:val="00163A78"/>
    <w:rsid w:val="00166C7F"/>
    <w:rsid w:val="00172A4B"/>
    <w:rsid w:val="0017496E"/>
    <w:rsid w:val="00176BCA"/>
    <w:rsid w:val="001772AA"/>
    <w:rsid w:val="001856F7"/>
    <w:rsid w:val="001931FF"/>
    <w:rsid w:val="0019445C"/>
    <w:rsid w:val="001973E1"/>
    <w:rsid w:val="001A05B5"/>
    <w:rsid w:val="001C3F8D"/>
    <w:rsid w:val="001C5E21"/>
    <w:rsid w:val="001C7DC3"/>
    <w:rsid w:val="001D0385"/>
    <w:rsid w:val="001D23DF"/>
    <w:rsid w:val="001E2371"/>
    <w:rsid w:val="001E3149"/>
    <w:rsid w:val="001E3B85"/>
    <w:rsid w:val="001E7D78"/>
    <w:rsid w:val="001F740A"/>
    <w:rsid w:val="001F7D43"/>
    <w:rsid w:val="0020177D"/>
    <w:rsid w:val="002031B0"/>
    <w:rsid w:val="00211875"/>
    <w:rsid w:val="00231AD2"/>
    <w:rsid w:val="0023431F"/>
    <w:rsid w:val="00234F42"/>
    <w:rsid w:val="002363C1"/>
    <w:rsid w:val="00237502"/>
    <w:rsid w:val="002429F4"/>
    <w:rsid w:val="00242EC4"/>
    <w:rsid w:val="00252A4D"/>
    <w:rsid w:val="00254D99"/>
    <w:rsid w:val="00255249"/>
    <w:rsid w:val="002634EC"/>
    <w:rsid w:val="00266AB5"/>
    <w:rsid w:val="00267F69"/>
    <w:rsid w:val="00271C33"/>
    <w:rsid w:val="00272F18"/>
    <w:rsid w:val="00282E51"/>
    <w:rsid w:val="0028631B"/>
    <w:rsid w:val="00286AF4"/>
    <w:rsid w:val="00291A45"/>
    <w:rsid w:val="00295500"/>
    <w:rsid w:val="002A7794"/>
    <w:rsid w:val="002B18D9"/>
    <w:rsid w:val="002B5779"/>
    <w:rsid w:val="002B7247"/>
    <w:rsid w:val="002C2580"/>
    <w:rsid w:val="002C6A8A"/>
    <w:rsid w:val="002D0025"/>
    <w:rsid w:val="002D6A5C"/>
    <w:rsid w:val="002E0D71"/>
    <w:rsid w:val="002E3662"/>
    <w:rsid w:val="002E3FA9"/>
    <w:rsid w:val="002E546F"/>
    <w:rsid w:val="002F49B5"/>
    <w:rsid w:val="002F53DB"/>
    <w:rsid w:val="002F740A"/>
    <w:rsid w:val="00303E18"/>
    <w:rsid w:val="00307252"/>
    <w:rsid w:val="00307788"/>
    <w:rsid w:val="00312720"/>
    <w:rsid w:val="00325E58"/>
    <w:rsid w:val="00327AE5"/>
    <w:rsid w:val="003409A4"/>
    <w:rsid w:val="00347CDE"/>
    <w:rsid w:val="003543D2"/>
    <w:rsid w:val="00360F70"/>
    <w:rsid w:val="00364BC9"/>
    <w:rsid w:val="0036578D"/>
    <w:rsid w:val="0036774D"/>
    <w:rsid w:val="00371F8B"/>
    <w:rsid w:val="00375DED"/>
    <w:rsid w:val="00383B4C"/>
    <w:rsid w:val="00386789"/>
    <w:rsid w:val="00392BBC"/>
    <w:rsid w:val="00393E96"/>
    <w:rsid w:val="00394761"/>
    <w:rsid w:val="003A619F"/>
    <w:rsid w:val="003B7BD9"/>
    <w:rsid w:val="003C2DD7"/>
    <w:rsid w:val="003C304C"/>
    <w:rsid w:val="003C3D6F"/>
    <w:rsid w:val="003D1C72"/>
    <w:rsid w:val="003D1E3A"/>
    <w:rsid w:val="003D683C"/>
    <w:rsid w:val="003E7B8D"/>
    <w:rsid w:val="00413311"/>
    <w:rsid w:val="004214F5"/>
    <w:rsid w:val="004303D6"/>
    <w:rsid w:val="00430C90"/>
    <w:rsid w:val="004337DD"/>
    <w:rsid w:val="00455345"/>
    <w:rsid w:val="004602C0"/>
    <w:rsid w:val="00464BAB"/>
    <w:rsid w:val="004736A7"/>
    <w:rsid w:val="00477C37"/>
    <w:rsid w:val="00482BC6"/>
    <w:rsid w:val="0048402E"/>
    <w:rsid w:val="0048753E"/>
    <w:rsid w:val="004B00F7"/>
    <w:rsid w:val="004B5DC2"/>
    <w:rsid w:val="004C16F6"/>
    <w:rsid w:val="004C5025"/>
    <w:rsid w:val="004C7826"/>
    <w:rsid w:val="004D3C50"/>
    <w:rsid w:val="004E138E"/>
    <w:rsid w:val="004E28B4"/>
    <w:rsid w:val="004F2910"/>
    <w:rsid w:val="004F34D1"/>
    <w:rsid w:val="004F78C9"/>
    <w:rsid w:val="005060EE"/>
    <w:rsid w:val="00514768"/>
    <w:rsid w:val="005167F9"/>
    <w:rsid w:val="0052344F"/>
    <w:rsid w:val="00526165"/>
    <w:rsid w:val="0052646A"/>
    <w:rsid w:val="0054049D"/>
    <w:rsid w:val="00542A72"/>
    <w:rsid w:val="00545ADF"/>
    <w:rsid w:val="00550718"/>
    <w:rsid w:val="005508E4"/>
    <w:rsid w:val="005536A3"/>
    <w:rsid w:val="00553E34"/>
    <w:rsid w:val="00565001"/>
    <w:rsid w:val="00565E1C"/>
    <w:rsid w:val="00566B1D"/>
    <w:rsid w:val="00567979"/>
    <w:rsid w:val="00574106"/>
    <w:rsid w:val="00584E1F"/>
    <w:rsid w:val="005A0524"/>
    <w:rsid w:val="005A38C9"/>
    <w:rsid w:val="005B2B1E"/>
    <w:rsid w:val="005C00C7"/>
    <w:rsid w:val="005C2DD3"/>
    <w:rsid w:val="005C4904"/>
    <w:rsid w:val="005D1E46"/>
    <w:rsid w:val="005D66B8"/>
    <w:rsid w:val="005F6019"/>
    <w:rsid w:val="00613395"/>
    <w:rsid w:val="00621F9B"/>
    <w:rsid w:val="00623E61"/>
    <w:rsid w:val="0063003F"/>
    <w:rsid w:val="00644E84"/>
    <w:rsid w:val="006510A5"/>
    <w:rsid w:val="00652076"/>
    <w:rsid w:val="006574B4"/>
    <w:rsid w:val="00660B76"/>
    <w:rsid w:val="00662755"/>
    <w:rsid w:val="00676EE0"/>
    <w:rsid w:val="006963B8"/>
    <w:rsid w:val="006B6507"/>
    <w:rsid w:val="006C01D7"/>
    <w:rsid w:val="006C3D78"/>
    <w:rsid w:val="006C7C29"/>
    <w:rsid w:val="006D0E89"/>
    <w:rsid w:val="006D20DF"/>
    <w:rsid w:val="006D4489"/>
    <w:rsid w:val="006E0FBC"/>
    <w:rsid w:val="006E7329"/>
    <w:rsid w:val="006F1B04"/>
    <w:rsid w:val="006F3D6E"/>
    <w:rsid w:val="0070620C"/>
    <w:rsid w:val="00710BD0"/>
    <w:rsid w:val="007114DE"/>
    <w:rsid w:val="007141EE"/>
    <w:rsid w:val="00715690"/>
    <w:rsid w:val="00726FB1"/>
    <w:rsid w:val="007406F1"/>
    <w:rsid w:val="00742F52"/>
    <w:rsid w:val="00751881"/>
    <w:rsid w:val="00756C0E"/>
    <w:rsid w:val="00774B1C"/>
    <w:rsid w:val="00782861"/>
    <w:rsid w:val="00786B01"/>
    <w:rsid w:val="00790563"/>
    <w:rsid w:val="00797707"/>
    <w:rsid w:val="00797B1C"/>
    <w:rsid w:val="007A2F65"/>
    <w:rsid w:val="007A6480"/>
    <w:rsid w:val="007A6EE1"/>
    <w:rsid w:val="007B0A6A"/>
    <w:rsid w:val="007C1898"/>
    <w:rsid w:val="007D3245"/>
    <w:rsid w:val="007D4FDA"/>
    <w:rsid w:val="007D5CF1"/>
    <w:rsid w:val="007E5114"/>
    <w:rsid w:val="007F4549"/>
    <w:rsid w:val="00803F21"/>
    <w:rsid w:val="008058F1"/>
    <w:rsid w:val="008103C5"/>
    <w:rsid w:val="00813512"/>
    <w:rsid w:val="008145A8"/>
    <w:rsid w:val="00814601"/>
    <w:rsid w:val="008165B9"/>
    <w:rsid w:val="008206DF"/>
    <w:rsid w:val="0084596D"/>
    <w:rsid w:val="00846123"/>
    <w:rsid w:val="0085452A"/>
    <w:rsid w:val="008563A7"/>
    <w:rsid w:val="0086002E"/>
    <w:rsid w:val="00861DDB"/>
    <w:rsid w:val="00862225"/>
    <w:rsid w:val="008658BF"/>
    <w:rsid w:val="00867849"/>
    <w:rsid w:val="00881C77"/>
    <w:rsid w:val="00886548"/>
    <w:rsid w:val="00891D4A"/>
    <w:rsid w:val="00894EF2"/>
    <w:rsid w:val="008A2EC1"/>
    <w:rsid w:val="008A62C0"/>
    <w:rsid w:val="008C1F29"/>
    <w:rsid w:val="008C6CE5"/>
    <w:rsid w:val="008E3F4F"/>
    <w:rsid w:val="008E4F4D"/>
    <w:rsid w:val="008E6228"/>
    <w:rsid w:val="008E65B6"/>
    <w:rsid w:val="008E72C7"/>
    <w:rsid w:val="008F1F0E"/>
    <w:rsid w:val="008F7C8D"/>
    <w:rsid w:val="009046CB"/>
    <w:rsid w:val="00907A3E"/>
    <w:rsid w:val="009106F8"/>
    <w:rsid w:val="009222B9"/>
    <w:rsid w:val="0092368B"/>
    <w:rsid w:val="00927389"/>
    <w:rsid w:val="00927AF5"/>
    <w:rsid w:val="0093374A"/>
    <w:rsid w:val="00950B31"/>
    <w:rsid w:val="00955F49"/>
    <w:rsid w:val="00957F76"/>
    <w:rsid w:val="0096164F"/>
    <w:rsid w:val="00962323"/>
    <w:rsid w:val="00962C0C"/>
    <w:rsid w:val="009660C6"/>
    <w:rsid w:val="00967CEB"/>
    <w:rsid w:val="0098100A"/>
    <w:rsid w:val="009843BF"/>
    <w:rsid w:val="00990FDB"/>
    <w:rsid w:val="009A356B"/>
    <w:rsid w:val="009A7F02"/>
    <w:rsid w:val="009B3FC2"/>
    <w:rsid w:val="009B4AE5"/>
    <w:rsid w:val="009B5E6C"/>
    <w:rsid w:val="009C1364"/>
    <w:rsid w:val="009E279D"/>
    <w:rsid w:val="009E7E5E"/>
    <w:rsid w:val="00A028F7"/>
    <w:rsid w:val="00A0506A"/>
    <w:rsid w:val="00A06A3C"/>
    <w:rsid w:val="00A17B87"/>
    <w:rsid w:val="00A24A75"/>
    <w:rsid w:val="00A26B98"/>
    <w:rsid w:val="00A40DE6"/>
    <w:rsid w:val="00A418E4"/>
    <w:rsid w:val="00A43E27"/>
    <w:rsid w:val="00A54655"/>
    <w:rsid w:val="00A57A83"/>
    <w:rsid w:val="00A600CD"/>
    <w:rsid w:val="00A6177E"/>
    <w:rsid w:val="00A6333F"/>
    <w:rsid w:val="00A64D61"/>
    <w:rsid w:val="00A65DF9"/>
    <w:rsid w:val="00A718D0"/>
    <w:rsid w:val="00A72787"/>
    <w:rsid w:val="00A72A01"/>
    <w:rsid w:val="00A73499"/>
    <w:rsid w:val="00A73D80"/>
    <w:rsid w:val="00A8475F"/>
    <w:rsid w:val="00A867D7"/>
    <w:rsid w:val="00A93FC8"/>
    <w:rsid w:val="00AA3D3E"/>
    <w:rsid w:val="00AB0419"/>
    <w:rsid w:val="00AC2BF6"/>
    <w:rsid w:val="00AD0ABD"/>
    <w:rsid w:val="00AE2421"/>
    <w:rsid w:val="00AF06DF"/>
    <w:rsid w:val="00AF1819"/>
    <w:rsid w:val="00AF397E"/>
    <w:rsid w:val="00AF6884"/>
    <w:rsid w:val="00AF6F4F"/>
    <w:rsid w:val="00AF7603"/>
    <w:rsid w:val="00B010C5"/>
    <w:rsid w:val="00B0196B"/>
    <w:rsid w:val="00B160B5"/>
    <w:rsid w:val="00B17DAC"/>
    <w:rsid w:val="00B27D44"/>
    <w:rsid w:val="00B4118A"/>
    <w:rsid w:val="00B435AD"/>
    <w:rsid w:val="00B43CF8"/>
    <w:rsid w:val="00B47B28"/>
    <w:rsid w:val="00B515D8"/>
    <w:rsid w:val="00B536AF"/>
    <w:rsid w:val="00B56A5E"/>
    <w:rsid w:val="00B56C71"/>
    <w:rsid w:val="00B60016"/>
    <w:rsid w:val="00B825C2"/>
    <w:rsid w:val="00B85A2A"/>
    <w:rsid w:val="00B90B10"/>
    <w:rsid w:val="00B93D94"/>
    <w:rsid w:val="00BA1C7B"/>
    <w:rsid w:val="00BA25E6"/>
    <w:rsid w:val="00BA53A3"/>
    <w:rsid w:val="00BA57F8"/>
    <w:rsid w:val="00BB23DF"/>
    <w:rsid w:val="00BB2B74"/>
    <w:rsid w:val="00BB2CA4"/>
    <w:rsid w:val="00BB4387"/>
    <w:rsid w:val="00BC4F35"/>
    <w:rsid w:val="00BC56E9"/>
    <w:rsid w:val="00BC6746"/>
    <w:rsid w:val="00BD1524"/>
    <w:rsid w:val="00BD49DB"/>
    <w:rsid w:val="00BD52FA"/>
    <w:rsid w:val="00BD68BF"/>
    <w:rsid w:val="00BD728A"/>
    <w:rsid w:val="00BD7755"/>
    <w:rsid w:val="00BE08BF"/>
    <w:rsid w:val="00BF1ED5"/>
    <w:rsid w:val="00BF33D6"/>
    <w:rsid w:val="00BF3B08"/>
    <w:rsid w:val="00BF60BE"/>
    <w:rsid w:val="00C017F8"/>
    <w:rsid w:val="00C15667"/>
    <w:rsid w:val="00C20F76"/>
    <w:rsid w:val="00C21161"/>
    <w:rsid w:val="00C24D3D"/>
    <w:rsid w:val="00C30140"/>
    <w:rsid w:val="00C358C2"/>
    <w:rsid w:val="00C404D5"/>
    <w:rsid w:val="00C41DAC"/>
    <w:rsid w:val="00C44380"/>
    <w:rsid w:val="00C47E29"/>
    <w:rsid w:val="00C55DA6"/>
    <w:rsid w:val="00C577B7"/>
    <w:rsid w:val="00C61E51"/>
    <w:rsid w:val="00C630F7"/>
    <w:rsid w:val="00C8660A"/>
    <w:rsid w:val="00CA2AE6"/>
    <w:rsid w:val="00CB115A"/>
    <w:rsid w:val="00CB1AB4"/>
    <w:rsid w:val="00CB2B0C"/>
    <w:rsid w:val="00CD2318"/>
    <w:rsid w:val="00CE2064"/>
    <w:rsid w:val="00CE20BE"/>
    <w:rsid w:val="00CF4F8E"/>
    <w:rsid w:val="00D00832"/>
    <w:rsid w:val="00D00AA1"/>
    <w:rsid w:val="00D0586A"/>
    <w:rsid w:val="00D06FAC"/>
    <w:rsid w:val="00D1161F"/>
    <w:rsid w:val="00D134C3"/>
    <w:rsid w:val="00D200D1"/>
    <w:rsid w:val="00D25FD8"/>
    <w:rsid w:val="00D41BA6"/>
    <w:rsid w:val="00D42225"/>
    <w:rsid w:val="00D42862"/>
    <w:rsid w:val="00D433A7"/>
    <w:rsid w:val="00D53014"/>
    <w:rsid w:val="00D66C9E"/>
    <w:rsid w:val="00D7701C"/>
    <w:rsid w:val="00D82220"/>
    <w:rsid w:val="00D8629E"/>
    <w:rsid w:val="00D90E0C"/>
    <w:rsid w:val="00DA43E8"/>
    <w:rsid w:val="00DA5384"/>
    <w:rsid w:val="00DA6A75"/>
    <w:rsid w:val="00DA7AD9"/>
    <w:rsid w:val="00DB237D"/>
    <w:rsid w:val="00DB6595"/>
    <w:rsid w:val="00DB73C7"/>
    <w:rsid w:val="00DB783A"/>
    <w:rsid w:val="00DC6DD5"/>
    <w:rsid w:val="00DD2500"/>
    <w:rsid w:val="00DD29FF"/>
    <w:rsid w:val="00DE10A9"/>
    <w:rsid w:val="00DE1352"/>
    <w:rsid w:val="00DE2972"/>
    <w:rsid w:val="00DE5272"/>
    <w:rsid w:val="00DE736C"/>
    <w:rsid w:val="00DF7A1D"/>
    <w:rsid w:val="00E03958"/>
    <w:rsid w:val="00E05F23"/>
    <w:rsid w:val="00E102BE"/>
    <w:rsid w:val="00E10527"/>
    <w:rsid w:val="00E11A15"/>
    <w:rsid w:val="00E12772"/>
    <w:rsid w:val="00E157A4"/>
    <w:rsid w:val="00E158D6"/>
    <w:rsid w:val="00E15A90"/>
    <w:rsid w:val="00E15C6D"/>
    <w:rsid w:val="00E171DD"/>
    <w:rsid w:val="00E23ED0"/>
    <w:rsid w:val="00E370F7"/>
    <w:rsid w:val="00E44EBB"/>
    <w:rsid w:val="00E47F2A"/>
    <w:rsid w:val="00E62265"/>
    <w:rsid w:val="00E709D2"/>
    <w:rsid w:val="00E73BC8"/>
    <w:rsid w:val="00E7589F"/>
    <w:rsid w:val="00E87F3A"/>
    <w:rsid w:val="00E95E18"/>
    <w:rsid w:val="00E961DA"/>
    <w:rsid w:val="00EA0BA8"/>
    <w:rsid w:val="00EB0CD1"/>
    <w:rsid w:val="00EB63E8"/>
    <w:rsid w:val="00EC0624"/>
    <w:rsid w:val="00EC08D0"/>
    <w:rsid w:val="00EC20DF"/>
    <w:rsid w:val="00EC57BB"/>
    <w:rsid w:val="00ED15F8"/>
    <w:rsid w:val="00ED2C80"/>
    <w:rsid w:val="00EE0419"/>
    <w:rsid w:val="00EE7B99"/>
    <w:rsid w:val="00EF6FB3"/>
    <w:rsid w:val="00F01C9F"/>
    <w:rsid w:val="00F035AB"/>
    <w:rsid w:val="00F13FE7"/>
    <w:rsid w:val="00F25796"/>
    <w:rsid w:val="00F26DE4"/>
    <w:rsid w:val="00F319B3"/>
    <w:rsid w:val="00F33422"/>
    <w:rsid w:val="00F427E7"/>
    <w:rsid w:val="00F47E6C"/>
    <w:rsid w:val="00F5100B"/>
    <w:rsid w:val="00F5616E"/>
    <w:rsid w:val="00F601D1"/>
    <w:rsid w:val="00F611BC"/>
    <w:rsid w:val="00F636B0"/>
    <w:rsid w:val="00F721E3"/>
    <w:rsid w:val="00F82DB6"/>
    <w:rsid w:val="00F94AB8"/>
    <w:rsid w:val="00F965A0"/>
    <w:rsid w:val="00FA021D"/>
    <w:rsid w:val="00FA046A"/>
    <w:rsid w:val="00FC63C3"/>
    <w:rsid w:val="00FD4BF0"/>
    <w:rsid w:val="00FF489C"/>
    <w:rsid w:val="017E5331"/>
    <w:rsid w:val="018F5BEE"/>
    <w:rsid w:val="028532B0"/>
    <w:rsid w:val="02AF1E06"/>
    <w:rsid w:val="03D64210"/>
    <w:rsid w:val="03D8589A"/>
    <w:rsid w:val="05A625A8"/>
    <w:rsid w:val="05FD1433"/>
    <w:rsid w:val="063D2E99"/>
    <w:rsid w:val="06727999"/>
    <w:rsid w:val="06C37FD6"/>
    <w:rsid w:val="07A024F9"/>
    <w:rsid w:val="08E1797A"/>
    <w:rsid w:val="09324C4C"/>
    <w:rsid w:val="09365C51"/>
    <w:rsid w:val="09E84DC7"/>
    <w:rsid w:val="0AB94884"/>
    <w:rsid w:val="0AFD4E6D"/>
    <w:rsid w:val="0B306E29"/>
    <w:rsid w:val="0F0C17B4"/>
    <w:rsid w:val="0F877766"/>
    <w:rsid w:val="0FD35D82"/>
    <w:rsid w:val="10EA1EE2"/>
    <w:rsid w:val="1111121D"/>
    <w:rsid w:val="11CB52CC"/>
    <w:rsid w:val="11EA166F"/>
    <w:rsid w:val="1205230A"/>
    <w:rsid w:val="123F1C76"/>
    <w:rsid w:val="13DB2F28"/>
    <w:rsid w:val="159254CD"/>
    <w:rsid w:val="15D31B1E"/>
    <w:rsid w:val="163360DA"/>
    <w:rsid w:val="163B3AAB"/>
    <w:rsid w:val="167B61DA"/>
    <w:rsid w:val="1761052D"/>
    <w:rsid w:val="17D67959"/>
    <w:rsid w:val="18AC4164"/>
    <w:rsid w:val="18D7D725"/>
    <w:rsid w:val="199029E5"/>
    <w:rsid w:val="1BBB0703"/>
    <w:rsid w:val="1BBB22FF"/>
    <w:rsid w:val="1C047514"/>
    <w:rsid w:val="1E3E1185"/>
    <w:rsid w:val="1ED95978"/>
    <w:rsid w:val="1EDA7710"/>
    <w:rsid w:val="1EDE0E29"/>
    <w:rsid w:val="1F7B35A3"/>
    <w:rsid w:val="207B3A88"/>
    <w:rsid w:val="208C5E51"/>
    <w:rsid w:val="21FE4E69"/>
    <w:rsid w:val="23331C6F"/>
    <w:rsid w:val="23CB4953"/>
    <w:rsid w:val="247D56EB"/>
    <w:rsid w:val="24FB619E"/>
    <w:rsid w:val="259B3A6E"/>
    <w:rsid w:val="25F21645"/>
    <w:rsid w:val="266A16A4"/>
    <w:rsid w:val="26CB1A16"/>
    <w:rsid w:val="276C3095"/>
    <w:rsid w:val="27FE2AE4"/>
    <w:rsid w:val="28E91D7B"/>
    <w:rsid w:val="29393754"/>
    <w:rsid w:val="297864FB"/>
    <w:rsid w:val="29CF109B"/>
    <w:rsid w:val="2AC61C74"/>
    <w:rsid w:val="2AF53506"/>
    <w:rsid w:val="2B226314"/>
    <w:rsid w:val="2B3B66E7"/>
    <w:rsid w:val="2B67030A"/>
    <w:rsid w:val="2B777962"/>
    <w:rsid w:val="2B7F6B4B"/>
    <w:rsid w:val="2BA92F86"/>
    <w:rsid w:val="2BEE68D3"/>
    <w:rsid w:val="2D392114"/>
    <w:rsid w:val="2D5B2D71"/>
    <w:rsid w:val="3035493B"/>
    <w:rsid w:val="30B15508"/>
    <w:rsid w:val="33154745"/>
    <w:rsid w:val="343F0CBE"/>
    <w:rsid w:val="34893425"/>
    <w:rsid w:val="359B750E"/>
    <w:rsid w:val="35D04AA1"/>
    <w:rsid w:val="371E9BF9"/>
    <w:rsid w:val="375D2B5F"/>
    <w:rsid w:val="383B7A6D"/>
    <w:rsid w:val="391074EC"/>
    <w:rsid w:val="39F56CA1"/>
    <w:rsid w:val="3AD933AA"/>
    <w:rsid w:val="3B3F4248"/>
    <w:rsid w:val="3B4A2E52"/>
    <w:rsid w:val="3B74770C"/>
    <w:rsid w:val="3BD63A56"/>
    <w:rsid w:val="3BF66BED"/>
    <w:rsid w:val="3C7D7288"/>
    <w:rsid w:val="3DFF04CC"/>
    <w:rsid w:val="3F520A96"/>
    <w:rsid w:val="3FABE771"/>
    <w:rsid w:val="3FCA71DA"/>
    <w:rsid w:val="3FEFB616"/>
    <w:rsid w:val="3FFF1F01"/>
    <w:rsid w:val="402406BD"/>
    <w:rsid w:val="404B08B1"/>
    <w:rsid w:val="41376FE7"/>
    <w:rsid w:val="41492FC3"/>
    <w:rsid w:val="419A6DB9"/>
    <w:rsid w:val="42864FA4"/>
    <w:rsid w:val="44CF4611"/>
    <w:rsid w:val="458A1D57"/>
    <w:rsid w:val="45D518DF"/>
    <w:rsid w:val="46345F40"/>
    <w:rsid w:val="47450092"/>
    <w:rsid w:val="47837F3C"/>
    <w:rsid w:val="47D54C75"/>
    <w:rsid w:val="481A666F"/>
    <w:rsid w:val="49804BB7"/>
    <w:rsid w:val="49A447AB"/>
    <w:rsid w:val="4AA42725"/>
    <w:rsid w:val="4AD65ECD"/>
    <w:rsid w:val="4AF661B0"/>
    <w:rsid w:val="4B802916"/>
    <w:rsid w:val="4BBF19D8"/>
    <w:rsid w:val="4C21142A"/>
    <w:rsid w:val="4C650094"/>
    <w:rsid w:val="4CA27517"/>
    <w:rsid w:val="4CB66D20"/>
    <w:rsid w:val="4D1C2E72"/>
    <w:rsid w:val="4D950505"/>
    <w:rsid w:val="4EA84B20"/>
    <w:rsid w:val="4F084DDB"/>
    <w:rsid w:val="4FB9491D"/>
    <w:rsid w:val="50270CAE"/>
    <w:rsid w:val="50324331"/>
    <w:rsid w:val="515801C7"/>
    <w:rsid w:val="523E6BAA"/>
    <w:rsid w:val="52A254C8"/>
    <w:rsid w:val="543E7273"/>
    <w:rsid w:val="556F1F83"/>
    <w:rsid w:val="55D50038"/>
    <w:rsid w:val="567A1039"/>
    <w:rsid w:val="57116CAC"/>
    <w:rsid w:val="57BB434F"/>
    <w:rsid w:val="57F55691"/>
    <w:rsid w:val="58DD43F9"/>
    <w:rsid w:val="59162E41"/>
    <w:rsid w:val="595256B9"/>
    <w:rsid w:val="599F0BF8"/>
    <w:rsid w:val="59A95D3F"/>
    <w:rsid w:val="59B368E2"/>
    <w:rsid w:val="59CB4F05"/>
    <w:rsid w:val="5B6F645D"/>
    <w:rsid w:val="5B712F0F"/>
    <w:rsid w:val="5B803D64"/>
    <w:rsid w:val="5BD42C23"/>
    <w:rsid w:val="5BE72393"/>
    <w:rsid w:val="5CA42512"/>
    <w:rsid w:val="5E7953CE"/>
    <w:rsid w:val="5EBFB52B"/>
    <w:rsid w:val="5F361B5C"/>
    <w:rsid w:val="5F3FFAAC"/>
    <w:rsid w:val="5F495A3D"/>
    <w:rsid w:val="5F8845CD"/>
    <w:rsid w:val="5FBEE1BA"/>
    <w:rsid w:val="5FD20036"/>
    <w:rsid w:val="5FDEE564"/>
    <w:rsid w:val="5FFF483D"/>
    <w:rsid w:val="60762418"/>
    <w:rsid w:val="6186668A"/>
    <w:rsid w:val="63042EB0"/>
    <w:rsid w:val="646738E7"/>
    <w:rsid w:val="64990483"/>
    <w:rsid w:val="654C7BEB"/>
    <w:rsid w:val="66352B94"/>
    <w:rsid w:val="66F1A06F"/>
    <w:rsid w:val="68686ADC"/>
    <w:rsid w:val="687A681D"/>
    <w:rsid w:val="69D20077"/>
    <w:rsid w:val="69FA9100"/>
    <w:rsid w:val="6BCF85EC"/>
    <w:rsid w:val="6BEC7A32"/>
    <w:rsid w:val="6BF8DFB8"/>
    <w:rsid w:val="6C3F32D5"/>
    <w:rsid w:val="6C5B3BAC"/>
    <w:rsid w:val="6CFDBF04"/>
    <w:rsid w:val="6D154D66"/>
    <w:rsid w:val="6D483EAF"/>
    <w:rsid w:val="6E2C6D52"/>
    <w:rsid w:val="6E450D54"/>
    <w:rsid w:val="6EB83782"/>
    <w:rsid w:val="6FC62606"/>
    <w:rsid w:val="6FD78919"/>
    <w:rsid w:val="6FD7ABE6"/>
    <w:rsid w:val="6FFB3C40"/>
    <w:rsid w:val="70127108"/>
    <w:rsid w:val="705636CC"/>
    <w:rsid w:val="7355FB60"/>
    <w:rsid w:val="736B3932"/>
    <w:rsid w:val="752672E3"/>
    <w:rsid w:val="75AC58A8"/>
    <w:rsid w:val="75DF5F11"/>
    <w:rsid w:val="75E427F0"/>
    <w:rsid w:val="761E6826"/>
    <w:rsid w:val="768A1923"/>
    <w:rsid w:val="76C32E2F"/>
    <w:rsid w:val="76DA2914"/>
    <w:rsid w:val="7758169E"/>
    <w:rsid w:val="77A78E76"/>
    <w:rsid w:val="77F7AA21"/>
    <w:rsid w:val="785B7161"/>
    <w:rsid w:val="789B4955"/>
    <w:rsid w:val="79763BCD"/>
    <w:rsid w:val="7A586C6E"/>
    <w:rsid w:val="7AFF6EC0"/>
    <w:rsid w:val="7BDFED8B"/>
    <w:rsid w:val="7BEF9F3C"/>
    <w:rsid w:val="7BF72E97"/>
    <w:rsid w:val="7D3E57AB"/>
    <w:rsid w:val="7D4D5E56"/>
    <w:rsid w:val="7D99B22C"/>
    <w:rsid w:val="7E15399B"/>
    <w:rsid w:val="7E2E2619"/>
    <w:rsid w:val="7E3ECE8C"/>
    <w:rsid w:val="7EDE45CD"/>
    <w:rsid w:val="7EDF2281"/>
    <w:rsid w:val="7EFFD7F2"/>
    <w:rsid w:val="7F9B1052"/>
    <w:rsid w:val="7FF30DF7"/>
    <w:rsid w:val="8E7D9682"/>
    <w:rsid w:val="AEED63DA"/>
    <w:rsid w:val="AEEF3075"/>
    <w:rsid w:val="AFAE83F8"/>
    <w:rsid w:val="B35F1923"/>
    <w:rsid w:val="B37B5F6A"/>
    <w:rsid w:val="B9BB1502"/>
    <w:rsid w:val="B9DD1386"/>
    <w:rsid w:val="BABFE499"/>
    <w:rsid w:val="BAF35058"/>
    <w:rsid w:val="BBFD206B"/>
    <w:rsid w:val="BD7EF508"/>
    <w:rsid w:val="BDEF8E12"/>
    <w:rsid w:val="BDF26E03"/>
    <w:rsid w:val="BF9BEA5F"/>
    <w:rsid w:val="BFB6719A"/>
    <w:rsid w:val="BFCF9E53"/>
    <w:rsid w:val="BFF785A6"/>
    <w:rsid w:val="CBA584D4"/>
    <w:rsid w:val="CE6B6739"/>
    <w:rsid w:val="D27E57C2"/>
    <w:rsid w:val="DB0B8580"/>
    <w:rsid w:val="DD5D0811"/>
    <w:rsid w:val="DDDFAC4A"/>
    <w:rsid w:val="DDEF5613"/>
    <w:rsid w:val="DDFF2825"/>
    <w:rsid w:val="DE3AA0B1"/>
    <w:rsid w:val="DFFB90D4"/>
    <w:rsid w:val="E3F21134"/>
    <w:rsid w:val="E5BDD083"/>
    <w:rsid w:val="E8CFF9B0"/>
    <w:rsid w:val="EFF76F24"/>
    <w:rsid w:val="F13C13ED"/>
    <w:rsid w:val="F4EFBB10"/>
    <w:rsid w:val="F6DB1E19"/>
    <w:rsid w:val="F7CF76C9"/>
    <w:rsid w:val="F7FD54EA"/>
    <w:rsid w:val="F7FF19D6"/>
    <w:rsid w:val="F9BB4CF1"/>
    <w:rsid w:val="F9BF9B7A"/>
    <w:rsid w:val="FB2FEF47"/>
    <w:rsid w:val="FB7B4844"/>
    <w:rsid w:val="FBFA5CD9"/>
    <w:rsid w:val="FDCB8DFC"/>
    <w:rsid w:val="FDEFC6B2"/>
    <w:rsid w:val="FDFC0204"/>
    <w:rsid w:val="FDFDA777"/>
    <w:rsid w:val="FDFFE5E0"/>
    <w:rsid w:val="FECFB309"/>
    <w:rsid w:val="FEF9C9D4"/>
    <w:rsid w:val="FF55595A"/>
    <w:rsid w:val="FF7E1FF5"/>
    <w:rsid w:val="FFDD346D"/>
    <w:rsid w:val="FFFB9FAE"/>
    <w:rsid w:val="FFFDE260"/>
    <w:rsid w:val="FFFF0E06"/>
    <w:rsid w:val="FFFF9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8"/>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52"/>
    <w:qFormat/>
    <w:uiPriority w:val="0"/>
    <w:pPr>
      <w:keepNext/>
      <w:keepLines/>
      <w:spacing w:before="260" w:after="260" w:line="416" w:lineRule="auto"/>
      <w:outlineLvl w:val="2"/>
    </w:pPr>
    <w:rPr>
      <w:b/>
      <w:bCs/>
      <w:sz w:val="32"/>
      <w:szCs w:val="32"/>
    </w:rPr>
  </w:style>
  <w:style w:type="paragraph" w:styleId="6">
    <w:name w:val="heading 4"/>
    <w:basedOn w:val="1"/>
    <w:next w:val="1"/>
    <w:link w:val="49"/>
    <w:qFormat/>
    <w:uiPriority w:val="0"/>
    <w:pPr>
      <w:keepNext/>
      <w:keepLines/>
      <w:widowControl/>
      <w:spacing w:before="120" w:after="120" w:line="360" w:lineRule="auto"/>
      <w:jc w:val="center"/>
      <w:outlineLvl w:val="3"/>
    </w:pPr>
    <w:rPr>
      <w:rFonts w:ascii="Arial" w:hAnsi="Arial" w:eastAsia="黑体"/>
      <w:sz w:val="28"/>
      <w:szCs w:val="24"/>
    </w:rPr>
  </w:style>
  <w:style w:type="paragraph" w:styleId="7">
    <w:name w:val="heading 5"/>
    <w:basedOn w:val="1"/>
    <w:next w:val="8"/>
    <w:link w:val="50"/>
    <w:qFormat/>
    <w:uiPriority w:val="0"/>
    <w:pPr>
      <w:keepNext/>
      <w:keepLines/>
      <w:spacing w:before="280" w:after="290" w:line="376" w:lineRule="auto"/>
      <w:outlineLvl w:val="4"/>
    </w:pPr>
    <w:rPr>
      <w:b/>
      <w:sz w:val="28"/>
      <w:szCs w:val="24"/>
    </w:rPr>
  </w:style>
  <w:style w:type="paragraph" w:styleId="9">
    <w:name w:val="heading 6"/>
    <w:basedOn w:val="1"/>
    <w:next w:val="8"/>
    <w:link w:val="51"/>
    <w:qFormat/>
    <w:uiPriority w:val="0"/>
    <w:pPr>
      <w:keepNext/>
      <w:keepLines/>
      <w:spacing w:before="240" w:after="64" w:line="320" w:lineRule="auto"/>
      <w:outlineLvl w:val="5"/>
    </w:pPr>
    <w:rPr>
      <w:rFonts w:ascii="Arial" w:hAnsi="Arial" w:eastAsia="黑体"/>
      <w:b/>
      <w:sz w:val="24"/>
      <w:szCs w:val="24"/>
    </w:rPr>
  </w:style>
  <w:style w:type="paragraph" w:styleId="10">
    <w:name w:val="heading 7"/>
    <w:basedOn w:val="1"/>
    <w:next w:val="8"/>
    <w:link w:val="55"/>
    <w:qFormat/>
    <w:uiPriority w:val="0"/>
    <w:pPr>
      <w:keepNext/>
      <w:keepLines/>
      <w:spacing w:before="240" w:after="64" w:line="320" w:lineRule="auto"/>
      <w:outlineLvl w:val="6"/>
    </w:pPr>
    <w:rPr>
      <w:b/>
      <w:sz w:val="24"/>
      <w:szCs w:val="24"/>
    </w:rPr>
  </w:style>
  <w:style w:type="paragraph" w:styleId="11">
    <w:name w:val="heading 8"/>
    <w:basedOn w:val="1"/>
    <w:next w:val="8"/>
    <w:link w:val="56"/>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8"/>
    <w:link w:val="57"/>
    <w:qFormat/>
    <w:uiPriority w:val="0"/>
    <w:pPr>
      <w:keepNext/>
      <w:keepLines/>
      <w:spacing w:before="240" w:after="64" w:line="320" w:lineRule="auto"/>
      <w:outlineLvl w:val="8"/>
    </w:pPr>
    <w:rPr>
      <w:rFonts w:ascii="Arial" w:hAnsi="Arial" w:eastAsia="黑体"/>
      <w:szCs w:val="24"/>
    </w:rPr>
  </w:style>
  <w:style w:type="character" w:default="1" w:styleId="41">
    <w:name w:val="Default Paragraph Font"/>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3"/>
    <w:qFormat/>
    <w:uiPriority w:val="0"/>
    <w:pPr>
      <w:spacing w:line="380" w:lineRule="exact"/>
    </w:pPr>
    <w:rPr>
      <w:sz w:val="24"/>
      <w:szCs w:val="24"/>
    </w:rPr>
  </w:style>
  <w:style w:type="paragraph" w:styleId="8">
    <w:name w:val="Normal Indent"/>
    <w:basedOn w:val="1"/>
    <w:link w:val="54"/>
    <w:qFormat/>
    <w:uiPriority w:val="0"/>
    <w:pPr>
      <w:ind w:firstLine="420"/>
    </w:pPr>
    <w:rPr>
      <w:rFonts w:ascii="Calibri" w:hAnsi="Calibri"/>
      <w:szCs w:val="20"/>
    </w:rPr>
  </w:style>
  <w:style w:type="paragraph" w:styleId="13">
    <w:name w:val="index 8"/>
    <w:basedOn w:val="1"/>
    <w:next w:val="1"/>
    <w:qFormat/>
    <w:uiPriority w:val="0"/>
    <w:pPr>
      <w:ind w:left="2940"/>
    </w:pPr>
  </w:style>
  <w:style w:type="paragraph" w:styleId="14">
    <w:name w:val="Document Map"/>
    <w:basedOn w:val="1"/>
    <w:link w:val="58"/>
    <w:semiHidden/>
    <w:qFormat/>
    <w:uiPriority w:val="0"/>
    <w:rPr>
      <w:rFonts w:ascii="宋体" w:hAnsi="Calibri"/>
      <w:sz w:val="18"/>
      <w:szCs w:val="20"/>
    </w:rPr>
  </w:style>
  <w:style w:type="paragraph" w:styleId="15">
    <w:name w:val="annotation text"/>
    <w:basedOn w:val="1"/>
    <w:link w:val="59"/>
    <w:semiHidden/>
    <w:qFormat/>
    <w:uiPriority w:val="0"/>
    <w:pPr>
      <w:jc w:val="left"/>
    </w:pPr>
  </w:style>
  <w:style w:type="paragraph" w:styleId="16">
    <w:name w:val="Salutation"/>
    <w:basedOn w:val="1"/>
    <w:next w:val="1"/>
    <w:link w:val="60"/>
    <w:qFormat/>
    <w:uiPriority w:val="0"/>
    <w:rPr>
      <w:sz w:val="28"/>
      <w:szCs w:val="24"/>
    </w:rPr>
  </w:style>
  <w:style w:type="paragraph" w:styleId="17">
    <w:name w:val="Body Text 3"/>
    <w:basedOn w:val="1"/>
    <w:link w:val="61"/>
    <w:qFormat/>
    <w:uiPriority w:val="0"/>
    <w:pPr>
      <w:spacing w:line="500" w:lineRule="exact"/>
    </w:pPr>
    <w:rPr>
      <w:b/>
      <w:bCs/>
      <w:sz w:val="24"/>
      <w:szCs w:val="24"/>
    </w:rPr>
  </w:style>
  <w:style w:type="paragraph" w:styleId="18">
    <w:name w:val="Body Text Indent"/>
    <w:basedOn w:val="1"/>
    <w:link w:val="62"/>
    <w:qFormat/>
    <w:uiPriority w:val="0"/>
    <w:pPr>
      <w:ind w:firstLine="830" w:firstLineChars="352"/>
    </w:pPr>
    <w:rPr>
      <w:rFonts w:ascii="仿宋_GB2312" w:eastAsia="仿宋_GB2312" w:cs="仿宋_GB2312"/>
      <w:sz w:val="32"/>
      <w:szCs w:val="32"/>
    </w:rPr>
  </w:style>
  <w:style w:type="paragraph" w:styleId="19">
    <w:name w:val="List 2"/>
    <w:basedOn w:val="1"/>
    <w:unhideWhenUsed/>
    <w:qFormat/>
    <w:uiPriority w:val="99"/>
    <w:pPr>
      <w:ind w:left="100" w:leftChars="200" w:hanging="200" w:hangingChars="200"/>
      <w:contextualSpacing/>
    </w:pPr>
  </w:style>
  <w:style w:type="paragraph" w:styleId="20">
    <w:name w:val="Block Text"/>
    <w:basedOn w:val="1"/>
    <w:qFormat/>
    <w:uiPriority w:val="0"/>
    <w:pPr>
      <w:adjustRightInd w:val="0"/>
      <w:spacing w:line="300" w:lineRule="auto"/>
      <w:ind w:left="958" w:right="-120" w:rightChars="-120"/>
      <w:jc w:val="left"/>
    </w:pPr>
    <w:rPr>
      <w:rFonts w:ascii="宋体" w:hAnsi="宋体" w:cs="宋体"/>
      <w:sz w:val="28"/>
      <w:szCs w:val="28"/>
    </w:rPr>
  </w:style>
  <w:style w:type="paragraph" w:styleId="21">
    <w:name w:val="Plain Text"/>
    <w:basedOn w:val="1"/>
    <w:next w:val="6"/>
    <w:link w:val="63"/>
    <w:qFormat/>
    <w:uiPriority w:val="0"/>
    <w:rPr>
      <w:rFonts w:ascii="宋体" w:hAnsi="Courier New"/>
      <w:szCs w:val="20"/>
    </w:rPr>
  </w:style>
  <w:style w:type="paragraph" w:styleId="22">
    <w:name w:val="Date"/>
    <w:basedOn w:val="1"/>
    <w:next w:val="1"/>
    <w:link w:val="64"/>
    <w:qFormat/>
    <w:uiPriority w:val="0"/>
    <w:pPr>
      <w:ind w:left="100" w:leftChars="2500"/>
    </w:pPr>
  </w:style>
  <w:style w:type="paragraph" w:styleId="23">
    <w:name w:val="Body Text Indent 2"/>
    <w:basedOn w:val="1"/>
    <w:link w:val="65"/>
    <w:qFormat/>
    <w:uiPriority w:val="0"/>
    <w:pPr>
      <w:ind w:firstLine="630"/>
    </w:pPr>
    <w:rPr>
      <w:sz w:val="32"/>
      <w:szCs w:val="20"/>
    </w:rPr>
  </w:style>
  <w:style w:type="paragraph" w:styleId="24">
    <w:name w:val="endnote text"/>
    <w:basedOn w:val="1"/>
    <w:link w:val="66"/>
    <w:qFormat/>
    <w:uiPriority w:val="0"/>
    <w:pPr>
      <w:snapToGrid w:val="0"/>
      <w:jc w:val="left"/>
    </w:pPr>
    <w:rPr>
      <w:rFonts w:ascii="Calibri" w:hAnsi="Calibri"/>
      <w:szCs w:val="22"/>
    </w:rPr>
  </w:style>
  <w:style w:type="paragraph" w:styleId="25">
    <w:name w:val="Balloon Text"/>
    <w:basedOn w:val="1"/>
    <w:link w:val="67"/>
    <w:semiHidden/>
    <w:qFormat/>
    <w:uiPriority w:val="0"/>
    <w:rPr>
      <w:sz w:val="18"/>
      <w:szCs w:val="18"/>
    </w:rPr>
  </w:style>
  <w:style w:type="paragraph" w:styleId="26">
    <w:name w:val="footer"/>
    <w:basedOn w:val="1"/>
    <w:next w:val="1"/>
    <w:link w:val="68"/>
    <w:qFormat/>
    <w:uiPriority w:val="0"/>
    <w:pPr>
      <w:tabs>
        <w:tab w:val="center" w:pos="4153"/>
        <w:tab w:val="right" w:pos="8306"/>
      </w:tabs>
      <w:snapToGrid w:val="0"/>
      <w:jc w:val="left"/>
    </w:pPr>
    <w:rPr>
      <w:sz w:val="18"/>
      <w:szCs w:val="18"/>
    </w:rPr>
  </w:style>
  <w:style w:type="paragraph" w:styleId="27">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0"/>
  </w:style>
  <w:style w:type="paragraph" w:styleId="29">
    <w:name w:val="Body Text Indent 3"/>
    <w:basedOn w:val="1"/>
    <w:link w:val="70"/>
    <w:qFormat/>
    <w:uiPriority w:val="0"/>
    <w:pPr>
      <w:spacing w:after="120"/>
      <w:ind w:left="420" w:leftChars="200"/>
    </w:pPr>
    <w:rPr>
      <w:sz w:val="16"/>
      <w:szCs w:val="16"/>
    </w:rPr>
  </w:style>
  <w:style w:type="paragraph" w:styleId="30">
    <w:name w:val="toc 9"/>
    <w:basedOn w:val="1"/>
    <w:next w:val="1"/>
    <w:semiHidden/>
    <w:qFormat/>
    <w:uiPriority w:val="0"/>
    <w:pPr>
      <w:tabs>
        <w:tab w:val="right" w:leader="dot" w:pos="9185"/>
      </w:tabs>
      <w:adjustRightInd w:val="0"/>
      <w:spacing w:line="460" w:lineRule="exact"/>
      <w:ind w:left="420" w:leftChars="200" w:firstLine="525" w:firstLineChars="250"/>
      <w:textAlignment w:val="baseline"/>
    </w:pPr>
    <w:rPr>
      <w:rFonts w:cs="宋体"/>
      <w:color w:val="008000"/>
      <w:kern w:val="0"/>
    </w:rPr>
  </w:style>
  <w:style w:type="paragraph" w:styleId="31">
    <w:name w:val="Body Text 2"/>
    <w:basedOn w:val="1"/>
    <w:link w:val="71"/>
    <w:qFormat/>
    <w:uiPriority w:val="0"/>
    <w:pPr>
      <w:spacing w:after="120" w:line="480" w:lineRule="auto"/>
    </w:pPr>
    <w:rPr>
      <w:szCs w:val="24"/>
    </w:rPr>
  </w:style>
  <w:style w:type="paragraph" w:styleId="32">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Title"/>
    <w:basedOn w:val="1"/>
    <w:link w:val="73"/>
    <w:qFormat/>
    <w:uiPriority w:val="0"/>
    <w:pPr>
      <w:spacing w:before="240" w:after="60"/>
      <w:jc w:val="center"/>
      <w:outlineLvl w:val="0"/>
    </w:pPr>
    <w:rPr>
      <w:rFonts w:ascii="Arial" w:hAnsi="Arial"/>
      <w:b/>
      <w:bCs/>
      <w:sz w:val="32"/>
      <w:szCs w:val="32"/>
    </w:rPr>
  </w:style>
  <w:style w:type="paragraph" w:styleId="36">
    <w:name w:val="annotation subject"/>
    <w:basedOn w:val="15"/>
    <w:next w:val="15"/>
    <w:link w:val="74"/>
    <w:semiHidden/>
    <w:qFormat/>
    <w:uiPriority w:val="0"/>
    <w:rPr>
      <w:b/>
      <w:bCs/>
    </w:rPr>
  </w:style>
  <w:style w:type="paragraph" w:styleId="37">
    <w:name w:val="Body Text First Indent"/>
    <w:basedOn w:val="2"/>
    <w:next w:val="1"/>
    <w:qFormat/>
    <w:uiPriority w:val="0"/>
    <w:pPr>
      <w:adjustRightInd w:val="0"/>
      <w:spacing w:after="60" w:line="360" w:lineRule="atLeast"/>
      <w:ind w:left="72" w:leftChars="30" w:right="30" w:rightChars="30" w:firstLine="420"/>
      <w:jc w:val="center"/>
      <w:textAlignment w:val="baseline"/>
    </w:pPr>
    <w:rPr>
      <w:rFonts w:eastAsia="楷体_GB2312"/>
      <w:kern w:val="0"/>
      <w:sz w:val="32"/>
    </w:rPr>
  </w:style>
  <w:style w:type="paragraph" w:styleId="38">
    <w:name w:val="Body Text First Indent 2"/>
    <w:basedOn w:val="2"/>
    <w:next w:val="37"/>
    <w:qFormat/>
    <w:uiPriority w:val="0"/>
    <w:pPr>
      <w:spacing w:after="120"/>
      <w:ind w:left="420" w:leftChars="200" w:firstLine="420" w:firstLineChars="200"/>
    </w:pPr>
    <w:rPr>
      <w:sz w:val="21"/>
      <w:szCs w:val="21"/>
    </w:rPr>
  </w:style>
  <w:style w:type="table" w:styleId="40">
    <w:name w:val="Table Grid"/>
    <w:basedOn w:val="3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qFormat/>
    <w:uiPriority w:val="0"/>
    <w:rPr>
      <w:b/>
      <w:bCs/>
    </w:rPr>
  </w:style>
  <w:style w:type="character" w:styleId="43">
    <w:name w:val="page number"/>
    <w:qFormat/>
    <w:uiPriority w:val="0"/>
    <w:rPr>
      <w:rFonts w:cs="Times New Roman"/>
    </w:rPr>
  </w:style>
  <w:style w:type="character" w:styleId="44">
    <w:name w:val="Hyperlink"/>
    <w:qFormat/>
    <w:uiPriority w:val="0"/>
    <w:rPr>
      <w:rFonts w:cs="Times New Roman"/>
      <w:color w:val="0000FF"/>
      <w:u w:val="single"/>
    </w:rPr>
  </w:style>
  <w:style w:type="character" w:styleId="45">
    <w:name w:val="annotation reference"/>
    <w:semiHidden/>
    <w:qFormat/>
    <w:uiPriority w:val="0"/>
    <w:rPr>
      <w:rFonts w:cs="Times New Roman"/>
      <w:sz w:val="21"/>
      <w:szCs w:val="21"/>
    </w:rPr>
  </w:style>
  <w:style w:type="character" w:styleId="46">
    <w:name w:val="HTML Sample"/>
    <w:unhideWhenUsed/>
    <w:qFormat/>
    <w:uiPriority w:val="0"/>
    <w:rPr>
      <w:rFonts w:ascii="宋体" w:hAnsi="宋体" w:eastAsia="宋体" w:cs="宋体"/>
    </w:rPr>
  </w:style>
  <w:style w:type="character" w:customStyle="1" w:styleId="47">
    <w:name w:val="标题 1 字符"/>
    <w:link w:val="3"/>
    <w:qFormat/>
    <w:locked/>
    <w:uiPriority w:val="0"/>
    <w:rPr>
      <w:rFonts w:eastAsia="宋体"/>
      <w:b/>
      <w:bCs/>
      <w:kern w:val="44"/>
      <w:sz w:val="44"/>
      <w:szCs w:val="44"/>
      <w:lang w:val="en-US" w:eastAsia="zh-CN" w:bidi="ar-SA"/>
    </w:rPr>
  </w:style>
  <w:style w:type="character" w:customStyle="1" w:styleId="48">
    <w:name w:val="标题 2 字符"/>
    <w:link w:val="4"/>
    <w:semiHidden/>
    <w:qFormat/>
    <w:uiPriority w:val="0"/>
    <w:rPr>
      <w:rFonts w:ascii="Calibri Light" w:hAnsi="Calibri Light" w:eastAsia="宋体"/>
      <w:b/>
      <w:bCs/>
      <w:kern w:val="2"/>
      <w:sz w:val="32"/>
      <w:szCs w:val="32"/>
      <w:lang w:val="en-US" w:eastAsia="zh-CN" w:bidi="ar-SA"/>
    </w:rPr>
  </w:style>
  <w:style w:type="character" w:customStyle="1" w:styleId="49">
    <w:name w:val="标题 4 字符"/>
    <w:link w:val="6"/>
    <w:qFormat/>
    <w:uiPriority w:val="0"/>
    <w:rPr>
      <w:rFonts w:ascii="Arial" w:hAnsi="Arial" w:eastAsia="黑体"/>
      <w:kern w:val="2"/>
      <w:sz w:val="28"/>
      <w:szCs w:val="24"/>
      <w:lang w:val="en-US" w:eastAsia="zh-CN" w:bidi="ar-SA"/>
    </w:rPr>
  </w:style>
  <w:style w:type="character" w:customStyle="1" w:styleId="50">
    <w:name w:val="标题 5 字符"/>
    <w:link w:val="7"/>
    <w:qFormat/>
    <w:uiPriority w:val="0"/>
    <w:rPr>
      <w:rFonts w:eastAsia="宋体"/>
      <w:b/>
      <w:kern w:val="2"/>
      <w:sz w:val="28"/>
      <w:szCs w:val="24"/>
      <w:lang w:val="en-US" w:eastAsia="zh-CN" w:bidi="ar-SA"/>
    </w:rPr>
  </w:style>
  <w:style w:type="character" w:customStyle="1" w:styleId="51">
    <w:name w:val="标题 6 字符"/>
    <w:link w:val="9"/>
    <w:qFormat/>
    <w:uiPriority w:val="0"/>
    <w:rPr>
      <w:rFonts w:ascii="Arial" w:hAnsi="Arial" w:eastAsia="黑体"/>
      <w:b/>
      <w:kern w:val="2"/>
      <w:sz w:val="24"/>
      <w:szCs w:val="24"/>
      <w:lang w:val="en-US" w:eastAsia="zh-CN" w:bidi="ar-SA"/>
    </w:rPr>
  </w:style>
  <w:style w:type="character" w:customStyle="1" w:styleId="52">
    <w:name w:val="标题 3 字符"/>
    <w:link w:val="5"/>
    <w:qFormat/>
    <w:uiPriority w:val="0"/>
    <w:rPr>
      <w:rFonts w:eastAsia="宋体"/>
      <w:b/>
      <w:bCs/>
      <w:kern w:val="2"/>
      <w:sz w:val="32"/>
      <w:szCs w:val="32"/>
      <w:lang w:val="en-US" w:eastAsia="zh-CN" w:bidi="ar-SA"/>
    </w:rPr>
  </w:style>
  <w:style w:type="character" w:customStyle="1" w:styleId="53">
    <w:name w:val="正文文本 字符"/>
    <w:link w:val="2"/>
    <w:qFormat/>
    <w:uiPriority w:val="0"/>
    <w:rPr>
      <w:rFonts w:eastAsia="宋体"/>
      <w:kern w:val="2"/>
      <w:sz w:val="24"/>
      <w:szCs w:val="24"/>
      <w:lang w:val="en-US" w:eastAsia="zh-CN" w:bidi="ar-SA"/>
    </w:rPr>
  </w:style>
  <w:style w:type="character" w:customStyle="1" w:styleId="54">
    <w:name w:val="正文缩进 字符"/>
    <w:link w:val="8"/>
    <w:qFormat/>
    <w:locked/>
    <w:uiPriority w:val="0"/>
    <w:rPr>
      <w:rFonts w:ascii="Calibri" w:hAnsi="Calibri" w:eastAsia="宋体"/>
      <w:kern w:val="2"/>
      <w:sz w:val="21"/>
      <w:lang w:val="en-US" w:eastAsia="zh-CN" w:bidi="ar-SA"/>
    </w:rPr>
  </w:style>
  <w:style w:type="character" w:customStyle="1" w:styleId="55">
    <w:name w:val="标题 7 字符"/>
    <w:link w:val="10"/>
    <w:qFormat/>
    <w:uiPriority w:val="0"/>
    <w:rPr>
      <w:rFonts w:eastAsia="宋体"/>
      <w:b/>
      <w:kern w:val="2"/>
      <w:sz w:val="24"/>
      <w:szCs w:val="24"/>
      <w:lang w:val="en-US" w:eastAsia="zh-CN" w:bidi="ar-SA"/>
    </w:rPr>
  </w:style>
  <w:style w:type="character" w:customStyle="1" w:styleId="56">
    <w:name w:val="标题 8 字符"/>
    <w:link w:val="11"/>
    <w:qFormat/>
    <w:uiPriority w:val="0"/>
    <w:rPr>
      <w:rFonts w:ascii="Arial" w:hAnsi="Arial" w:eastAsia="黑体"/>
      <w:kern w:val="2"/>
      <w:sz w:val="24"/>
      <w:szCs w:val="24"/>
      <w:lang w:val="en-US" w:eastAsia="zh-CN" w:bidi="ar-SA"/>
    </w:rPr>
  </w:style>
  <w:style w:type="character" w:customStyle="1" w:styleId="57">
    <w:name w:val="标题 9 字符"/>
    <w:link w:val="12"/>
    <w:qFormat/>
    <w:uiPriority w:val="0"/>
    <w:rPr>
      <w:rFonts w:ascii="Arial" w:hAnsi="Arial" w:eastAsia="黑体"/>
      <w:kern w:val="2"/>
      <w:sz w:val="21"/>
      <w:szCs w:val="24"/>
      <w:lang w:val="en-US" w:eastAsia="zh-CN" w:bidi="ar-SA"/>
    </w:rPr>
  </w:style>
  <w:style w:type="character" w:customStyle="1" w:styleId="58">
    <w:name w:val="文档结构图 字符"/>
    <w:link w:val="14"/>
    <w:semiHidden/>
    <w:qFormat/>
    <w:locked/>
    <w:uiPriority w:val="0"/>
    <w:rPr>
      <w:rFonts w:ascii="宋体" w:hAnsi="Calibri" w:eastAsia="宋体"/>
      <w:kern w:val="2"/>
      <w:sz w:val="18"/>
      <w:lang w:val="en-US" w:eastAsia="zh-CN" w:bidi="ar-SA"/>
    </w:rPr>
  </w:style>
  <w:style w:type="character" w:customStyle="1" w:styleId="59">
    <w:name w:val="批注文字 字符"/>
    <w:link w:val="15"/>
    <w:semiHidden/>
    <w:qFormat/>
    <w:locked/>
    <w:uiPriority w:val="0"/>
    <w:rPr>
      <w:rFonts w:eastAsia="宋体"/>
      <w:kern w:val="2"/>
      <w:sz w:val="21"/>
      <w:szCs w:val="21"/>
      <w:lang w:val="en-US" w:eastAsia="zh-CN" w:bidi="ar-SA"/>
    </w:rPr>
  </w:style>
  <w:style w:type="character" w:customStyle="1" w:styleId="60">
    <w:name w:val="称呼 字符"/>
    <w:link w:val="16"/>
    <w:qFormat/>
    <w:uiPriority w:val="0"/>
    <w:rPr>
      <w:kern w:val="2"/>
      <w:sz w:val="28"/>
      <w:szCs w:val="24"/>
      <w:lang w:bidi="ar-SA"/>
    </w:rPr>
  </w:style>
  <w:style w:type="character" w:customStyle="1" w:styleId="61">
    <w:name w:val="正文文本 3 字符"/>
    <w:link w:val="17"/>
    <w:qFormat/>
    <w:uiPriority w:val="0"/>
    <w:rPr>
      <w:rFonts w:eastAsia="宋体"/>
      <w:b/>
      <w:bCs/>
      <w:kern w:val="2"/>
      <w:sz w:val="24"/>
      <w:szCs w:val="24"/>
      <w:lang w:val="en-US" w:eastAsia="zh-CN" w:bidi="ar-SA"/>
    </w:rPr>
  </w:style>
  <w:style w:type="character" w:customStyle="1" w:styleId="62">
    <w:name w:val="正文文本缩进 字符"/>
    <w:link w:val="18"/>
    <w:semiHidden/>
    <w:qFormat/>
    <w:locked/>
    <w:uiPriority w:val="0"/>
    <w:rPr>
      <w:rFonts w:ascii="仿宋_GB2312" w:eastAsia="仿宋_GB2312" w:cs="仿宋_GB2312"/>
      <w:kern w:val="2"/>
      <w:sz w:val="32"/>
      <w:szCs w:val="32"/>
      <w:lang w:val="en-US" w:eastAsia="zh-CN" w:bidi="ar-SA"/>
    </w:rPr>
  </w:style>
  <w:style w:type="character" w:customStyle="1" w:styleId="63">
    <w:name w:val="纯文本 字符"/>
    <w:link w:val="21"/>
    <w:qFormat/>
    <w:locked/>
    <w:uiPriority w:val="0"/>
    <w:rPr>
      <w:rFonts w:ascii="宋体" w:hAnsi="Courier New" w:eastAsia="宋体"/>
      <w:kern w:val="2"/>
      <w:sz w:val="21"/>
      <w:lang w:val="en-US" w:eastAsia="zh-CN" w:bidi="ar-SA"/>
    </w:rPr>
  </w:style>
  <w:style w:type="character" w:customStyle="1" w:styleId="64">
    <w:name w:val="日期 字符"/>
    <w:link w:val="22"/>
    <w:qFormat/>
    <w:uiPriority w:val="0"/>
    <w:rPr>
      <w:rFonts w:eastAsia="宋体"/>
      <w:kern w:val="2"/>
      <w:sz w:val="21"/>
      <w:szCs w:val="21"/>
      <w:lang w:val="en-US" w:eastAsia="zh-CN" w:bidi="ar-SA"/>
    </w:rPr>
  </w:style>
  <w:style w:type="character" w:customStyle="1" w:styleId="65">
    <w:name w:val="正文文本缩进 2 字符"/>
    <w:link w:val="23"/>
    <w:qFormat/>
    <w:uiPriority w:val="0"/>
    <w:rPr>
      <w:rFonts w:eastAsia="宋体"/>
      <w:kern w:val="2"/>
      <w:sz w:val="32"/>
      <w:lang w:val="en-US" w:eastAsia="zh-CN" w:bidi="ar-SA"/>
    </w:rPr>
  </w:style>
  <w:style w:type="character" w:customStyle="1" w:styleId="66">
    <w:name w:val="尾注文本 字符"/>
    <w:link w:val="24"/>
    <w:qFormat/>
    <w:uiPriority w:val="0"/>
    <w:rPr>
      <w:rFonts w:ascii="Calibri" w:hAnsi="Calibri"/>
      <w:kern w:val="2"/>
      <w:sz w:val="21"/>
      <w:szCs w:val="22"/>
      <w:lang w:bidi="ar-SA"/>
    </w:rPr>
  </w:style>
  <w:style w:type="character" w:customStyle="1" w:styleId="67">
    <w:name w:val="批注框文本 字符"/>
    <w:link w:val="25"/>
    <w:semiHidden/>
    <w:qFormat/>
    <w:locked/>
    <w:uiPriority w:val="0"/>
    <w:rPr>
      <w:rFonts w:eastAsia="宋体"/>
      <w:kern w:val="2"/>
      <w:sz w:val="18"/>
      <w:szCs w:val="18"/>
      <w:lang w:val="en-US" w:eastAsia="zh-CN" w:bidi="ar-SA"/>
    </w:rPr>
  </w:style>
  <w:style w:type="character" w:customStyle="1" w:styleId="68">
    <w:name w:val="页脚 字符"/>
    <w:link w:val="26"/>
    <w:qFormat/>
    <w:locked/>
    <w:uiPriority w:val="0"/>
    <w:rPr>
      <w:rFonts w:eastAsia="宋体"/>
      <w:kern w:val="2"/>
      <w:sz w:val="18"/>
      <w:szCs w:val="18"/>
      <w:lang w:val="en-US" w:eastAsia="zh-CN" w:bidi="ar-SA"/>
    </w:rPr>
  </w:style>
  <w:style w:type="character" w:customStyle="1" w:styleId="69">
    <w:name w:val="页眉 字符"/>
    <w:link w:val="27"/>
    <w:qFormat/>
    <w:locked/>
    <w:uiPriority w:val="0"/>
    <w:rPr>
      <w:rFonts w:eastAsia="宋体"/>
      <w:kern w:val="2"/>
      <w:sz w:val="18"/>
      <w:szCs w:val="18"/>
      <w:lang w:val="en-US" w:eastAsia="zh-CN" w:bidi="ar-SA"/>
    </w:rPr>
  </w:style>
  <w:style w:type="character" w:customStyle="1" w:styleId="70">
    <w:name w:val="正文文本缩进 3 字符"/>
    <w:link w:val="29"/>
    <w:qFormat/>
    <w:uiPriority w:val="0"/>
    <w:rPr>
      <w:rFonts w:eastAsia="宋体"/>
      <w:kern w:val="2"/>
      <w:sz w:val="16"/>
      <w:szCs w:val="16"/>
      <w:lang w:val="en-US" w:eastAsia="zh-CN" w:bidi="ar-SA"/>
    </w:rPr>
  </w:style>
  <w:style w:type="character" w:customStyle="1" w:styleId="71">
    <w:name w:val="正文文本 2 字符"/>
    <w:link w:val="31"/>
    <w:qFormat/>
    <w:uiPriority w:val="0"/>
    <w:rPr>
      <w:rFonts w:eastAsia="宋体"/>
      <w:kern w:val="2"/>
      <w:sz w:val="21"/>
      <w:szCs w:val="24"/>
      <w:lang w:val="en-US" w:eastAsia="zh-CN" w:bidi="ar-SA"/>
    </w:rPr>
  </w:style>
  <w:style w:type="character" w:customStyle="1" w:styleId="72">
    <w:name w:val="HTML 预设格式 字符"/>
    <w:link w:val="32"/>
    <w:qFormat/>
    <w:uiPriority w:val="0"/>
    <w:rPr>
      <w:rFonts w:ascii="黑体" w:hAnsi="Courier New" w:eastAsia="黑体" w:cs="Courier New"/>
      <w:lang w:val="en-US" w:eastAsia="zh-CN" w:bidi="ar-SA"/>
    </w:rPr>
  </w:style>
  <w:style w:type="character" w:customStyle="1" w:styleId="73">
    <w:name w:val="标题 字符"/>
    <w:link w:val="35"/>
    <w:qFormat/>
    <w:uiPriority w:val="0"/>
    <w:rPr>
      <w:rFonts w:ascii="Arial" w:hAnsi="Arial" w:eastAsia="宋体"/>
      <w:b/>
      <w:bCs/>
      <w:kern w:val="2"/>
      <w:sz w:val="32"/>
      <w:szCs w:val="32"/>
      <w:lang w:bidi="ar-SA"/>
    </w:rPr>
  </w:style>
  <w:style w:type="character" w:customStyle="1" w:styleId="74">
    <w:name w:val="批注主题 字符"/>
    <w:link w:val="36"/>
    <w:semiHidden/>
    <w:qFormat/>
    <w:locked/>
    <w:uiPriority w:val="0"/>
    <w:rPr>
      <w:rFonts w:eastAsia="宋体"/>
      <w:b/>
      <w:bCs/>
      <w:kern w:val="2"/>
      <w:sz w:val="21"/>
      <w:szCs w:val="21"/>
      <w:lang w:val="en-US" w:eastAsia="zh-CN" w:bidi="ar-SA"/>
    </w:rPr>
  </w:style>
  <w:style w:type="paragraph" w:customStyle="1" w:styleId="75">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76">
    <w:name w:val="纯文本 Char1"/>
    <w:qFormat/>
    <w:locked/>
    <w:uiPriority w:val="0"/>
    <w:rPr>
      <w:rFonts w:ascii="宋体" w:hAnsi="Courier New" w:eastAsia="宋体"/>
      <w:kern w:val="2"/>
      <w:sz w:val="21"/>
      <w:lang w:val="en-US" w:eastAsia="zh-CN"/>
    </w:rPr>
  </w:style>
  <w:style w:type="character" w:customStyle="1" w:styleId="77">
    <w:name w:val="param-name"/>
    <w:qFormat/>
    <w:uiPriority w:val="0"/>
    <w:rPr>
      <w:rFonts w:cs="Times New Roman"/>
    </w:rPr>
  </w:style>
  <w:style w:type="character" w:customStyle="1" w:styleId="78">
    <w:name w:val="1ji Char"/>
    <w:link w:val="79"/>
    <w:qFormat/>
    <w:locked/>
    <w:uiPriority w:val="0"/>
    <w:rPr>
      <w:rFonts w:ascii="宋体" w:hAnsi="宋体" w:eastAsia="宋体"/>
      <w:b/>
      <w:kern w:val="44"/>
      <w:sz w:val="44"/>
      <w:lang w:val="en-US" w:eastAsia="zh-CN" w:bidi="ar-SA"/>
    </w:rPr>
  </w:style>
  <w:style w:type="paragraph" w:customStyle="1" w:styleId="79">
    <w:name w:val="1ji"/>
    <w:basedOn w:val="3"/>
    <w:link w:val="78"/>
    <w:qFormat/>
    <w:uiPriority w:val="0"/>
    <w:pPr>
      <w:keepLines w:val="0"/>
      <w:widowControl/>
      <w:spacing w:before="0" w:after="0" w:line="240" w:lineRule="auto"/>
      <w:jc w:val="center"/>
    </w:pPr>
    <w:rPr>
      <w:rFonts w:ascii="宋体" w:hAnsi="宋体"/>
      <w:bCs w:val="0"/>
      <w:szCs w:val="20"/>
    </w:rPr>
  </w:style>
  <w:style w:type="character" w:customStyle="1" w:styleId="80">
    <w:name w:val="文档结构图 Char"/>
    <w:qFormat/>
    <w:locked/>
    <w:uiPriority w:val="0"/>
    <w:rPr>
      <w:rFonts w:ascii="宋体"/>
      <w:kern w:val="2"/>
      <w:sz w:val="18"/>
    </w:rPr>
  </w:style>
  <w:style w:type="character" w:customStyle="1" w:styleId="81">
    <w:name w:val="标题 1 Char1"/>
    <w:qFormat/>
    <w:uiPriority w:val="0"/>
    <w:rPr>
      <w:rFonts w:ascii="Calibri" w:hAnsi="Calibri" w:eastAsia="宋体"/>
      <w:b/>
      <w:kern w:val="44"/>
      <w:sz w:val="24"/>
    </w:rPr>
  </w:style>
  <w:style w:type="character" w:customStyle="1" w:styleId="82">
    <w:name w:val="纯文本 Char"/>
    <w:qFormat/>
    <w:uiPriority w:val="0"/>
    <w:rPr>
      <w:rFonts w:ascii="宋体" w:hAnsi="Courier New" w:eastAsia="宋体"/>
      <w:kern w:val="2"/>
      <w:sz w:val="21"/>
      <w:lang w:val="en-US" w:eastAsia="zh-CN"/>
    </w:rPr>
  </w:style>
  <w:style w:type="paragraph" w:customStyle="1" w:styleId="83">
    <w:name w:val="列出段落1"/>
    <w:basedOn w:val="1"/>
    <w:qFormat/>
    <w:uiPriority w:val="0"/>
    <w:pPr>
      <w:widowControl/>
      <w:spacing w:after="160" w:line="259" w:lineRule="auto"/>
      <w:ind w:left="720"/>
      <w:jc w:val="left"/>
    </w:pPr>
    <w:rPr>
      <w:rFonts w:ascii="Calibri" w:hAnsi="Calibri" w:cs="Calibri"/>
      <w:kern w:val="0"/>
      <w:sz w:val="22"/>
      <w:szCs w:val="22"/>
    </w:rPr>
  </w:style>
  <w:style w:type="paragraph" w:customStyle="1" w:styleId="84">
    <w:name w:val="p0"/>
    <w:basedOn w:val="1"/>
    <w:qFormat/>
    <w:uiPriority w:val="0"/>
    <w:pPr>
      <w:widowControl/>
    </w:pPr>
    <w:rPr>
      <w:kern w:val="0"/>
    </w:rPr>
  </w:style>
  <w:style w:type="paragraph" w:customStyle="1" w:styleId="85">
    <w:name w:val="1"/>
    <w:basedOn w:val="1"/>
    <w:next w:val="21"/>
    <w:qFormat/>
    <w:uiPriority w:val="0"/>
    <w:rPr>
      <w:rFonts w:ascii="宋体" w:hAnsi="Courier New" w:cs="宋体"/>
    </w:rPr>
  </w:style>
  <w:style w:type="paragraph" w:customStyle="1" w:styleId="86">
    <w:name w:val="列出段落11"/>
    <w:basedOn w:val="1"/>
    <w:qFormat/>
    <w:uiPriority w:val="0"/>
    <w:pPr>
      <w:ind w:firstLine="420" w:firstLineChars="200"/>
    </w:pPr>
    <w:rPr>
      <w:rFonts w:ascii="Calibri" w:hAnsi="Calibri" w:cs="Calibri"/>
    </w:rPr>
  </w:style>
  <w:style w:type="paragraph" w:customStyle="1" w:styleId="87">
    <w:name w:val="修订1"/>
    <w:semiHidden/>
    <w:qFormat/>
    <w:uiPriority w:val="0"/>
    <w:rPr>
      <w:rFonts w:ascii="Times New Roman" w:hAnsi="Times New Roman" w:eastAsia="宋体" w:cs="Times New Roman"/>
      <w:kern w:val="2"/>
      <w:sz w:val="21"/>
      <w:szCs w:val="21"/>
      <w:lang w:val="en-US" w:eastAsia="zh-CN" w:bidi="ar-SA"/>
    </w:rPr>
  </w:style>
  <w:style w:type="paragraph" w:customStyle="1" w:styleId="88">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character" w:customStyle="1" w:styleId="89">
    <w:name w:val="Heading 1 Char"/>
    <w:qFormat/>
    <w:locked/>
    <w:uiPriority w:val="0"/>
    <w:rPr>
      <w:rFonts w:eastAsia="宋体"/>
      <w:b/>
      <w:bCs/>
      <w:kern w:val="44"/>
      <w:sz w:val="44"/>
      <w:szCs w:val="44"/>
      <w:lang w:val="en-US" w:eastAsia="zh-CN" w:bidi="ar-SA"/>
    </w:rPr>
  </w:style>
  <w:style w:type="character" w:customStyle="1" w:styleId="90">
    <w:name w:val="Plain Text Char"/>
    <w:qFormat/>
    <w:locked/>
    <w:uiPriority w:val="0"/>
    <w:rPr>
      <w:rFonts w:ascii="宋体" w:hAnsi="Courier New" w:eastAsia="宋体" w:cs="Courier New"/>
      <w:kern w:val="2"/>
      <w:sz w:val="21"/>
      <w:szCs w:val="21"/>
      <w:lang w:val="en-US" w:eastAsia="zh-CN" w:bidi="ar-SA"/>
    </w:rPr>
  </w:style>
  <w:style w:type="paragraph" w:customStyle="1" w:styleId="91">
    <w:name w:val="List Paragraph1"/>
    <w:basedOn w:val="1"/>
    <w:qFormat/>
    <w:uiPriority w:val="0"/>
    <w:pPr>
      <w:ind w:firstLine="420" w:firstLineChars="200"/>
    </w:pPr>
  </w:style>
  <w:style w:type="character" w:customStyle="1" w:styleId="92">
    <w:name w:val="15"/>
    <w:qFormat/>
    <w:uiPriority w:val="0"/>
    <w:rPr>
      <w:rFonts w:hint="default" w:ascii="Times New Roman" w:hAnsi="Times New Roman" w:cs="Times New Roman"/>
      <w:color w:val="0000FF"/>
      <w:u w:val="single"/>
    </w:rPr>
  </w:style>
  <w:style w:type="paragraph" w:customStyle="1" w:styleId="93">
    <w:name w:val="p15"/>
    <w:basedOn w:val="1"/>
    <w:qFormat/>
    <w:uiPriority w:val="0"/>
    <w:pPr>
      <w:widowControl/>
    </w:pPr>
    <w:rPr>
      <w:rFonts w:ascii="宋体" w:hAnsi="宋体" w:cs="宋体"/>
      <w:kern w:val="0"/>
    </w:rPr>
  </w:style>
  <w:style w:type="character" w:customStyle="1" w:styleId="94">
    <w:name w:val="Char Char22"/>
    <w:qFormat/>
    <w:uiPriority w:val="0"/>
    <w:rPr>
      <w:rFonts w:eastAsia="宋体"/>
      <w:sz w:val="24"/>
      <w:lang w:bidi="ar-SA"/>
    </w:rPr>
  </w:style>
  <w:style w:type="character" w:customStyle="1" w:styleId="95">
    <w:name w:val="Plain Text Char1"/>
    <w:semiHidden/>
    <w:qFormat/>
    <w:locked/>
    <w:uiPriority w:val="0"/>
    <w:rPr>
      <w:rFonts w:ascii="宋体" w:hAnsi="Courier New" w:eastAsia="宋体"/>
      <w:kern w:val="2"/>
      <w:sz w:val="21"/>
      <w:lang w:val="en-US" w:eastAsia="zh-CN"/>
    </w:rPr>
  </w:style>
  <w:style w:type="character" w:customStyle="1" w:styleId="96">
    <w:name w:val="无间隔 字符"/>
    <w:link w:val="97"/>
    <w:qFormat/>
    <w:uiPriority w:val="0"/>
    <w:rPr>
      <w:rFonts w:ascii="Calibri" w:hAnsi="Calibri" w:eastAsia="Times New Roman"/>
      <w:sz w:val="22"/>
      <w:szCs w:val="22"/>
      <w:lang w:val="en-US" w:eastAsia="zh-CN" w:bidi="ar-SA"/>
    </w:rPr>
  </w:style>
  <w:style w:type="paragraph" w:styleId="97">
    <w:name w:val="No Spacing"/>
    <w:link w:val="96"/>
    <w:qFormat/>
    <w:uiPriority w:val="0"/>
    <w:rPr>
      <w:rFonts w:ascii="Calibri" w:hAnsi="Calibri" w:eastAsia="Times New Roman" w:cs="Times New Roman"/>
      <w:sz w:val="22"/>
      <w:szCs w:val="22"/>
      <w:lang w:val="en-US" w:eastAsia="zh-CN" w:bidi="ar-SA"/>
    </w:rPr>
  </w:style>
  <w:style w:type="character" w:customStyle="1" w:styleId="98">
    <w:name w:val="自定义标题一 Char Char Char"/>
    <w:link w:val="99"/>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99">
    <w:name w:val="自定义标题一"/>
    <w:basedOn w:val="3"/>
    <w:link w:val="98"/>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100">
    <w:name w:val="Plain Text Char Char"/>
    <w:link w:val="101"/>
    <w:qFormat/>
    <w:uiPriority w:val="0"/>
    <w:rPr>
      <w:rFonts w:ascii="宋体" w:hAnsi="Courier New" w:eastAsia="宋体"/>
      <w:kern w:val="2"/>
      <w:sz w:val="21"/>
      <w:lang w:bidi="ar-SA"/>
    </w:rPr>
  </w:style>
  <w:style w:type="paragraph" w:customStyle="1" w:styleId="101">
    <w:name w:val="纯文本1"/>
    <w:basedOn w:val="1"/>
    <w:link w:val="100"/>
    <w:qFormat/>
    <w:uiPriority w:val="0"/>
    <w:rPr>
      <w:rFonts w:ascii="宋体" w:hAnsi="Courier New"/>
      <w:szCs w:val="20"/>
    </w:rPr>
  </w:style>
  <w:style w:type="character" w:customStyle="1" w:styleId="102">
    <w:name w:val="列出段落 字符"/>
    <w:link w:val="103"/>
    <w:qFormat/>
    <w:uiPriority w:val="0"/>
    <w:rPr>
      <w:rFonts w:ascii="Calibri" w:hAnsi="Calibri" w:eastAsia="宋体"/>
      <w:kern w:val="2"/>
      <w:sz w:val="21"/>
      <w:szCs w:val="22"/>
      <w:lang w:val="en-US" w:eastAsia="zh-CN" w:bidi="ar-SA"/>
    </w:rPr>
  </w:style>
  <w:style w:type="paragraph" w:styleId="103">
    <w:name w:val="List Paragraph"/>
    <w:basedOn w:val="1"/>
    <w:link w:val="102"/>
    <w:qFormat/>
    <w:uiPriority w:val="0"/>
    <w:pPr>
      <w:ind w:firstLine="420" w:firstLineChars="200"/>
    </w:pPr>
    <w:rPr>
      <w:rFonts w:ascii="Calibri" w:hAnsi="Calibri"/>
      <w:szCs w:val="22"/>
    </w:rPr>
  </w:style>
  <w:style w:type="paragraph" w:customStyle="1" w:styleId="104">
    <w:name w:val="标题3"/>
    <w:basedOn w:val="5"/>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10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6">
    <w:name w:val="样式 正文文字 + 小四 段后: 0 磅 行距: 1.5 倍行距"/>
    <w:basedOn w:val="2"/>
    <w:qFormat/>
    <w:uiPriority w:val="0"/>
    <w:pPr>
      <w:spacing w:line="360" w:lineRule="auto"/>
      <w:ind w:firstLine="480" w:firstLineChars="200"/>
    </w:pPr>
    <w:rPr>
      <w:rFonts w:cs="宋体"/>
      <w:szCs w:val="20"/>
    </w:rPr>
  </w:style>
  <w:style w:type="character" w:customStyle="1" w:styleId="107">
    <w:name w:val="Body text|1_"/>
    <w:link w:val="108"/>
    <w:qFormat/>
    <w:locked/>
    <w:uiPriority w:val="0"/>
    <w:rPr>
      <w:rFonts w:ascii="宋体" w:hAnsi="宋体"/>
      <w:sz w:val="30"/>
      <w:szCs w:val="30"/>
      <w:lang w:bidi="ar-SA"/>
    </w:rPr>
  </w:style>
  <w:style w:type="paragraph" w:customStyle="1" w:styleId="108">
    <w:name w:val="Body text|1"/>
    <w:basedOn w:val="1"/>
    <w:link w:val="107"/>
    <w:qFormat/>
    <w:uiPriority w:val="0"/>
    <w:pPr>
      <w:spacing w:line="352" w:lineRule="auto"/>
      <w:ind w:firstLine="400"/>
      <w:jc w:val="left"/>
    </w:pPr>
    <w:rPr>
      <w:rFonts w:ascii="宋体" w:hAnsi="宋体" w:eastAsia="Times New Roman"/>
      <w:kern w:val="0"/>
      <w:sz w:val="30"/>
      <w:szCs w:val="30"/>
    </w:rPr>
  </w:style>
  <w:style w:type="character" w:customStyle="1" w:styleId="109">
    <w:name w:val="Body text|3_"/>
    <w:link w:val="110"/>
    <w:qFormat/>
    <w:locked/>
    <w:uiPriority w:val="0"/>
    <w:rPr>
      <w:rFonts w:ascii="宋体" w:hAnsi="宋体"/>
      <w:sz w:val="34"/>
      <w:szCs w:val="34"/>
      <w:lang w:bidi="ar-SA"/>
    </w:rPr>
  </w:style>
  <w:style w:type="paragraph" w:customStyle="1" w:styleId="110">
    <w:name w:val="Body text|3"/>
    <w:basedOn w:val="1"/>
    <w:link w:val="109"/>
    <w:qFormat/>
    <w:uiPriority w:val="0"/>
    <w:pPr>
      <w:spacing w:after="460"/>
      <w:jc w:val="center"/>
    </w:pPr>
    <w:rPr>
      <w:rFonts w:ascii="宋体" w:hAnsi="宋体" w:eastAsia="Times New Roman"/>
      <w:kern w:val="0"/>
      <w:sz w:val="34"/>
      <w:szCs w:val="34"/>
    </w:rPr>
  </w:style>
  <w:style w:type="character" w:customStyle="1" w:styleId="111">
    <w:name w:val="纯文本 Char3"/>
    <w:qFormat/>
    <w:uiPriority w:val="0"/>
    <w:rPr>
      <w:rFonts w:ascii="宋体" w:hAnsi="Courier New" w:eastAsia="宋体" w:cs="Courier New"/>
      <w:kern w:val="2"/>
      <w:sz w:val="21"/>
      <w:szCs w:val="21"/>
      <w:lang w:val="en-US" w:eastAsia="zh-CN" w:bidi="ar-SA"/>
    </w:rPr>
  </w:style>
  <w:style w:type="character" w:customStyle="1" w:styleId="112">
    <w:name w:val="bookmark-item"/>
    <w:qFormat/>
    <w:uiPriority w:val="0"/>
  </w:style>
  <w:style w:type="character" w:customStyle="1" w:styleId="113">
    <w:name w:val="bookmark-item uuid-1595987359344 code-00004 addword single-line-text-input-box-cls"/>
    <w:qFormat/>
    <w:uiPriority w:val="0"/>
  </w:style>
  <w:style w:type="character" w:customStyle="1" w:styleId="114">
    <w:name w:val="bookmark-item uuid-1595987369689 code-00003 addword single-line-text-input-box-cls"/>
    <w:qFormat/>
    <w:uiPriority w:val="0"/>
  </w:style>
  <w:style w:type="character" w:customStyle="1" w:styleId="115">
    <w:name w:val="bookmark-item uuid-1595987387629 code-am01400034 addword numeric-input-box-cls"/>
    <w:qFormat/>
    <w:uiPriority w:val="0"/>
  </w:style>
  <w:style w:type="character" w:customStyle="1" w:styleId="116">
    <w:name w:val="bookmark-item uuid-1593432150293 code-am014biditemname editdisable single-line-text-input-box-cls"/>
    <w:qFormat/>
    <w:uiPriority w:val="0"/>
  </w:style>
  <w:style w:type="character" w:customStyle="1" w:styleId="117">
    <w:name w:val="bookmark-item uuid-1595941076685 code-am014biditemcount editdisable single-line-text-input-box-cls"/>
    <w:qFormat/>
    <w:uiPriority w:val="0"/>
  </w:style>
  <w:style w:type="character" w:customStyle="1" w:styleId="118">
    <w:name w:val="bookmark-item uuid-1593421137256 code-am014budgetprice editdisable single-line-text-input-box-cls"/>
    <w:qFormat/>
    <w:uiPriority w:val="0"/>
  </w:style>
  <w:style w:type="character" w:customStyle="1" w:styleId="119">
    <w:name w:val="bookmark-item uuid-1593421202487 code-am014briefspecificationdesc editdisable single-line-text-input-box-cls"/>
    <w:qFormat/>
    <w:uiPriority w:val="0"/>
  </w:style>
  <w:style w:type="character" w:customStyle="1" w:styleId="120">
    <w:name w:val="bookmark-item uuid-1593432166973 code-am014remarks editdisable single-line-text-input-box-cls"/>
    <w:qFormat/>
    <w:uiPriority w:val="0"/>
  </w:style>
  <w:style w:type="character" w:customStyle="1" w:styleId="121">
    <w:name w:val="bookmark-item uuid-1595987425520 code-23021 editdisable multi-line-text-input-box-cls readonly"/>
    <w:qFormat/>
    <w:uiPriority w:val="0"/>
  </w:style>
  <w:style w:type="character" w:customStyle="1" w:styleId="122">
    <w:name w:val="bookmark-item uuid-1596276761070 code-22002 editdisable multi-line-text-input-box-cls readonly"/>
    <w:qFormat/>
    <w:uiPriority w:val="0"/>
  </w:style>
  <w:style w:type="character" w:customStyle="1" w:styleId="123">
    <w:name w:val="bookmark-item uuid-1595987985571 code-25003 addword date-selection-cls"/>
    <w:qFormat/>
    <w:uiPriority w:val="0"/>
  </w:style>
  <w:style w:type="character" w:customStyle="1" w:styleId="124">
    <w:name w:val="bookmark-item uuid-1595987959773 code-25004 editdisable date-selection-cls readonly"/>
    <w:qFormat/>
    <w:uiPriority w:val="0"/>
  </w:style>
  <w:style w:type="character" w:customStyle="1" w:styleId="125">
    <w:name w:val="bookmark-item uuid-1595988019709 code-25005 addword morning-time-section-selection-cls"/>
    <w:qFormat/>
    <w:uiPriority w:val="0"/>
  </w:style>
  <w:style w:type="character" w:customStyle="1" w:styleId="126">
    <w:name w:val="bookmark-item uuid-1595988030421 code-25006 addword afternoon-time-section-selection-cls"/>
    <w:qFormat/>
    <w:uiPriority w:val="0"/>
  </w:style>
  <w:style w:type="character" w:customStyle="1" w:styleId="127">
    <w:name w:val="bookmark-item uuid-1595988073673 code-25007 editdisable single-line-text-input-box-cls readonly"/>
    <w:qFormat/>
    <w:uiPriority w:val="0"/>
  </w:style>
  <w:style w:type="character" w:customStyle="1" w:styleId="128">
    <w:name w:val="bookmark-item uuid-1595988080611 code-25008 editdisable single-line-text-input-box-cls readonly"/>
    <w:qFormat/>
    <w:uiPriority w:val="0"/>
  </w:style>
  <w:style w:type="character" w:customStyle="1" w:styleId="129">
    <w:name w:val="bookmark-item uuid-1595988095908 code-25009 addword numeric-input-box-cls"/>
    <w:qFormat/>
    <w:uiPriority w:val="0"/>
  </w:style>
  <w:style w:type="character" w:customStyle="1" w:styleId="130">
    <w:name w:val="bookmark-item uuid-1595988122451 code-25011 addword date-time-selection-cls"/>
    <w:qFormat/>
    <w:uiPriority w:val="0"/>
  </w:style>
  <w:style w:type="character" w:customStyle="1" w:styleId="131">
    <w:name w:val="bookmark-item uuid-1595988200124 code-25012 editdisable single-line-text-input-box-cls readonly"/>
    <w:qFormat/>
    <w:uiPriority w:val="0"/>
  </w:style>
  <w:style w:type="character" w:customStyle="1" w:styleId="132">
    <w:name w:val="bookmark-item uuid-1595988227171 code-25011 addword date-time-selection-cls"/>
    <w:qFormat/>
    <w:uiPriority w:val="0"/>
  </w:style>
  <w:style w:type="character" w:customStyle="1" w:styleId="133">
    <w:name w:val="bookmark-item uuid-1595988252461 code-25015 editdisable single-line-text-input-box-cls readonly"/>
    <w:qFormat/>
    <w:uiPriority w:val="0"/>
  </w:style>
  <w:style w:type="character" w:customStyle="1" w:styleId="134">
    <w:name w:val="bookmark-item uuid-1589194982864 code-31006 addword multi-line-text-input-box-cls"/>
    <w:qFormat/>
    <w:uiPriority w:val="0"/>
  </w:style>
  <w:style w:type="character" w:customStyle="1" w:styleId="135">
    <w:name w:val="bookmark-item uuid-1596004663203 code-00014 editdisable interval-text-box-cls readonly"/>
    <w:qFormat/>
    <w:uiPriority w:val="0"/>
  </w:style>
  <w:style w:type="character" w:customStyle="1" w:styleId="136">
    <w:name w:val="bookmark-item uuid-1596004672274 code-00018 addword single-line-text-input-box-cls"/>
    <w:qFormat/>
    <w:uiPriority w:val="0"/>
  </w:style>
  <w:style w:type="character" w:customStyle="1" w:styleId="137">
    <w:name w:val="bookmark-item uuid-1596004688403 code-00015 editdisable single-line-text-input-box-cls readonly"/>
    <w:qFormat/>
    <w:uiPriority w:val="0"/>
  </w:style>
  <w:style w:type="character" w:customStyle="1" w:styleId="138">
    <w:name w:val="bookmark-item uuid-1596004695990 code-00016 editdisable single-line-text-input-box-cls readonly"/>
    <w:qFormat/>
    <w:uiPriority w:val="0"/>
  </w:style>
  <w:style w:type="character" w:customStyle="1" w:styleId="139">
    <w:name w:val="bookmark-item uuid-1596004721081 code-00009 addword interval-text-box-cls"/>
    <w:qFormat/>
    <w:uiPriority w:val="0"/>
  </w:style>
  <w:style w:type="character" w:customStyle="1" w:styleId="140">
    <w:name w:val="bookmark-item uuid-1596004728442 code-00013 editdisable single-line-text-input-box-cls readonly"/>
    <w:qFormat/>
    <w:uiPriority w:val="0"/>
  </w:style>
  <w:style w:type="character" w:customStyle="1" w:styleId="141">
    <w:name w:val="bookmark-item uuid-1596004745033 code-00010 editdisable single-line-text-input-box-cls readonly"/>
    <w:qFormat/>
    <w:uiPriority w:val="0"/>
  </w:style>
  <w:style w:type="character" w:customStyle="1" w:styleId="142">
    <w:name w:val="bookmark-item uuid-1596004753055 code-00011 addword single-line-text-input-box-cls"/>
    <w:qFormat/>
    <w:uiPriority w:val="0"/>
  </w:style>
  <w:style w:type="character" w:customStyle="1" w:styleId="143">
    <w:name w:val="ca-32"/>
    <w:qFormat/>
    <w:uiPriority w:val="0"/>
  </w:style>
  <w:style w:type="paragraph" w:customStyle="1" w:styleId="144">
    <w:name w:val="文档正文"/>
    <w:qFormat/>
    <w:uiPriority w:val="0"/>
    <w:pPr>
      <w:widowControl w:val="0"/>
      <w:adjustRightInd w:val="0"/>
      <w:spacing w:line="480" w:lineRule="atLeast"/>
      <w:jc w:val="both"/>
      <w:textAlignment w:val="baseline"/>
    </w:pPr>
    <w:rPr>
      <w:rFonts w:ascii="宋体" w:hAnsi="Arial" w:eastAsia="宋体" w:cs="Times New Roman"/>
      <w:sz w:val="21"/>
      <w:szCs w:val="24"/>
      <w:lang w:val="en-US" w:eastAsia="zh-CN" w:bidi="ar-SA"/>
    </w:rPr>
  </w:style>
  <w:style w:type="paragraph" w:customStyle="1" w:styleId="145">
    <w:name w:val="BodyText"/>
    <w:qFormat/>
    <w:uiPriority w:val="0"/>
    <w:pPr>
      <w:spacing w:line="360" w:lineRule="auto"/>
      <w:jc w:val="both"/>
      <w:textAlignment w:val="baseline"/>
    </w:pPr>
    <w:rPr>
      <w:rFonts w:ascii="Times New Roman" w:hAnsi="Times New Roman" w:eastAsia="宋体" w:cs="Times New Roman"/>
      <w:kern w:val="2"/>
      <w:sz w:val="24"/>
      <w:szCs w:val="24"/>
      <w:lang w:val="en-US" w:eastAsia="zh-CN" w:bidi="ar-SA"/>
    </w:rPr>
  </w:style>
  <w:style w:type="character" w:customStyle="1" w:styleId="146">
    <w:name w:val="headline-content2"/>
    <w:qFormat/>
    <w:uiPriority w:val="0"/>
    <w:rPr>
      <w:rFonts w:eastAsia="宋体"/>
      <w:sz w:val="24"/>
    </w:rPr>
  </w:style>
  <w:style w:type="paragraph" w:customStyle="1" w:styleId="147">
    <w:name w:val="标准文本"/>
    <w:basedOn w:val="1"/>
    <w:qFormat/>
    <w:uiPriority w:val="0"/>
    <w:pPr>
      <w:ind w:firstLine="480"/>
    </w:pPr>
    <w:rPr>
      <w:rFonts w:cs="宋体"/>
    </w:rPr>
  </w:style>
  <w:style w:type="paragraph" w:customStyle="1" w:styleId="148">
    <w:name w:val="gxibvc-正文"/>
    <w:basedOn w:val="1"/>
    <w:qFormat/>
    <w:uiPriority w:val="0"/>
    <w:pPr>
      <w:snapToGrid w:val="0"/>
      <w:spacing w:line="560" w:lineRule="atLeast"/>
      <w:ind w:firstLine="200" w:firstLineChars="200"/>
    </w:pPr>
    <w:rPr>
      <w:rFonts w:ascii="仿宋_GB2312" w:hAnsi="仿宋_GB2312" w:eastAsia="仿宋_GB2312"/>
      <w:sz w:val="32"/>
      <w:szCs w:val="32"/>
    </w:rPr>
  </w:style>
  <w:style w:type="paragraph" w:customStyle="1" w:styleId="149">
    <w:name w:val="gxibvc-1"/>
    <w:basedOn w:val="3"/>
    <w:qFormat/>
    <w:uiPriority w:val="0"/>
    <w:pPr>
      <w:spacing w:line="600" w:lineRule="exact"/>
      <w:jc w:val="center"/>
    </w:pPr>
    <w:rPr>
      <w:rFonts w:ascii="方正小标宋简体" w:eastAsia="方正小标宋简体"/>
    </w:rPr>
  </w:style>
  <w:style w:type="character" w:customStyle="1" w:styleId="150">
    <w:name w:val="font01"/>
    <w:qFormat/>
    <w:uiPriority w:val="0"/>
    <w:rPr>
      <w:rFonts w:hint="eastAsia" w:ascii="宋体" w:hAnsi="宋体" w:eastAsia="宋体" w:cs="宋体"/>
      <w:color w:val="000000"/>
      <w:sz w:val="21"/>
      <w:szCs w:val="21"/>
      <w:u w:val="none"/>
    </w:rPr>
  </w:style>
  <w:style w:type="character" w:customStyle="1" w:styleId="151">
    <w:name w:val="font21"/>
    <w:qFormat/>
    <w:uiPriority w:val="0"/>
    <w:rPr>
      <w:rFonts w:hint="eastAsia" w:ascii="宋体" w:hAnsi="宋体" w:eastAsia="宋体" w:cs="宋体"/>
      <w:color w:val="000000"/>
      <w:sz w:val="20"/>
      <w:szCs w:val="20"/>
      <w:u w:val="none"/>
    </w:rPr>
  </w:style>
  <w:style w:type="paragraph" w:customStyle="1" w:styleId="15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53">
    <w:name w:val="正文（360）"/>
    <w:qFormat/>
    <w:uiPriority w:val="0"/>
    <w:pPr>
      <w:spacing w:before="78" w:after="78" w:line="276" w:lineRule="auto"/>
      <w:ind w:left="1" w:hanging="1"/>
      <w:jc w:val="center"/>
    </w:pPr>
    <w:rPr>
      <w:rFonts w:ascii="微软雅黑" w:hAnsi="微软雅黑" w:eastAsia="微软雅黑" w:cs="Times New Roman"/>
      <w:b/>
      <w:sz w:val="24"/>
      <w:szCs w:val="24"/>
      <w:lang w:val="en-US" w:eastAsia="zh-CN" w:bidi="ar-SA"/>
    </w:rPr>
  </w:style>
  <w:style w:type="character" w:customStyle="1" w:styleId="154">
    <w:name w:val="font51"/>
    <w:basedOn w:val="41"/>
    <w:qFormat/>
    <w:uiPriority w:val="0"/>
    <w:rPr>
      <w:rFonts w:hint="eastAsia" w:ascii="宋体" w:hAnsi="宋体" w:eastAsia="宋体" w:cs="宋体"/>
      <w:color w:val="000000"/>
      <w:sz w:val="20"/>
      <w:szCs w:val="20"/>
      <w:u w:val="none"/>
    </w:rPr>
  </w:style>
  <w:style w:type="character" w:customStyle="1" w:styleId="155">
    <w:name w:val="font41"/>
    <w:basedOn w:val="41"/>
    <w:qFormat/>
    <w:uiPriority w:val="0"/>
    <w:rPr>
      <w:rFonts w:hint="eastAsia" w:ascii="宋体" w:hAnsi="宋体" w:eastAsia="宋体" w:cs="宋体"/>
      <w:color w:val="000000"/>
      <w:sz w:val="22"/>
      <w:szCs w:val="22"/>
      <w:u w:val="none"/>
      <w:vertAlign w:val="superscript"/>
    </w:rPr>
  </w:style>
  <w:style w:type="character" w:customStyle="1" w:styleId="156">
    <w:name w:val="font71"/>
    <w:basedOn w:val="41"/>
    <w:qFormat/>
    <w:uiPriority w:val="0"/>
    <w:rPr>
      <w:rFonts w:hint="eastAsia" w:ascii="宋体" w:hAnsi="宋体" w:eastAsia="宋体" w:cs="宋体"/>
      <w:color w:val="000000"/>
      <w:sz w:val="20"/>
      <w:szCs w:val="20"/>
      <w:u w:val="none"/>
    </w:rPr>
  </w:style>
  <w:style w:type="character" w:customStyle="1" w:styleId="157">
    <w:name w:val="font11"/>
    <w:basedOn w:val="41"/>
    <w:qFormat/>
    <w:uiPriority w:val="0"/>
    <w:rPr>
      <w:rFonts w:hint="eastAsia" w:ascii="宋体" w:hAnsi="宋体" w:eastAsia="宋体" w:cs="宋体"/>
      <w:b/>
      <w:bCs/>
      <w:color w:val="000000"/>
      <w:sz w:val="22"/>
      <w:szCs w:val="22"/>
      <w:u w:val="none"/>
    </w:rPr>
  </w:style>
  <w:style w:type="character" w:customStyle="1" w:styleId="158">
    <w:name w:val="bookmark-item uuid-1595941042480 code-am014sectionno editdisable single-line-text-input-box-cls"/>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25920</Words>
  <Characters>27610</Characters>
  <Lines>297</Lines>
  <Paragraphs>83</Paragraphs>
  <TotalTime>20</TotalTime>
  <ScaleCrop>false</ScaleCrop>
  <LinksUpToDate>false</LinksUpToDate>
  <CharactersWithSpaces>30004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2023-06-13T07:38:00Z</dcterms:created>
  <dc:creator>Administrator</dc:creator>
  <cp:lastModifiedBy>NTKO</cp:lastModifiedBy>
  <cp:lastPrinted>2023-06-12T01:26:00Z</cp:lastPrinted>
  <dcterms:modified xsi:type="dcterms:W3CDTF">2023-10-19T03:40:59Z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6F52FF9D0BB74EEC8580CCD908BF6B19_13</vt:lpwstr>
  </property>
</Properties>
</file>