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cs="宋体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>华夏城投项目管理有限公司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>关</w:t>
      </w: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>于中国检验认证集团广西有限公司办公家具采购项目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>（项目编号：</w:t>
      </w: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>HXCTGXH-GGZB-2024-002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>）</w:t>
      </w: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>更改公告</w:t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562"/>
        <w:jc w:val="left"/>
        <w:textAlignment w:val="auto"/>
        <w:rPr>
          <w:rFonts w:hint="eastAsia" w:ascii="宋体" w:hAnsi="宋体" w:eastAsia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一、采购项目名称：</w:t>
      </w:r>
      <w:r>
        <w:rPr>
          <w:rFonts w:hint="eastAsia" w:ascii="宋体" w:hAnsi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中国检验认证集团广西有限公司办公家具采购项目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562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二、采购项目编号：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HXCTGXH-GGZB-2024-002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562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三、采购人名称：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中国检验认证集团广西有限公司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562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四、采购代理机构名称：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华夏城投项目管理有限公司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562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五、首次公告日期：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2024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年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月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日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562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六、更改日期：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2024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年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月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15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日 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562"/>
        <w:jc w:val="left"/>
        <w:textAlignment w:val="auto"/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七、现对采购</w:t>
      </w:r>
      <w:r>
        <w:rPr>
          <w:rFonts w:hint="eastAsia" w:ascii="宋体" w:hAnsi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文件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部分内容做出如下</w:t>
      </w:r>
      <w:r>
        <w:rPr>
          <w:rFonts w:hint="eastAsia" w:ascii="宋体" w:hAnsi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更改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479" w:leftChars="228" w:right="0" w:firstLine="0" w:firstLineChars="0"/>
        <w:jc w:val="left"/>
        <w:rPr>
          <w:rFonts w:hint="default" w:ascii="宋体" w:hAnsi="宋体" w:eastAsia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更改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项1：</w:t>
      </w:r>
      <w:r>
        <w:rPr>
          <w:rFonts w:hint="eastAsia" w:ascii="宋体" w:hAnsi="宋体" w:eastAsia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原</w:t>
      </w:r>
      <w:r>
        <w:rPr>
          <w:rFonts w:hint="eastAsia" w:ascii="宋体" w:hAnsi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询比</w:t>
      </w:r>
      <w:r>
        <w:rPr>
          <w:rFonts w:hint="eastAsia" w:ascii="宋体" w:hAnsi="宋体" w:eastAsia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文件第五章</w:t>
      </w:r>
      <w:r>
        <w:rPr>
          <w:rFonts w:hint="eastAsia" w:ascii="宋体" w:hAnsi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采购需求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482" w:firstLineChars="200"/>
        <w:jc w:val="left"/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更改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前内容：</w:t>
      </w:r>
    </w:p>
    <w:tbl>
      <w:tblPr>
        <w:tblStyle w:val="8"/>
        <w:tblW w:w="9811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1"/>
        <w:gridCol w:w="1622"/>
        <w:gridCol w:w="832"/>
        <w:gridCol w:w="1078"/>
        <w:gridCol w:w="5263"/>
        <w:gridCol w:w="50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981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4"/>
                <w:szCs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4"/>
                <w:szCs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一、采购需求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</w:trPr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图片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品名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规格</w:t>
            </w:r>
          </w:p>
        </w:tc>
        <w:tc>
          <w:tcPr>
            <w:tcW w:w="5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4"/>
                <w:szCs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材质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4"/>
                <w:szCs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981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一、20F环境事业部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25830" cy="1149350"/>
                  <wp:effectExtent l="0" t="0" r="1270" b="6350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11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折叠床（含床柜）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2050*600</w:t>
            </w:r>
          </w:p>
        </w:tc>
        <w:tc>
          <w:tcPr>
            <w:tcW w:w="5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1、面料：高档麻质面料/绒布/科技布等。床垫夹板底部用110g无纺布封盖，使其夹板不暴露在视线范围内。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2、主材：用195国标钢管,脚架采用40*40*1.0mm厚专用钢管；连接位使用2.0mm扁铁焊接，中间安装万向轮的圆管采用1.5和2.5mm超厚钢管焊接而成，经久耐用，永不断裂；主架采用30*15*1.0mm扁管，底盘活动连接支架采用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20*10*1.0mm方管；海棉软包采用优质高密度回弹新棉，不易变型，无异味；采用优质静音尼龙轮，能有效减少收拉时的噪音，采用优质E1级9mm环保夹板，并预埋T母永不脱锐落(不上自攻丝)；承重160公斤。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3、喷漆：经过酸洗、灰磷化等严格的表面处理工序后喷涂烤漆、不易脱落不易生锈，全静电全新金属喷粉工艺，着附力高，漆面亮丽坚固耐用。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4、海绵：采用高密度定型海绵，无胶水粘合，环保健康，耐久性强不易变型不塌陷；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5、脚轮：强化合成尼龙纤维树脂材料制成，滑动时无杂音、活动自如。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52805" cy="1115060"/>
                  <wp:effectExtent l="0" t="0" r="10795" b="2540"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1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活动柜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5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1、面板：台面板采用E1级三聚氰胺板，弹性好，耐撞击，一次性成型不脱离；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2、封边：PVC封边与贴面同色，2mm厚PVC胶边，进口热熔胶；。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3、基材：相当于露水河、大亚、福人品牌或同等级及以上品质刨花板，甲醛释放量≤0.01mg/m³，经过防潮、防虫、防腐化学处理，干燥率低于10﹪含水率。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4、五金：配拉手，带锁，含活动轮；为钢抽带文件架，配置三节优质路轨。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（两小一大抽）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32180" cy="1005205"/>
                  <wp:effectExtent l="0" t="0" r="7620" b="10795"/>
                  <wp:docPr id="21" name="图片 20" descr="9b62e1fd3e1704ff9026126d5433a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9b62e1fd3e1704ff9026126d5433ab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职员椅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5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1、面料:选用优质网布,耐磨性强,阻燃,经防污处理,清洁方便；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2、辅料:相当于杜邦、宝龙、惠丰或同等品牌的PU成型发泡高密度海绵,表面有一层保护面,可防氧化,防碎,经过HD测试永不变形；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3、配件:采用100沉口5公分黑色汽杆（受力250kg），伸缩30万次不漏气；PP连体固定扶手；中班蝴蝶底盘带原位锁定；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4、脚架:采用美国杜邦尼龙纤维制成,间隙误差在1%毫米左右,移杂音注,耐磨性大，φ50MM黑色尼龙脚轮。</w:t>
            </w:r>
          </w:p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提供委托单位为投标人的2022年1月1日至投标截止日前第三方检测机构出具的具有CMA及CNAS标识的《布料》抽样检测报告扫描件，及报告在全国认证认可信息公共服务平台（http://cx.cnca.cn/CertECloud/qts/qts/qtsPage?currentPosition）查询截图或检验检测机构官网查询截图，报告内容满足以下标准及参数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检验依据为GB 18401-2010《国家纺织产品基本安全技术规范》，GB/T4668-1995《机织物密度的测定》，GB/T4669-2008《纺织品 机织物 单位长度质量和单位面积质量的测定》，GB 17927.2-2011《软体家具 床垫和沙发  抗引燃特性的评定  第2部分：模拟火柴火焰》， 检测内容包括但不限于：面层：经密：≥677根，纬密：≥216根。底层：经密：≥730根，纬密：≥140根，面积质量：面层面料：≥445g/㎡，底层面料：≥400g/㎡。甲醛含量：未检出,pH值：6.0～6.5。染色牢度：耐水：变色≥4-5级，沾色≥4-5级;耐酸汗渍：变色≥4-5级，沾色≥4级;耐碱汗渍：变色≥4-5级，沾色≥4-5级;耐干摩擦：经向≥4-5级，纬向≥4-5级;可分解致癌芳香胺染料：未检出;抗引燃特性一模拟火柴火焰：试件表面或内部未发现续燃或阴燃现象。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19175" cy="715645"/>
                  <wp:effectExtent l="0" t="0" r="9525" b="8255"/>
                  <wp:docPr id="2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沙发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三人位</w:t>
            </w:r>
          </w:p>
        </w:tc>
        <w:tc>
          <w:tcPr>
            <w:tcW w:w="5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1.面料：优质进口头层黄牛皮饰面，透气好。经液氨多道浸色及防潮、防腐等工艺处理，面料柔软舒适，光泽持久性好，坐感舒适；厚度达到0.9-1.5MM，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2.海绵：优质高弹力海绵，密度≥32KG/M3，回弹率≥35%，压陷性能；压陷25%时的硬度≥80， 60%/25%压线比≥1.8，具有硬度适中，不变形等特点。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3.实木外架：优质胡桃实木框架，材质坚硬、刚性强，不易腐蚀、抗弯强度适中、断裂强度适中，经防虫防腐剂处理、具有很好的油漆与染料的保持能力及尺寸的稳定性，含水率低于12%。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4、锰钢蛇簧加平衡线处理，永不变形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5、不锈钢沙发脚架</w:t>
            </w:r>
          </w:p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提供委托单位为投标人的2022年1月1日至投标截止日前第三方检测机构出具的具有CMA及CNAS标识的《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牛皮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》抽样检测报告扫描件，及报告在全国认证认可信息公共服务平台（http://cx.cnca.cn/CertECloud/qts/qts/qtsPage?currentPosition）查询截图或检验检测机构官网查询截图，报告内容满足以下标准及参数：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；检验依据为：GB/T 16799-2018《家具用皮革》,GB 20400-2006《皮革和毛皮 有害物质限量》；检测内容包括但不限于：耐光性达到5级，耐折牢度（50000次）无裂纹，耐磨性（CS-10,500g，500r）试验，光面革无明显损伤、剥落，撕裂力≥95/N，pH≥6，游离甲醛、可萃取重金属（铅、镉）未检出，禁用偶氮染料未检出，挥发性有机物（VOC)≤10mg/kg（未检出），涂层粘着牢度≥6.5N/10mm，感官要求：全张革应厚薄基本均匀，无油腻感(油蜡革除外)。革身应平整、柔软、丰满有弹性。正面革应不裂面、无管皱，主要部位不得松面。涂饰革涂饰均匀，不掉浆，不裂浆。绒面革绒毛均匀，颜色基本一致。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</w:tbl>
    <w:p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480" w:firstLineChars="200"/>
        <w:jc w:val="left"/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482" w:firstLineChars="200"/>
        <w:jc w:val="left"/>
        <w:rPr>
          <w:rFonts w:hint="eastAsia" w:hAnsi="宋体" w:cs="微软雅黑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更改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后内容：</w:t>
      </w:r>
    </w:p>
    <w:tbl>
      <w:tblPr>
        <w:tblStyle w:val="8"/>
        <w:tblW w:w="9811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1"/>
        <w:gridCol w:w="1622"/>
        <w:gridCol w:w="893"/>
        <w:gridCol w:w="1017"/>
        <w:gridCol w:w="5263"/>
        <w:gridCol w:w="50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981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4"/>
                <w:szCs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4"/>
                <w:szCs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一、采购需求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</w:trPr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图片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品名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规格</w:t>
            </w:r>
          </w:p>
        </w:tc>
        <w:tc>
          <w:tcPr>
            <w:tcW w:w="5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4"/>
                <w:szCs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材质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4"/>
                <w:szCs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981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一、20F环境事业部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69975" cy="1459230"/>
                  <wp:effectExtent l="0" t="0" r="9525" b="1270"/>
                  <wp:docPr id="10" name="ID_BD0F581EA53146F0BB47DC071FF4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D_BD0F581EA53146F0BB47DC071FF414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6873" t="5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45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会客椅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常规</w:t>
            </w:r>
          </w:p>
        </w:tc>
        <w:tc>
          <w:tcPr>
            <w:tcW w:w="5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1、材料：黑色PP料背架，优质网布饰面，透气好。经液氨多道浸色及防潮、防腐等工艺处理，面料柔软舒适，光泽持久性好，坐感舒适；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2、海绵：优质海绵，密度≥32KG/M3,伸长率≥140mm，撕裂强度≥1.7N/CM，回弹率≥35%，拉伸强度≥85Kpa，75%压缩率永久变形≤10%，撕裂强度≥2.0N/cm，压陷性能；压陷25%时的硬度≥80， 60%/25%压线比≥1.8，具有硬度适中，不变形等特点。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3.∮25管1.8壁厚扶手连体电镀弓形架，黑色PU扶手面                                                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4.说明：设计根据人体工学原理，底部装脚钉，拖动无声响。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27380" cy="944880"/>
                  <wp:effectExtent l="0" t="0" r="7620" b="7620"/>
                  <wp:docPr id="18" name="图片 18" descr="59e12ccd5e8b5943ece309223a669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59e12ccd5e8b5943ece309223a669e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814" t="18221" r="58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方茶几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500*500*500</w:t>
            </w:r>
          </w:p>
        </w:tc>
        <w:tc>
          <w:tcPr>
            <w:tcW w:w="5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1、黑砂喷涂实芯不锈钢支撑脚架，质感细腻，防锈防腐；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2、台面：大理石中花白台面，纯天然选材，环保耐用；高压高温1200°燃烧而成，硬度高、耐高温、易清洁；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997585" cy="572770"/>
                  <wp:effectExtent l="0" t="0" r="5715" b="11430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屏风卡位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1200*1400*1200</w:t>
            </w:r>
          </w:p>
        </w:tc>
        <w:tc>
          <w:tcPr>
            <w:tcW w:w="5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1、配置功能：屏风+台面板+台脚+线槽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2、面材：采用E1级MFC三聚氰胺板贴面,经防潮、 防腐、 防虫处理,甲醛释放量≤0.5mg/L，达到GB18580-2001的测试标准；桌板蝶形台面，边形打磨。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2.基材：进口环保标准E1级刨花板（相当于福人、大亚、丰林牌或其它同等品牌）甲醛释放量≤0.5mg/L；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3.封边：台湾硕泰PVC封边、兔宝宝、百强或其它同等品牌，封边严密、平整，整块板材严丝合缝，不允许脱胶及表面胶渍；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4.屏风为双面全钢板，带玻璃主屏厚度≥40mm，过线侧屏厚度≥60mm-80mm，钢板厚度为1.0mm，具有强大的强弱电隐藏式走线功能。配置上线管及桌下走线槽，台面采用铝合金翻盖线盒。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5.框架：优质铝合金框架结构。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6.配置线盒及上下线槽、键盘架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39"/>
              </w:tabs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25830" cy="1149350"/>
                  <wp:effectExtent l="0" t="0" r="1270" b="6350"/>
                  <wp:docPr id="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11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折叠床（含床柜）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2050*600</w:t>
            </w:r>
          </w:p>
        </w:tc>
        <w:tc>
          <w:tcPr>
            <w:tcW w:w="5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1、面料：高档麻质面料/绒布/科技布等。床垫夹板底部用110g无纺布封盖，使其夹板不暴露在视线范围内。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2、主材：用195国标钢管,脚架采用40*40*1.0mm厚专用钢管；连接位使用2.0mm扁铁焊接，中间安装万向轮的圆管采用1.5和2.5mm超厚钢管焊接而成，经久耐用，永不断裂；主架采用30*15*1.0mm扁管，底盘活动连接支架采用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20*10*1.0mm方管；海棉软包采用优质高密度回弹新棉，不易变型，无异味；采用优质静音尼龙轮，能有效减少收拉时的噪音，采用优质E1级9mm环保夹板，并预埋T母永不脱锐落(不上自攻丝)；承重160公斤。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3、喷漆：经过酸洗、灰磷化等严格的表面处理工序后喷涂烤漆、不易脱落不易生锈，全静电全新金属喷粉工艺，着附力高，漆面亮丽坚固耐用。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4、海绵：采用高密度定型海绵，无胶水粘合，环保健康，耐久性强不易变型不塌陷；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5、脚轮：强化合成尼龙纤维树脂材料制成，滑动时无杂音、活动自如。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52805" cy="1115060"/>
                  <wp:effectExtent l="0" t="0" r="10795" b="2540"/>
                  <wp:docPr id="2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1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活动柜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5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1、面板：台面板采用E1级三聚氰胺板，弹性好，耐撞击，一次性成型不脱离；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2、封边：PVC封边与贴面同色，2mm厚PVC胶边，进口热熔胶；。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3、基材：相当于露水河、大亚、福人品牌或同等级及以上品质刨花板，甲醛释放量≤0.01mg/m³，经过防潮、防虫、防腐化学处理，干燥率低于10﹪含水率。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4、五金：配拉手，带锁，含活动轮；为钢抽带文件架，配置三节优质路轨。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（两小一大抽）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32180" cy="1005205"/>
                  <wp:effectExtent l="0" t="0" r="7620" b="10795"/>
                  <wp:docPr id="3" name="图片 20" descr="9b62e1fd3e1704ff9026126d5433a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0" descr="9b62e1fd3e1704ff9026126d5433ab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职员椅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5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1、面料:选用优质网布,耐磨性强,阻燃,经防污处理,清洁方便；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2、辅料:相当于杜邦、宝龙、惠丰或同等品牌的PU成型发泡高密度海绵,表面有一层保护面,可防氧化,防碎,经过HD测试永不变形；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3、配件:采用100沉口5公分黑色汽杆（受力250kg），伸缩30万次不漏气；PP连体固定扶手；中班蝴蝶底盘带原位锁定；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4、脚架:采用美国杜邦尼龙纤维制成,间隙误差在1%毫米左右,移杂音注,耐磨性大，φ50MM黑色尼龙脚轮。</w:t>
            </w:r>
          </w:p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提供委托单位为投标人的2022年1月1日至投标截止日前第三方检测机构出具的具有CMA及CNAS标识的《布料》抽样检测报告扫描件，及报告在全国认证认可信息公共服务平台（http://cx.cnca.cn/CertECloud/qts/qts/qtsPage?currentPosition）查询截图或检验检测机构官网查询截图，报告内容满足以下标准及参数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检验依据为GB 18401-2010《国家纺织产品基本安全技术规范》，GB/T4668-1995《机织物密度的测定》，GB/T4669-2008《纺织品 机织物 单位长度质量和单位面积质量的测定》，GB 17927.2-2011《软体家具 床垫和沙发  抗引燃特性的评定  第2部分：模拟火柴火焰》， 检测内容包括但不限于：面层：经密：≥677根，纬密：≥216根。底层：经密：≥730根，纬密：≥140根，面积质量：面层面料：≥445g/㎡，底层面料：≥400g/㎡。甲醛含量：未检出,pH值：6.0～6.5。染色牢度：耐水：变色≥4-5级，沾色≥4-5级;耐酸汗渍：变色≥4-5级，沾色≥4级;耐碱汗渍：变色≥4-5级，沾色≥4-5级;耐干摩擦：经向≥4-5级，纬向≥4-5级;可分解致癌芳香胺染料：未检出;抗引燃特性一模拟火柴火焰：试件表面或内部未发现续燃或阴燃现象。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19175" cy="715645"/>
                  <wp:effectExtent l="0" t="0" r="9525" b="8255"/>
                  <wp:docPr id="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沙发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三人位</w:t>
            </w:r>
          </w:p>
        </w:tc>
        <w:tc>
          <w:tcPr>
            <w:tcW w:w="5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1.面料：优质进口头层黄牛皮饰面，透气好。经液氨多道浸色及防潮、防腐等工艺处理，面料柔软舒适，光泽持久性好，坐感舒适；厚度达到0.9-1.5MM，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2.海绵：优质高弹力海绵，密度≥32KG/M3，回弹率≥35%，压陷性能；压陷25%时的硬度≥80， 60%/25%压线比≥1.8，具有硬度适中，不变形等特点。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3.实木外架：优质胡桃实木框架，材质坚硬、刚性强，不易腐蚀、抗弯强度适中、断裂强度适中，经防虫防腐剂处理、具有很好的油漆与染料的保持能力及尺寸的稳定性，含水率低于12%。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4、锰钢蛇簧加平衡线处理，永不变形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5、不锈钢沙发脚架</w:t>
            </w:r>
          </w:p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提供委托单位为投标人的2022年1月1日至投标截止日前第三方检测机构出具的具有CMA及CNAS标识的《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牛皮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》抽样检测报告扫描件，及报告在全国认证认可信息公共服务平台（http://cx.cnca.cn/CertECloud/qts/qts/qtsPage?currentPosition）查询截图或检验检测机构官网查询截图，报告内容满足以下标准及参数：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；检验依据为：GB/T 16799-2018《家具用皮革》,GB 20400-2006《皮革和毛皮 有害物质限量》；检测内容包括但不限于：耐光性达到5级，耐折牢度（50000次）无裂纹，耐磨性（CS-10,500g，500r）试验，光面革无明显损伤、剥落，撕裂力≥95/N，pH≥6，游离甲醛、可萃取重金属（铅、镉）未检出，禁用偶氮染料未检出，挥发性有机物（VOC)≤10mg/kg（未检出），涂层粘着牢度≥6.5N/10mm，感官要求：全张革应厚薄基本均匀，无油腻感(油蜡革除外)。革身应平整、柔软、丰满有弹性。正面革应不裂面、无管皱，主要部位不得松面。涂饰革涂饰均匀，不掉浆，不裂浆。绒面革绒毛均匀，颜色基本一致。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</w:tbl>
    <w:p>
      <w:pPr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479" w:leftChars="228" w:right="0" w:firstLine="0" w:firstLineChars="0"/>
        <w:jc w:val="left"/>
        <w:rPr>
          <w:rFonts w:hint="eastAsia" w:ascii="宋体" w:hAnsi="宋体" w:eastAsia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更改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项</w:t>
      </w:r>
      <w:r>
        <w:rPr>
          <w:rFonts w:hint="eastAsia" w:ascii="宋体" w:hAnsi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2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：</w:t>
      </w:r>
      <w:r>
        <w:rPr>
          <w:rFonts w:hint="eastAsia" w:ascii="宋体" w:hAnsi="宋体" w:eastAsia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原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响应文件开启时间</w:t>
      </w:r>
      <w:r>
        <w:rPr>
          <w:rFonts w:hint="eastAsia" w:ascii="宋体" w:hAnsi="宋体" w:eastAsia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及</w:t>
      </w:r>
      <w:r>
        <w:rPr>
          <w:rFonts w:hint="eastAsia" w:ascii="宋体" w:hAnsi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响应文件提交</w:t>
      </w:r>
      <w:r>
        <w:rPr>
          <w:rFonts w:hint="eastAsia" w:ascii="宋体" w:hAnsi="宋体" w:eastAsia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时间为：</w:t>
      </w:r>
      <w:r>
        <w:rPr>
          <w:rFonts w:hint="eastAsia" w:ascii="宋体" w:hAnsi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2024</w:t>
      </w:r>
      <w:r>
        <w:rPr>
          <w:rFonts w:hint="eastAsia" w:ascii="宋体" w:hAnsi="宋体" w:eastAsia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年</w:t>
      </w:r>
      <w:r>
        <w:rPr>
          <w:rFonts w:hint="eastAsia" w:ascii="宋体" w:hAnsi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4</w:t>
      </w:r>
      <w:r>
        <w:rPr>
          <w:rFonts w:hint="eastAsia" w:ascii="宋体" w:hAnsi="宋体" w:eastAsia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月1</w:t>
      </w:r>
      <w:r>
        <w:rPr>
          <w:rFonts w:hint="eastAsia" w:ascii="宋体" w:hAnsi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6</w:t>
      </w:r>
      <w:r>
        <w:rPr>
          <w:rFonts w:hint="eastAsia" w:ascii="宋体" w:hAnsi="宋体" w:eastAsia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日09时30分，现将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响应文件开启时间</w:t>
      </w:r>
      <w:r>
        <w:rPr>
          <w:rFonts w:hint="eastAsia" w:ascii="宋体" w:hAnsi="宋体" w:eastAsia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及</w:t>
      </w:r>
      <w:r>
        <w:rPr>
          <w:rFonts w:hint="eastAsia" w:ascii="宋体" w:hAnsi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响应文件提交</w:t>
      </w:r>
      <w:r>
        <w:rPr>
          <w:rFonts w:hint="eastAsia" w:ascii="宋体" w:hAnsi="宋体" w:eastAsia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时间延期至：</w:t>
      </w:r>
      <w:r>
        <w:rPr>
          <w:rFonts w:hint="eastAsia" w:ascii="宋体" w:hAnsi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2024</w:t>
      </w:r>
      <w:r>
        <w:rPr>
          <w:rFonts w:hint="eastAsia" w:ascii="宋体" w:hAnsi="宋体" w:eastAsia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年</w:t>
      </w:r>
      <w:r>
        <w:rPr>
          <w:rFonts w:hint="eastAsia" w:ascii="宋体" w:hAnsi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4</w:t>
      </w:r>
      <w:r>
        <w:rPr>
          <w:rFonts w:hint="eastAsia" w:ascii="宋体" w:hAnsi="宋体" w:eastAsia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月</w:t>
      </w:r>
      <w:r>
        <w:rPr>
          <w:rFonts w:hint="eastAsia" w:ascii="宋体" w:hAnsi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23</w:t>
      </w:r>
      <w:r>
        <w:rPr>
          <w:rFonts w:hint="eastAsia" w:ascii="宋体" w:hAnsi="宋体" w:eastAsia="宋体" w:cs="宋体"/>
          <w:b w:val="0"/>
          <w:b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日09时30分。</w:t>
      </w:r>
    </w:p>
    <w:p>
      <w:pPr>
        <w:pStyle w:val="7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562"/>
        <w:jc w:val="left"/>
        <w:textAlignment w:val="auto"/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八、其他补充事宜                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562"/>
        <w:jc w:val="left"/>
        <w:textAlignment w:val="auto"/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相关条款作相应变更，其余内容不变。</w:t>
      </w:r>
    </w:p>
    <w:p>
      <w:pP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right="0"/>
        <w:jc w:val="center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color="auto" w:fill="FFFFFF"/>
          <w:lang w:val="en-US" w:eastAsia="zh-CN" w:bidi="ar"/>
        </w:rPr>
        <w:t>                      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right="0"/>
        <w:jc w:val="center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color="auto" w:fill="FFFFFF"/>
          <w:lang w:val="en-US" w:eastAsia="zh-CN" w:bidi="ar"/>
        </w:rPr>
        <w:t>                         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华夏城投项目管理有限公司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right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                     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2024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年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月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15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日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 xml:space="preserve">  </w:t>
      </w:r>
    </w:p>
    <w:p/>
    <w:sectPr>
      <w:footerReference r:id="rId3" w:type="default"/>
      <w:pgSz w:w="11906" w:h="16838"/>
      <w:pgMar w:top="1213" w:right="1080" w:bottom="1213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2NjdhMGY1NTdjZTNlMzY0ZTkwODljYjUwNDM3NGUifQ=="/>
  </w:docVars>
  <w:rsids>
    <w:rsidRoot w:val="00000000"/>
    <w:rsid w:val="01A26EF5"/>
    <w:rsid w:val="073434BB"/>
    <w:rsid w:val="0B403215"/>
    <w:rsid w:val="116C28F7"/>
    <w:rsid w:val="1BEC6993"/>
    <w:rsid w:val="1FC61D6D"/>
    <w:rsid w:val="21D20555"/>
    <w:rsid w:val="2B125E66"/>
    <w:rsid w:val="393D052F"/>
    <w:rsid w:val="3BC335A7"/>
    <w:rsid w:val="3BEF4DB4"/>
    <w:rsid w:val="3FC7326B"/>
    <w:rsid w:val="40754A75"/>
    <w:rsid w:val="4391606A"/>
    <w:rsid w:val="4528367F"/>
    <w:rsid w:val="51826FF2"/>
    <w:rsid w:val="52DA4B71"/>
    <w:rsid w:val="539F20DD"/>
    <w:rsid w:val="628134F7"/>
    <w:rsid w:val="6333639E"/>
    <w:rsid w:val="653A7EB8"/>
    <w:rsid w:val="677B0314"/>
    <w:rsid w:val="695928D6"/>
    <w:rsid w:val="69733998"/>
    <w:rsid w:val="6BDB514B"/>
    <w:rsid w:val="6EEC0172"/>
    <w:rsid w:val="743B50B2"/>
    <w:rsid w:val="78240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4"/>
    <w:basedOn w:val="1"/>
    <w:next w:val="1"/>
    <w:autoRedefine/>
    <w:qFormat/>
    <w:uiPriority w:val="0"/>
    <w:pPr>
      <w:keepNext/>
      <w:keepLines/>
      <w:spacing w:before="280" w:after="290" w:line="376" w:lineRule="auto"/>
      <w:outlineLvl w:val="3"/>
    </w:pPr>
    <w:rPr>
      <w:rFonts w:ascii="Calibri Light" w:hAnsi="Calibri Light" w:cs="宋体"/>
      <w:b/>
      <w:bCs/>
      <w:sz w:val="28"/>
      <w:szCs w:val="28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autoRedefine/>
    <w:qFormat/>
    <w:uiPriority w:val="0"/>
    <w:pPr>
      <w:spacing w:after="120"/>
    </w:pPr>
  </w:style>
  <w:style w:type="paragraph" w:styleId="4">
    <w:name w:val="Plain Text"/>
    <w:basedOn w:val="1"/>
    <w:next w:val="3"/>
    <w:autoRedefine/>
    <w:qFormat/>
    <w:uiPriority w:val="0"/>
    <w:rPr>
      <w:rFonts w:ascii="宋体" w:hAnsi="Courier New"/>
      <w:kern w:val="0"/>
      <w:sz w:val="20"/>
      <w:szCs w:val="21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First Indent"/>
    <w:basedOn w:val="2"/>
    <w:autoRedefine/>
    <w:qFormat/>
    <w:uiPriority w:val="0"/>
    <w:pPr>
      <w:ind w:firstLine="420" w:firstLineChars="1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531</Words>
  <Characters>597</Characters>
  <Lines>0</Lines>
  <Paragraphs>0</Paragraphs>
  <TotalTime>1</TotalTime>
  <ScaleCrop>false</ScaleCrop>
  <LinksUpToDate>false</LinksUpToDate>
  <CharactersWithSpaces>699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2023-08-10T13:59:00Z</dcterms:created>
  <dc:creator>Administrator</dc:creator>
  <cp:lastModifiedBy>黄意惠</cp:lastModifiedBy>
  <dcterms:modified xsi:type="dcterms:W3CDTF">2024-04-14T14:31:18Z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DC48DE88D61B455BB9A9CB79818DCCAE_12</vt:lpwstr>
  </property>
</Properties>
</file>