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enter" w:pos="4536"/>
          <w:tab w:val="right" w:pos="9072"/>
        </w:tabs>
        <w:jc w:val="left"/>
        <w:rPr>
          <w:rFonts w:hint="eastAsia" w:hAnsi="宋体" w:eastAsia="宋体" w:cs="宋体"/>
          <w:b/>
          <w:sz w:val="44"/>
          <w:szCs w:val="44"/>
          <w:lang w:eastAsia="zh-CN"/>
        </w:rPr>
      </w:pPr>
      <w:r>
        <w:rPr>
          <w:rFonts w:hint="eastAsia" w:hAnsi="宋体" w:eastAsia="宋体" w:cs="宋体"/>
          <w:b/>
          <w:sz w:val="44"/>
          <w:szCs w:val="44"/>
          <w:lang w:eastAsia="zh-CN"/>
        </w:rPr>
        <w:drawing>
          <wp:anchor distT="0" distB="0" distL="114300" distR="114300" simplePos="0" relativeHeight="251660288" behindDoc="0" locked="0" layoutInCell="1" allowOverlap="1">
            <wp:simplePos x="0" y="0"/>
            <wp:positionH relativeFrom="column">
              <wp:posOffset>-612140</wp:posOffset>
            </wp:positionH>
            <wp:positionV relativeFrom="paragraph">
              <wp:posOffset>-828040</wp:posOffset>
            </wp:positionV>
            <wp:extent cx="7213600" cy="10295255"/>
            <wp:effectExtent l="0" t="0" r="6350" b="10795"/>
            <wp:wrapNone/>
            <wp:docPr id="3" name="图片 3" descr="240723154457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40723154457_0001"/>
                    <pic:cNvPicPr>
                      <a:picLocks noChangeAspect="1"/>
                    </pic:cNvPicPr>
                  </pic:nvPicPr>
                  <pic:blipFill>
                    <a:blip r:embed="rId18"/>
                    <a:stretch>
                      <a:fillRect/>
                    </a:stretch>
                  </pic:blipFill>
                  <pic:spPr>
                    <a:xfrm>
                      <a:off x="0" y="0"/>
                      <a:ext cx="7213600" cy="10295255"/>
                    </a:xfrm>
                    <a:prstGeom prst="rect">
                      <a:avLst/>
                    </a:prstGeom>
                  </pic:spPr>
                </pic:pic>
              </a:graphicData>
            </a:graphic>
          </wp:anchor>
        </w:drawing>
      </w:r>
    </w:p>
    <w:p>
      <w:pPr>
        <w:pStyle w:val="2"/>
        <w:rPr>
          <w:rFonts w:hAnsi="宋体" w:cs="宋体"/>
          <w:b/>
          <w:sz w:val="44"/>
          <w:szCs w:val="44"/>
        </w:rPr>
      </w:pPr>
    </w:p>
    <w:p>
      <w:pPr>
        <w:pStyle w:val="20"/>
        <w:snapToGrid w:val="0"/>
        <w:spacing w:line="480" w:lineRule="auto"/>
        <w:jc w:val="center"/>
        <w:rPr>
          <w:rFonts w:hAnsi="宋体" w:cs="宋体"/>
          <w:b/>
          <w:bCs/>
          <w:color w:val="auto"/>
          <w:sz w:val="52"/>
          <w:szCs w:val="52"/>
        </w:rPr>
      </w:pPr>
      <w:r>
        <w:rPr>
          <w:rFonts w:hint="eastAsia" w:hAnsi="宋体" w:cs="宋体"/>
          <w:b/>
          <w:bCs/>
          <w:color w:val="auto"/>
          <w:sz w:val="52"/>
          <w:szCs w:val="52"/>
        </w:rPr>
        <w:t>华夏城投项目管理有限公司</w:t>
      </w:r>
    </w:p>
    <w:p>
      <w:pPr>
        <w:rPr>
          <w:rFonts w:ascii="宋体" w:hAnsi="宋体" w:cs="宋体"/>
          <w:sz w:val="52"/>
          <w:szCs w:val="52"/>
        </w:rPr>
      </w:pPr>
    </w:p>
    <w:p>
      <w:pPr>
        <w:snapToGrid w:val="0"/>
        <w:spacing w:beforeLines="50" w:line="360" w:lineRule="auto"/>
        <w:jc w:val="center"/>
        <w:rPr>
          <w:rFonts w:ascii="宋体" w:hAnsi="宋体" w:cs="宋体"/>
          <w:sz w:val="96"/>
          <w:szCs w:val="96"/>
        </w:rPr>
      </w:pPr>
      <w:r>
        <w:rPr>
          <w:rFonts w:hint="eastAsia" w:ascii="宋体" w:hAnsi="宋体" w:cs="宋体"/>
          <w:sz w:val="96"/>
          <w:szCs w:val="96"/>
        </w:rPr>
        <w:t>竞争性磋商文件</w:t>
      </w:r>
    </w:p>
    <w:p>
      <w:pPr>
        <w:snapToGrid w:val="0"/>
        <w:spacing w:beforeLines="50" w:line="360" w:lineRule="auto"/>
        <w:jc w:val="center"/>
        <w:rPr>
          <w:rFonts w:ascii="仿宋_GB2312" w:hAnsi="宋体" w:eastAsia="仿宋_GB2312"/>
          <w:sz w:val="30"/>
          <w:szCs w:val="72"/>
        </w:rPr>
      </w:pPr>
      <w:r>
        <w:rPr>
          <w:rFonts w:hint="eastAsia" w:ascii="仿宋_GB2312" w:hAnsi="宋体" w:eastAsia="仿宋_GB2312"/>
          <w:sz w:val="30"/>
          <w:szCs w:val="72"/>
        </w:rPr>
        <w:t>（全流程电子化评标）</w:t>
      </w:r>
    </w:p>
    <w:p>
      <w:pPr>
        <w:pStyle w:val="2"/>
      </w:pPr>
    </w:p>
    <w:p>
      <w:pPr>
        <w:snapToGrid w:val="0"/>
        <w:spacing w:line="360" w:lineRule="auto"/>
        <w:rPr>
          <w:rFonts w:ascii="宋体" w:hAnsi="宋体" w:cs="宋体"/>
          <w:b/>
          <w:sz w:val="48"/>
          <w:szCs w:val="48"/>
        </w:rPr>
      </w:pPr>
    </w:p>
    <w:p>
      <w:pPr>
        <w:pStyle w:val="20"/>
        <w:snapToGrid w:val="0"/>
        <w:spacing w:line="360" w:lineRule="auto"/>
        <w:jc w:val="center"/>
        <w:rPr>
          <w:rFonts w:hAnsi="宋体" w:cs="宋体"/>
          <w:b/>
          <w:bCs/>
          <w:sz w:val="30"/>
          <w:szCs w:val="30"/>
        </w:rPr>
      </w:pPr>
    </w:p>
    <w:p>
      <w:pPr>
        <w:pStyle w:val="20"/>
        <w:snapToGrid w:val="0"/>
        <w:spacing w:line="480" w:lineRule="auto"/>
        <w:ind w:firstLine="1272" w:firstLineChars="396"/>
        <w:rPr>
          <w:rFonts w:ascii="仿宋_GB2312" w:hAnsi="宋体" w:eastAsia="仿宋_GB2312"/>
          <w:b/>
          <w:bCs/>
          <w:sz w:val="32"/>
          <w:szCs w:val="32"/>
        </w:rPr>
      </w:pPr>
    </w:p>
    <w:p>
      <w:pPr>
        <w:pStyle w:val="20"/>
        <w:snapToGrid w:val="0"/>
        <w:spacing w:line="480" w:lineRule="auto"/>
        <w:ind w:firstLine="1272" w:firstLineChars="396"/>
        <w:rPr>
          <w:rFonts w:hint="eastAsia" w:ascii="仿宋_GB2312" w:hAnsi="宋体" w:eastAsia="仿宋_GB2312"/>
          <w:b/>
          <w:bCs/>
          <w:sz w:val="32"/>
          <w:szCs w:val="32"/>
          <w:lang w:eastAsia="zh-CN"/>
        </w:rPr>
      </w:pPr>
      <w:r>
        <w:rPr>
          <w:rFonts w:hint="eastAsia" w:ascii="仿宋_GB2312" w:hAnsi="宋体" w:eastAsia="仿宋_GB2312"/>
          <w:b/>
          <w:bCs/>
          <w:sz w:val="32"/>
          <w:szCs w:val="32"/>
        </w:rPr>
        <w:t>项目</w:t>
      </w:r>
      <w:r>
        <w:rPr>
          <w:rFonts w:hint="eastAsia" w:ascii="仿宋_GB2312" w:hAnsi="宋体" w:eastAsia="仿宋_GB2312" w:cs="Courier New"/>
          <w:b/>
          <w:bCs/>
          <w:w w:val="95"/>
          <w:sz w:val="32"/>
          <w:szCs w:val="32"/>
        </w:rPr>
        <w:t>名称</w:t>
      </w:r>
      <w:r>
        <w:rPr>
          <w:rFonts w:hint="eastAsia" w:ascii="仿宋_GB2312" w:hAnsi="宋体" w:eastAsia="仿宋_GB2312"/>
          <w:b/>
          <w:bCs/>
          <w:sz w:val="32"/>
          <w:szCs w:val="32"/>
        </w:rPr>
        <w:t>：</w:t>
      </w:r>
      <w:r>
        <w:rPr>
          <w:rFonts w:hint="eastAsia" w:ascii="仿宋_GB2312" w:hAnsi="宋体" w:eastAsia="仿宋_GB2312"/>
          <w:b/>
          <w:bCs/>
          <w:sz w:val="32"/>
          <w:szCs w:val="32"/>
          <w:lang w:eastAsia="zh-CN"/>
        </w:rPr>
        <w:t>营养科医用食品配送服务采购（重）</w:t>
      </w:r>
    </w:p>
    <w:p>
      <w:pPr>
        <w:snapToGrid w:val="0"/>
        <w:spacing w:line="480" w:lineRule="auto"/>
        <w:ind w:firstLine="1221" w:firstLineChars="400"/>
        <w:rPr>
          <w:rFonts w:hint="eastAsia" w:ascii="仿宋_GB2312" w:hAnsi="宋体" w:eastAsia="仿宋_GB2312"/>
          <w:b/>
          <w:bCs/>
          <w:sz w:val="32"/>
          <w:szCs w:val="96"/>
          <w:lang w:eastAsia="zh-CN"/>
        </w:rPr>
      </w:pPr>
      <w:r>
        <w:rPr>
          <w:rFonts w:hint="eastAsia" w:ascii="仿宋_GB2312" w:hAnsi="宋体" w:eastAsia="仿宋_GB2312" w:cs="Courier New"/>
          <w:b/>
          <w:bCs/>
          <w:w w:val="95"/>
          <w:sz w:val="32"/>
          <w:szCs w:val="32"/>
        </w:rPr>
        <w:t>项目</w:t>
      </w:r>
      <w:r>
        <w:rPr>
          <w:rFonts w:hint="eastAsia" w:ascii="仿宋_GB2312" w:hAnsi="宋体" w:eastAsia="仿宋_GB2312"/>
          <w:b/>
          <w:bCs/>
          <w:sz w:val="32"/>
          <w:szCs w:val="32"/>
        </w:rPr>
        <w:t>编号</w:t>
      </w:r>
      <w:r>
        <w:rPr>
          <w:rFonts w:hint="eastAsia" w:ascii="仿宋_GB2312" w:hAnsi="宋体" w:eastAsia="仿宋_GB2312" w:cs="Courier New"/>
          <w:b/>
          <w:bCs/>
          <w:w w:val="95"/>
          <w:sz w:val="32"/>
          <w:szCs w:val="32"/>
        </w:rPr>
        <w:t>：</w:t>
      </w:r>
      <w:r>
        <w:rPr>
          <w:rFonts w:hint="eastAsia" w:ascii="仿宋_GB2312" w:hAnsi="宋体" w:eastAsia="仿宋_GB2312" w:cs="Courier New"/>
          <w:b/>
          <w:bCs/>
          <w:w w:val="95"/>
          <w:sz w:val="32"/>
          <w:szCs w:val="32"/>
          <w:lang w:eastAsia="zh-CN"/>
        </w:rPr>
        <w:t>GXZC2024-C3-004753-HXCT</w:t>
      </w:r>
    </w:p>
    <w:p>
      <w:pPr>
        <w:pStyle w:val="20"/>
        <w:snapToGrid w:val="0"/>
        <w:spacing w:line="480" w:lineRule="auto"/>
        <w:ind w:firstLine="1200" w:firstLineChars="393"/>
        <w:rPr>
          <w:rFonts w:ascii="仿宋_GB2312" w:hAnsi="宋体" w:eastAsia="仿宋_GB2312"/>
          <w:b/>
          <w:bCs/>
          <w:w w:val="95"/>
          <w:sz w:val="32"/>
          <w:szCs w:val="32"/>
        </w:rPr>
      </w:pPr>
      <w:r>
        <w:rPr>
          <w:rFonts w:hint="eastAsia" w:ascii="仿宋_GB2312" w:hAnsi="宋体" w:eastAsia="仿宋_GB2312"/>
          <w:b/>
          <w:bCs/>
          <w:w w:val="95"/>
          <w:sz w:val="32"/>
          <w:szCs w:val="32"/>
        </w:rPr>
        <w:t>采 购 人：广西中医药大学第一附属医院</w:t>
      </w:r>
    </w:p>
    <w:p>
      <w:pPr>
        <w:pStyle w:val="20"/>
        <w:snapToGrid w:val="0"/>
        <w:spacing w:line="480" w:lineRule="auto"/>
        <w:ind w:firstLine="1200" w:firstLineChars="393"/>
        <w:rPr>
          <w:rFonts w:ascii="仿宋_GB2312" w:hAnsi="宋体" w:eastAsia="仿宋_GB2312"/>
          <w:b/>
          <w:bCs/>
          <w:w w:val="95"/>
          <w:sz w:val="32"/>
          <w:szCs w:val="32"/>
        </w:rPr>
      </w:pPr>
      <w:r>
        <w:rPr>
          <w:rFonts w:hint="eastAsia" w:ascii="仿宋_GB2312" w:hAnsi="宋体" w:eastAsia="仿宋_GB2312"/>
          <w:b/>
          <w:bCs/>
          <w:w w:val="95"/>
          <w:sz w:val="32"/>
          <w:szCs w:val="32"/>
        </w:rPr>
        <w:t>采购代理机构：华夏城投项目管理有限公司</w:t>
      </w:r>
    </w:p>
    <w:p>
      <w:pPr>
        <w:pStyle w:val="20"/>
        <w:snapToGrid w:val="0"/>
        <w:spacing w:line="360" w:lineRule="auto"/>
        <w:ind w:firstLine="841" w:firstLineChars="294"/>
        <w:jc w:val="center"/>
        <w:rPr>
          <w:rFonts w:hint="eastAsia" w:ascii="仿宋_GB2312" w:eastAsia="仿宋_GB2312"/>
          <w:lang w:eastAsia="zh-CN"/>
        </w:rPr>
      </w:pPr>
      <w:r>
        <w:rPr>
          <w:rFonts w:hint="eastAsia" w:ascii="仿宋_GB2312" w:hAnsi="宋体" w:eastAsia="仿宋_GB2312"/>
          <w:b/>
          <w:bCs/>
          <w:w w:val="95"/>
          <w:sz w:val="30"/>
          <w:szCs w:val="30"/>
          <w:lang w:eastAsia="zh-CN"/>
        </w:rPr>
        <w:t>2024年07月23日</w:t>
      </w:r>
    </w:p>
    <w:p>
      <w:pPr>
        <w:spacing w:line="360" w:lineRule="auto"/>
        <w:jc w:val="center"/>
        <w:rPr>
          <w:rFonts w:ascii="宋体" w:hAnsi="宋体" w:cs="宋体"/>
          <w:b/>
          <w:bCs/>
          <w:kern w:val="0"/>
          <w:sz w:val="32"/>
          <w:szCs w:val="32"/>
        </w:rPr>
      </w:pPr>
    </w:p>
    <w:p>
      <w:pPr>
        <w:spacing w:line="360" w:lineRule="auto"/>
        <w:jc w:val="center"/>
        <w:rPr>
          <w:rFonts w:ascii="宋体" w:hAnsi="宋体" w:cs="宋体"/>
          <w:b/>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17" w:right="1417" w:bottom="1417" w:left="1417" w:header="851" w:footer="567" w:gutter="0"/>
          <w:pgNumType w:start="0"/>
          <w:cols w:space="720" w:num="1"/>
          <w:titlePg/>
          <w:docGrid w:type="lines" w:linePitch="312" w:charSpace="0"/>
        </w:sectPr>
      </w:pPr>
    </w:p>
    <w:p>
      <w:pPr>
        <w:pStyle w:val="2"/>
      </w:pPr>
    </w:p>
    <w:p>
      <w:pPr>
        <w:spacing w:line="360" w:lineRule="auto"/>
        <w:jc w:val="center"/>
        <w:rPr>
          <w:rFonts w:ascii="宋体" w:hAnsi="宋体" w:cs="宋体"/>
          <w:b/>
          <w:sz w:val="44"/>
          <w:szCs w:val="44"/>
        </w:rPr>
      </w:pPr>
      <w:r>
        <w:rPr>
          <w:rFonts w:hint="eastAsia" w:ascii="宋体" w:hAnsi="宋体" w:cs="宋体"/>
          <w:b/>
          <w:sz w:val="44"/>
          <w:szCs w:val="44"/>
        </w:rPr>
        <w:t>目  录</w:t>
      </w:r>
    </w:p>
    <w:p>
      <w:pPr>
        <w:spacing w:line="400" w:lineRule="exact"/>
        <w:jc w:val="center"/>
        <w:rPr>
          <w:rFonts w:ascii="宋体" w:hAnsi="宋体" w:cs="宋体"/>
          <w:b/>
          <w:sz w:val="44"/>
          <w:szCs w:val="44"/>
        </w:rPr>
      </w:pPr>
    </w:p>
    <w:p>
      <w:pPr>
        <w:pStyle w:val="25"/>
        <w:tabs>
          <w:tab w:val="right" w:leader="dot" w:pos="9072"/>
        </w:tabs>
      </w:pPr>
      <w:r>
        <w:fldChar w:fldCharType="begin"/>
      </w:r>
      <w:r>
        <w:instrText xml:space="preserve">TOC \o "1-2" \h \u </w:instrText>
      </w:r>
      <w:r>
        <w:fldChar w:fldCharType="separate"/>
      </w:r>
      <w:r>
        <w:fldChar w:fldCharType="begin"/>
      </w:r>
      <w:r>
        <w:instrText xml:space="preserve"> HYPERLINK \l _Toc17872 </w:instrText>
      </w:r>
      <w:r>
        <w:fldChar w:fldCharType="separate"/>
      </w:r>
      <w:r>
        <w:rPr>
          <w:rFonts w:hint="eastAsia" w:ascii="宋体" w:hAnsi="宋体" w:cs="宋体"/>
        </w:rPr>
        <w:t>第一章 竞争性磋商公告</w:t>
      </w:r>
      <w:r>
        <w:tab/>
      </w:r>
      <w:r>
        <w:fldChar w:fldCharType="begin"/>
      </w:r>
      <w:r>
        <w:instrText xml:space="preserve"> PAGEREF _Toc17872 \h </w:instrText>
      </w:r>
      <w:r>
        <w:fldChar w:fldCharType="separate"/>
      </w:r>
      <w:r>
        <w:t>2</w:t>
      </w:r>
      <w:r>
        <w:fldChar w:fldCharType="end"/>
      </w:r>
      <w:r>
        <w:fldChar w:fldCharType="end"/>
      </w:r>
    </w:p>
    <w:p>
      <w:pPr>
        <w:pStyle w:val="25"/>
        <w:tabs>
          <w:tab w:val="right" w:leader="dot" w:pos="9072"/>
        </w:tabs>
      </w:pPr>
      <w:r>
        <w:fldChar w:fldCharType="begin"/>
      </w:r>
      <w:r>
        <w:instrText xml:space="preserve"> HYPERLINK \l _Toc20235 </w:instrText>
      </w:r>
      <w:r>
        <w:fldChar w:fldCharType="separate"/>
      </w:r>
      <w:r>
        <w:rPr>
          <w:rFonts w:hint="eastAsia" w:hAnsi="宋体" w:cs="宋体"/>
        </w:rPr>
        <w:t>第二章采购需求</w:t>
      </w:r>
      <w:r>
        <w:tab/>
      </w:r>
      <w:r>
        <w:fldChar w:fldCharType="begin"/>
      </w:r>
      <w:r>
        <w:instrText xml:space="preserve"> PAGEREF _Toc20235 \h </w:instrText>
      </w:r>
      <w:r>
        <w:fldChar w:fldCharType="separate"/>
      </w:r>
      <w:r>
        <w:t>6</w:t>
      </w:r>
      <w:r>
        <w:fldChar w:fldCharType="end"/>
      </w:r>
      <w:r>
        <w:fldChar w:fldCharType="end"/>
      </w:r>
    </w:p>
    <w:p>
      <w:pPr>
        <w:pStyle w:val="28"/>
        <w:tabs>
          <w:tab w:val="right" w:leader="dot" w:pos="9072"/>
          <w:tab w:val="clear" w:pos="8296"/>
        </w:tabs>
      </w:pPr>
      <w:r>
        <w:fldChar w:fldCharType="begin"/>
      </w:r>
      <w:r>
        <w:instrText xml:space="preserve"> HYPERLINK \l _Toc26333 </w:instrText>
      </w:r>
      <w:r>
        <w:fldChar w:fldCharType="separate"/>
      </w:r>
      <w:r>
        <w:rPr>
          <w:rFonts w:hint="eastAsia" w:ascii="宋体" w:hAnsi="宋体" w:cs="宋体"/>
          <w:szCs w:val="21"/>
          <w:highlight w:val="none"/>
        </w:rPr>
        <w:t>分标</w:t>
      </w:r>
      <w:r>
        <w:rPr>
          <w:rFonts w:hint="eastAsia" w:ascii="宋体" w:hAnsi="宋体" w:cs="宋体"/>
          <w:szCs w:val="21"/>
          <w:highlight w:val="none"/>
          <w:lang w:val="en-US" w:eastAsia="zh-CN"/>
        </w:rPr>
        <w:t>1</w:t>
      </w:r>
      <w:r>
        <w:rPr>
          <w:rFonts w:hint="eastAsia" w:ascii="宋体" w:hAnsi="宋体" w:cs="宋体"/>
          <w:szCs w:val="21"/>
          <w:highlight w:val="none"/>
        </w:rPr>
        <w:t>：营养科医用食品配送服务（二）</w:t>
      </w:r>
      <w:r>
        <w:tab/>
      </w:r>
      <w:r>
        <w:fldChar w:fldCharType="begin"/>
      </w:r>
      <w:r>
        <w:instrText xml:space="preserve"> PAGEREF _Toc26333 \h </w:instrText>
      </w:r>
      <w:r>
        <w:fldChar w:fldCharType="separate"/>
      </w:r>
      <w:r>
        <w:t>7</w:t>
      </w:r>
      <w:r>
        <w:fldChar w:fldCharType="end"/>
      </w:r>
      <w:r>
        <w:fldChar w:fldCharType="end"/>
      </w:r>
    </w:p>
    <w:p>
      <w:pPr>
        <w:pStyle w:val="28"/>
        <w:tabs>
          <w:tab w:val="right" w:leader="dot" w:pos="9072"/>
          <w:tab w:val="clear" w:pos="8296"/>
        </w:tabs>
      </w:pPr>
      <w:r>
        <w:fldChar w:fldCharType="begin"/>
      </w:r>
      <w:r>
        <w:instrText xml:space="preserve"> HYPERLINK \l _Toc19760 </w:instrText>
      </w:r>
      <w:r>
        <w:fldChar w:fldCharType="separate"/>
      </w:r>
      <w:r>
        <w:rPr>
          <w:rFonts w:hint="eastAsia" w:ascii="宋体" w:hAnsi="宋体" w:cs="宋体"/>
          <w:szCs w:val="21"/>
          <w:highlight w:val="none"/>
        </w:rPr>
        <w:t>分标</w:t>
      </w:r>
      <w:r>
        <w:rPr>
          <w:rFonts w:hint="eastAsia" w:ascii="宋体" w:hAnsi="宋体" w:cs="宋体"/>
          <w:szCs w:val="21"/>
          <w:highlight w:val="none"/>
          <w:lang w:val="en-US" w:eastAsia="zh-CN"/>
        </w:rPr>
        <w:t>2</w:t>
      </w:r>
      <w:r>
        <w:rPr>
          <w:rFonts w:hint="eastAsia" w:ascii="宋体" w:hAnsi="宋体" w:cs="宋体"/>
          <w:szCs w:val="21"/>
          <w:highlight w:val="none"/>
        </w:rPr>
        <w:t>：营养科医用食品配送服务（三）</w:t>
      </w:r>
      <w:r>
        <w:tab/>
      </w:r>
      <w:r>
        <w:fldChar w:fldCharType="begin"/>
      </w:r>
      <w:r>
        <w:instrText xml:space="preserve"> PAGEREF _Toc19760 \h </w:instrText>
      </w:r>
      <w:r>
        <w:fldChar w:fldCharType="separate"/>
      </w:r>
      <w:r>
        <w:t>12</w:t>
      </w:r>
      <w:r>
        <w:fldChar w:fldCharType="end"/>
      </w:r>
      <w:r>
        <w:fldChar w:fldCharType="end"/>
      </w:r>
    </w:p>
    <w:p>
      <w:pPr>
        <w:pStyle w:val="25"/>
        <w:tabs>
          <w:tab w:val="right" w:leader="dot" w:pos="9072"/>
        </w:tabs>
      </w:pPr>
      <w:r>
        <w:fldChar w:fldCharType="begin"/>
      </w:r>
      <w:r>
        <w:instrText xml:space="preserve"> HYPERLINK \l _Toc28944 </w:instrText>
      </w:r>
      <w:r>
        <w:fldChar w:fldCharType="separate"/>
      </w:r>
      <w:r>
        <w:rPr>
          <w:rFonts w:hint="eastAsia" w:ascii="宋体" w:hAnsi="宋体" w:cs="宋体"/>
        </w:rPr>
        <w:t>第三章 供应商须知</w:t>
      </w:r>
      <w:r>
        <w:tab/>
      </w:r>
      <w:r>
        <w:fldChar w:fldCharType="begin"/>
      </w:r>
      <w:r>
        <w:instrText xml:space="preserve"> PAGEREF _Toc28944 \h </w:instrText>
      </w:r>
      <w:r>
        <w:fldChar w:fldCharType="separate"/>
      </w:r>
      <w:r>
        <w:t>21</w:t>
      </w:r>
      <w:r>
        <w:fldChar w:fldCharType="end"/>
      </w:r>
      <w:r>
        <w:fldChar w:fldCharType="end"/>
      </w:r>
    </w:p>
    <w:p>
      <w:pPr>
        <w:pStyle w:val="25"/>
        <w:tabs>
          <w:tab w:val="right" w:leader="dot" w:pos="9072"/>
        </w:tabs>
      </w:pPr>
      <w:r>
        <w:fldChar w:fldCharType="begin"/>
      </w:r>
      <w:r>
        <w:instrText xml:space="preserve"> HYPERLINK \l _Toc12116 </w:instrText>
      </w:r>
      <w:r>
        <w:fldChar w:fldCharType="separate"/>
      </w:r>
      <w:r>
        <w:rPr>
          <w:rFonts w:hint="eastAsia" w:ascii="宋体" w:hAnsi="宋体" w:cs="宋体"/>
        </w:rPr>
        <w:t>第四章  评审程序、评审方法和评审标准</w:t>
      </w:r>
      <w:r>
        <w:tab/>
      </w:r>
      <w:r>
        <w:fldChar w:fldCharType="begin"/>
      </w:r>
      <w:r>
        <w:instrText xml:space="preserve"> PAGEREF _Toc12116 \h </w:instrText>
      </w:r>
      <w:r>
        <w:fldChar w:fldCharType="separate"/>
      </w:r>
      <w:r>
        <w:t>40</w:t>
      </w:r>
      <w:r>
        <w:fldChar w:fldCharType="end"/>
      </w:r>
      <w:r>
        <w:fldChar w:fldCharType="end"/>
      </w:r>
    </w:p>
    <w:p>
      <w:pPr>
        <w:pStyle w:val="28"/>
        <w:tabs>
          <w:tab w:val="right" w:leader="dot" w:pos="9072"/>
          <w:tab w:val="clear" w:pos="8296"/>
        </w:tabs>
      </w:pPr>
      <w:r>
        <w:fldChar w:fldCharType="begin"/>
      </w:r>
      <w:r>
        <w:instrText xml:space="preserve"> HYPERLINK \l _Toc11144 </w:instrText>
      </w:r>
      <w:r>
        <w:fldChar w:fldCharType="separate"/>
      </w:r>
      <w:r>
        <w:rPr>
          <w:rFonts w:hint="eastAsia" w:ascii="宋体" w:hAnsi="宋体"/>
        </w:rPr>
        <w:t>第一节 评审程序和评审方法</w:t>
      </w:r>
      <w:r>
        <w:tab/>
      </w:r>
      <w:r>
        <w:fldChar w:fldCharType="begin"/>
      </w:r>
      <w:r>
        <w:instrText xml:space="preserve"> PAGEREF _Toc11144 \h </w:instrText>
      </w:r>
      <w:r>
        <w:fldChar w:fldCharType="separate"/>
      </w:r>
      <w:r>
        <w:t>40</w:t>
      </w:r>
      <w:r>
        <w:fldChar w:fldCharType="end"/>
      </w:r>
      <w:r>
        <w:fldChar w:fldCharType="end"/>
      </w:r>
    </w:p>
    <w:p>
      <w:pPr>
        <w:pStyle w:val="28"/>
        <w:tabs>
          <w:tab w:val="right" w:leader="dot" w:pos="9072"/>
          <w:tab w:val="clear" w:pos="8296"/>
        </w:tabs>
      </w:pPr>
      <w:r>
        <w:fldChar w:fldCharType="begin"/>
      </w:r>
      <w:r>
        <w:instrText xml:space="preserve"> HYPERLINK \l _Toc13277 </w:instrText>
      </w:r>
      <w:r>
        <w:fldChar w:fldCharType="separate"/>
      </w:r>
      <w:r>
        <w:rPr>
          <w:rFonts w:hint="eastAsia" w:ascii="宋体" w:hAnsi="宋体"/>
          <w:highlight w:val="none"/>
        </w:rPr>
        <w:t>第二节 评审报告</w:t>
      </w:r>
      <w:r>
        <w:tab/>
      </w:r>
      <w:r>
        <w:fldChar w:fldCharType="begin"/>
      </w:r>
      <w:r>
        <w:instrText xml:space="preserve"> PAGEREF _Toc13277 \h </w:instrText>
      </w:r>
      <w:r>
        <w:fldChar w:fldCharType="separate"/>
      </w:r>
      <w:r>
        <w:t>48</w:t>
      </w:r>
      <w:r>
        <w:fldChar w:fldCharType="end"/>
      </w:r>
      <w:r>
        <w:fldChar w:fldCharType="end"/>
      </w:r>
    </w:p>
    <w:p>
      <w:pPr>
        <w:pStyle w:val="28"/>
        <w:tabs>
          <w:tab w:val="right" w:leader="dot" w:pos="9072"/>
          <w:tab w:val="clear" w:pos="8296"/>
        </w:tabs>
      </w:pPr>
      <w:r>
        <w:fldChar w:fldCharType="begin"/>
      </w:r>
      <w:r>
        <w:instrText xml:space="preserve"> HYPERLINK \l _Toc32317 </w:instrText>
      </w:r>
      <w:r>
        <w:fldChar w:fldCharType="separate"/>
      </w:r>
      <w:r>
        <w:rPr>
          <w:rFonts w:hint="eastAsia" w:ascii="宋体" w:hAnsi="宋体"/>
        </w:rPr>
        <w:t>第三节 评审过程的保密与录像</w:t>
      </w:r>
      <w:r>
        <w:tab/>
      </w:r>
      <w:r>
        <w:fldChar w:fldCharType="begin"/>
      </w:r>
      <w:r>
        <w:instrText xml:space="preserve"> PAGEREF _Toc32317 \h </w:instrText>
      </w:r>
      <w:r>
        <w:fldChar w:fldCharType="separate"/>
      </w:r>
      <w:r>
        <w:t>49</w:t>
      </w:r>
      <w:r>
        <w:fldChar w:fldCharType="end"/>
      </w:r>
      <w:r>
        <w:fldChar w:fldCharType="end"/>
      </w:r>
    </w:p>
    <w:p>
      <w:pPr>
        <w:pStyle w:val="25"/>
        <w:tabs>
          <w:tab w:val="right" w:leader="dot" w:pos="9072"/>
        </w:tabs>
      </w:pPr>
      <w:r>
        <w:fldChar w:fldCharType="begin"/>
      </w:r>
      <w:r>
        <w:instrText xml:space="preserve"> HYPERLINK \l _Toc9845 </w:instrText>
      </w:r>
      <w:r>
        <w:fldChar w:fldCharType="separate"/>
      </w:r>
      <w:r>
        <w:rPr>
          <w:rFonts w:hint="eastAsia" w:ascii="宋体" w:hAnsi="宋体" w:cs="宋体"/>
        </w:rPr>
        <w:t>第五章 响应文件格式</w:t>
      </w:r>
      <w:r>
        <w:tab/>
      </w:r>
      <w:r>
        <w:fldChar w:fldCharType="begin"/>
      </w:r>
      <w:r>
        <w:instrText xml:space="preserve"> PAGEREF _Toc9845 \h </w:instrText>
      </w:r>
      <w:r>
        <w:fldChar w:fldCharType="separate"/>
      </w:r>
      <w:r>
        <w:t>50</w:t>
      </w:r>
      <w:r>
        <w:fldChar w:fldCharType="end"/>
      </w:r>
      <w:r>
        <w:fldChar w:fldCharType="end"/>
      </w:r>
    </w:p>
    <w:p>
      <w:pPr>
        <w:pStyle w:val="28"/>
        <w:tabs>
          <w:tab w:val="right" w:leader="dot" w:pos="9072"/>
          <w:tab w:val="clear" w:pos="8296"/>
        </w:tabs>
      </w:pPr>
      <w:r>
        <w:fldChar w:fldCharType="begin"/>
      </w:r>
      <w:r>
        <w:instrText xml:space="preserve"> HYPERLINK \l _Toc17271 </w:instrText>
      </w:r>
      <w:r>
        <w:fldChar w:fldCharType="separate"/>
      </w:r>
      <w:r>
        <w:rPr>
          <w:rFonts w:hint="eastAsia"/>
        </w:rPr>
        <w:t>一、封面格式</w:t>
      </w:r>
      <w:r>
        <w:tab/>
      </w:r>
      <w:r>
        <w:fldChar w:fldCharType="begin"/>
      </w:r>
      <w:r>
        <w:instrText xml:space="preserve"> PAGEREF _Toc17271 \h </w:instrText>
      </w:r>
      <w:r>
        <w:fldChar w:fldCharType="separate"/>
      </w:r>
      <w:r>
        <w:t>50</w:t>
      </w:r>
      <w:r>
        <w:fldChar w:fldCharType="end"/>
      </w:r>
      <w:r>
        <w:fldChar w:fldCharType="end"/>
      </w:r>
    </w:p>
    <w:p>
      <w:pPr>
        <w:pStyle w:val="28"/>
        <w:tabs>
          <w:tab w:val="right" w:leader="dot" w:pos="9072"/>
          <w:tab w:val="clear" w:pos="8296"/>
        </w:tabs>
      </w:pPr>
      <w:r>
        <w:fldChar w:fldCharType="begin"/>
      </w:r>
      <w:r>
        <w:instrText xml:space="preserve"> HYPERLINK \l _Toc26721 </w:instrText>
      </w:r>
      <w:r>
        <w:fldChar w:fldCharType="separate"/>
      </w:r>
      <w:r>
        <w:rPr>
          <w:rFonts w:hint="eastAsia"/>
        </w:rPr>
        <w:t>二、资格证明文件格式</w:t>
      </w:r>
      <w:r>
        <w:tab/>
      </w:r>
      <w:r>
        <w:fldChar w:fldCharType="begin"/>
      </w:r>
      <w:r>
        <w:instrText xml:space="preserve"> PAGEREF _Toc26721 \h </w:instrText>
      </w:r>
      <w:r>
        <w:fldChar w:fldCharType="separate"/>
      </w:r>
      <w:r>
        <w:t>51</w:t>
      </w:r>
      <w:r>
        <w:fldChar w:fldCharType="end"/>
      </w:r>
      <w:r>
        <w:fldChar w:fldCharType="end"/>
      </w:r>
    </w:p>
    <w:p>
      <w:pPr>
        <w:pStyle w:val="28"/>
        <w:tabs>
          <w:tab w:val="right" w:leader="dot" w:pos="9072"/>
          <w:tab w:val="clear" w:pos="8296"/>
        </w:tabs>
      </w:pPr>
      <w:r>
        <w:fldChar w:fldCharType="begin"/>
      </w:r>
      <w:r>
        <w:instrText xml:space="preserve"> HYPERLINK \l _Toc3842 </w:instrText>
      </w:r>
      <w:r>
        <w:fldChar w:fldCharType="separate"/>
      </w:r>
      <w:r>
        <w:rPr>
          <w:rFonts w:hint="eastAsia"/>
        </w:rPr>
        <w:t>三、商务技术文件格式</w:t>
      </w:r>
      <w:r>
        <w:tab/>
      </w:r>
      <w:r>
        <w:fldChar w:fldCharType="begin"/>
      </w:r>
      <w:r>
        <w:instrText xml:space="preserve"> PAGEREF _Toc3842 \h </w:instrText>
      </w:r>
      <w:r>
        <w:fldChar w:fldCharType="separate"/>
      </w:r>
      <w:r>
        <w:t>59</w:t>
      </w:r>
      <w:r>
        <w:fldChar w:fldCharType="end"/>
      </w:r>
      <w:r>
        <w:fldChar w:fldCharType="end"/>
      </w:r>
    </w:p>
    <w:p>
      <w:pPr>
        <w:pStyle w:val="28"/>
        <w:tabs>
          <w:tab w:val="right" w:leader="dot" w:pos="9072"/>
          <w:tab w:val="clear" w:pos="8296"/>
        </w:tabs>
      </w:pPr>
      <w:r>
        <w:fldChar w:fldCharType="begin"/>
      </w:r>
      <w:r>
        <w:instrText xml:space="preserve"> HYPERLINK \l _Toc32627 </w:instrText>
      </w:r>
      <w:r>
        <w:fldChar w:fldCharType="separate"/>
      </w:r>
      <w:r>
        <w:rPr>
          <w:rFonts w:hint="eastAsia"/>
        </w:rPr>
        <w:t>三、报价文件格式</w:t>
      </w:r>
      <w:r>
        <w:tab/>
      </w:r>
      <w:r>
        <w:fldChar w:fldCharType="begin"/>
      </w:r>
      <w:r>
        <w:instrText xml:space="preserve"> PAGEREF _Toc32627 \h </w:instrText>
      </w:r>
      <w:r>
        <w:fldChar w:fldCharType="separate"/>
      </w:r>
      <w:r>
        <w:t>67</w:t>
      </w:r>
      <w:r>
        <w:fldChar w:fldCharType="end"/>
      </w:r>
      <w:r>
        <w:fldChar w:fldCharType="end"/>
      </w:r>
    </w:p>
    <w:p>
      <w:pPr>
        <w:pStyle w:val="25"/>
        <w:tabs>
          <w:tab w:val="right" w:leader="dot" w:pos="9072"/>
        </w:tabs>
      </w:pPr>
      <w:r>
        <w:fldChar w:fldCharType="begin"/>
      </w:r>
      <w:r>
        <w:instrText xml:space="preserve"> HYPERLINK \l _Toc21458 </w:instrText>
      </w:r>
      <w:r>
        <w:fldChar w:fldCharType="separate"/>
      </w:r>
      <w:r>
        <w:rPr>
          <w:rFonts w:hint="eastAsia" w:ascii="宋体" w:hAnsi="宋体" w:cs="宋体"/>
        </w:rPr>
        <w:t>第六章 合同主要条款格式</w:t>
      </w:r>
      <w:r>
        <w:tab/>
      </w:r>
      <w:r>
        <w:fldChar w:fldCharType="begin"/>
      </w:r>
      <w:r>
        <w:instrText xml:space="preserve"> PAGEREF _Toc21458 \h </w:instrText>
      </w:r>
      <w:r>
        <w:fldChar w:fldCharType="separate"/>
      </w:r>
      <w:r>
        <w:t>72</w:t>
      </w:r>
      <w:r>
        <w:fldChar w:fldCharType="end"/>
      </w:r>
      <w:r>
        <w:fldChar w:fldCharType="end"/>
      </w:r>
    </w:p>
    <w:p>
      <w:pPr>
        <w:pStyle w:val="28"/>
        <w:tabs>
          <w:tab w:val="right" w:leader="dot" w:pos="9072"/>
          <w:tab w:val="clear" w:pos="8296"/>
        </w:tabs>
      </w:pPr>
      <w:r>
        <w:fldChar w:fldCharType="begin"/>
      </w:r>
      <w:r>
        <w:instrText xml:space="preserve"> HYPERLINK \l _Toc11666 </w:instrText>
      </w:r>
      <w:r>
        <w:fldChar w:fldCharType="separate"/>
      </w:r>
      <w:r>
        <w:rPr>
          <w:rFonts w:hint="eastAsia" w:ascii="宋体" w:hAnsi="宋体" w:cs="宋体"/>
          <w:bCs/>
          <w:kern w:val="0"/>
          <w:szCs w:val="21"/>
        </w:rPr>
        <w:t>广西壮族自治区政府采购合同</w:t>
      </w:r>
      <w:r>
        <w:tab/>
      </w:r>
      <w:r>
        <w:fldChar w:fldCharType="begin"/>
      </w:r>
      <w:r>
        <w:instrText xml:space="preserve"> PAGEREF _Toc11666 \h </w:instrText>
      </w:r>
      <w:r>
        <w:fldChar w:fldCharType="separate"/>
      </w:r>
      <w:r>
        <w:t>73</w:t>
      </w:r>
      <w:r>
        <w:fldChar w:fldCharType="end"/>
      </w:r>
      <w:r>
        <w:fldChar w:fldCharType="end"/>
      </w:r>
    </w:p>
    <w:p>
      <w:pPr>
        <w:pStyle w:val="28"/>
        <w:tabs>
          <w:tab w:val="right" w:leader="dot" w:pos="9072"/>
          <w:tab w:val="clear" w:pos="8296"/>
        </w:tabs>
      </w:pPr>
      <w:r>
        <w:fldChar w:fldCharType="begin"/>
      </w:r>
      <w:r>
        <w:instrText xml:space="preserve"> HYPERLINK \l _Toc1004 </w:instrText>
      </w:r>
      <w:r>
        <w:fldChar w:fldCharType="separate"/>
      </w:r>
      <w:r>
        <w:rPr>
          <w:rFonts w:hint="eastAsia" w:ascii="宋体" w:hAnsi="宋体" w:cs="宋体"/>
          <w:bCs/>
          <w:kern w:val="0"/>
          <w:szCs w:val="21"/>
        </w:rPr>
        <w:t>合同附件1</w:t>
      </w:r>
      <w:r>
        <w:tab/>
      </w:r>
      <w:r>
        <w:fldChar w:fldCharType="begin"/>
      </w:r>
      <w:r>
        <w:instrText xml:space="preserve"> PAGEREF _Toc1004 \h </w:instrText>
      </w:r>
      <w:r>
        <w:fldChar w:fldCharType="separate"/>
      </w:r>
      <w:r>
        <w:t>80</w:t>
      </w:r>
      <w:r>
        <w:fldChar w:fldCharType="end"/>
      </w:r>
      <w:r>
        <w:fldChar w:fldCharType="end"/>
      </w:r>
    </w:p>
    <w:p>
      <w:pPr>
        <w:pStyle w:val="28"/>
        <w:tabs>
          <w:tab w:val="right" w:leader="dot" w:pos="9072"/>
          <w:tab w:val="clear" w:pos="8296"/>
        </w:tabs>
      </w:pPr>
      <w:r>
        <w:fldChar w:fldCharType="begin"/>
      </w:r>
      <w:r>
        <w:instrText xml:space="preserve"> HYPERLINK \l _Toc23934 </w:instrText>
      </w:r>
      <w:r>
        <w:fldChar w:fldCharType="separate"/>
      </w:r>
      <w:r>
        <w:rPr>
          <w:rFonts w:hint="eastAsia" w:ascii="宋体" w:hAnsi="宋体" w:cs="宋体"/>
          <w:bCs/>
          <w:kern w:val="0"/>
          <w:szCs w:val="21"/>
        </w:rPr>
        <w:t>合同附件2</w:t>
      </w:r>
      <w:r>
        <w:tab/>
      </w:r>
      <w:r>
        <w:fldChar w:fldCharType="begin"/>
      </w:r>
      <w:r>
        <w:instrText xml:space="preserve"> PAGEREF _Toc23934 \h </w:instrText>
      </w:r>
      <w:r>
        <w:fldChar w:fldCharType="separate"/>
      </w:r>
      <w:r>
        <w:t>81</w:t>
      </w:r>
      <w:r>
        <w:fldChar w:fldCharType="end"/>
      </w:r>
      <w:r>
        <w:fldChar w:fldCharType="end"/>
      </w:r>
    </w:p>
    <w:p>
      <w:pPr>
        <w:pStyle w:val="25"/>
        <w:tabs>
          <w:tab w:val="right" w:leader="dot" w:pos="9072"/>
        </w:tabs>
      </w:pPr>
      <w:r>
        <w:fldChar w:fldCharType="begin"/>
      </w:r>
      <w:r>
        <w:instrText xml:space="preserve"> HYPERLINK \l _Toc25754 </w:instrText>
      </w:r>
      <w:r>
        <w:fldChar w:fldCharType="separate"/>
      </w:r>
      <w:r>
        <w:rPr>
          <w:rFonts w:hint="eastAsia" w:ascii="宋体" w:hAnsi="宋体" w:cs="仿宋_GB2312"/>
        </w:rPr>
        <w:t>第七章 质疑、投诉材料格式</w:t>
      </w:r>
      <w:r>
        <w:tab/>
      </w:r>
      <w:r>
        <w:fldChar w:fldCharType="begin"/>
      </w:r>
      <w:r>
        <w:instrText xml:space="preserve"> PAGEREF _Toc25754 \h </w:instrText>
      </w:r>
      <w:r>
        <w:fldChar w:fldCharType="separate"/>
      </w:r>
      <w:r>
        <w:t>84</w:t>
      </w:r>
      <w:r>
        <w:fldChar w:fldCharType="end"/>
      </w:r>
      <w:r>
        <w:fldChar w:fldCharType="end"/>
      </w:r>
    </w:p>
    <w:p>
      <w:pPr>
        <w:spacing w:line="400" w:lineRule="exact"/>
        <w:jc w:val="left"/>
        <w:rPr>
          <w:rFonts w:ascii="宋体" w:hAnsi="宋体" w:cs="宋体"/>
          <w:b/>
          <w:sz w:val="32"/>
          <w:szCs w:val="32"/>
        </w:rPr>
      </w:pPr>
      <w:r>
        <w:fldChar w:fldCharType="end"/>
      </w: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pStyle w:val="28"/>
        <w:tabs>
          <w:tab w:val="right" w:leader="dot" w:pos="8931"/>
          <w:tab w:val="clear" w:pos="8296"/>
        </w:tabs>
        <w:snapToGrid w:val="0"/>
        <w:spacing w:line="500" w:lineRule="atLeast"/>
        <w:ind w:left="0" w:leftChars="0"/>
        <w:rPr>
          <w:rFonts w:ascii="宋体" w:hAnsi="宋体" w:cs="宋体"/>
          <w:b/>
          <w:sz w:val="24"/>
        </w:rPr>
      </w:pPr>
    </w:p>
    <w:p>
      <w:pPr>
        <w:spacing w:line="400" w:lineRule="exact"/>
        <w:jc w:val="left"/>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bookmarkStart w:id="190" w:name="_GoBack"/>
      <w:bookmarkEnd w:id="190"/>
    </w:p>
    <w:p>
      <w:pPr>
        <w:spacing w:line="400" w:lineRule="exact"/>
        <w:rPr>
          <w:rFonts w:ascii="宋体" w:hAnsi="宋体" w:cs="宋体"/>
          <w:b/>
          <w:sz w:val="32"/>
          <w:szCs w:val="32"/>
        </w:rPr>
        <w:sectPr>
          <w:footerReference r:id="rId10" w:type="first"/>
          <w:footerReference r:id="rId9" w:type="default"/>
          <w:pgSz w:w="11906" w:h="16838"/>
          <w:pgMar w:top="1417" w:right="1417" w:bottom="1417" w:left="1417" w:header="851" w:footer="567" w:gutter="0"/>
          <w:pgNumType w:start="1"/>
          <w:cols w:space="720" w:num="1"/>
          <w:titlePg/>
          <w:docGrid w:type="lines" w:linePitch="312" w:charSpace="0"/>
        </w:sectPr>
      </w:pPr>
    </w:p>
    <w:p>
      <w:pPr>
        <w:pStyle w:val="5"/>
        <w:spacing w:line="360" w:lineRule="auto"/>
        <w:jc w:val="center"/>
        <w:rPr>
          <w:rFonts w:ascii="宋体" w:hAnsi="宋体" w:cs="宋体"/>
        </w:rPr>
      </w:pPr>
      <w:bookmarkStart w:id="0" w:name="_Toc17872"/>
      <w:bookmarkStart w:id="1" w:name="_Toc27493"/>
      <w:bookmarkStart w:id="2" w:name="_Toc22622"/>
      <w:bookmarkStart w:id="3" w:name="_Toc24219"/>
      <w:bookmarkStart w:id="4" w:name="_Toc24449"/>
      <w:r>
        <w:rPr>
          <w:rFonts w:hint="eastAsia" w:ascii="宋体" w:hAnsi="宋体" w:cs="宋体"/>
        </w:rPr>
        <w:t>第一章 竞争性磋商公告</w:t>
      </w:r>
      <w:bookmarkEnd w:id="0"/>
      <w:bookmarkEnd w:id="1"/>
      <w:bookmarkEnd w:id="2"/>
      <w:bookmarkEnd w:id="3"/>
      <w:bookmarkEnd w:id="4"/>
    </w:p>
    <w:p>
      <w:pPr>
        <w:spacing w:line="360" w:lineRule="auto"/>
        <w:jc w:val="center"/>
        <w:rPr>
          <w:rFonts w:ascii="宋体" w:hAnsi="宋体" w:cs="宋体"/>
          <w:b/>
          <w:bCs/>
          <w:sz w:val="28"/>
          <w:szCs w:val="28"/>
        </w:rPr>
      </w:pPr>
      <w:r>
        <w:rPr>
          <w:rFonts w:hint="eastAsia" w:ascii="宋体" w:hAnsi="宋体" w:cs="宋体"/>
          <w:b/>
          <w:bCs/>
          <w:sz w:val="28"/>
          <w:szCs w:val="28"/>
        </w:rPr>
        <w:t>华夏城投项目管理有限公司</w:t>
      </w:r>
      <w:r>
        <w:rPr>
          <w:rFonts w:hint="eastAsia" w:ascii="宋体" w:hAnsi="宋体" w:cs="宋体"/>
          <w:b/>
          <w:bCs/>
          <w:sz w:val="28"/>
          <w:szCs w:val="28"/>
          <w:lang w:eastAsia="zh-CN"/>
        </w:rPr>
        <w:t>关于营养科医用食品配送服务采购（重）</w:t>
      </w:r>
      <w:r>
        <w:rPr>
          <w:rFonts w:hint="eastAsia" w:ascii="宋体" w:hAnsi="宋体" w:cs="宋体"/>
          <w:b/>
          <w:bCs/>
          <w:sz w:val="28"/>
          <w:szCs w:val="28"/>
        </w:rPr>
        <w:t>（</w:t>
      </w:r>
      <w:r>
        <w:rPr>
          <w:rFonts w:hint="eastAsia" w:ascii="宋体" w:hAnsi="宋体" w:cs="宋体"/>
          <w:b/>
          <w:bCs/>
          <w:sz w:val="28"/>
          <w:szCs w:val="28"/>
          <w:lang w:eastAsia="zh-CN"/>
        </w:rPr>
        <w:t>GXZC2024-C3-004753-HXCT</w:t>
      </w:r>
      <w:r>
        <w:rPr>
          <w:rFonts w:hint="eastAsia" w:ascii="宋体" w:hAnsi="宋体" w:cs="宋体"/>
          <w:b/>
          <w:bCs/>
          <w:sz w:val="28"/>
          <w:szCs w:val="28"/>
        </w:rPr>
        <w:t>）竞争性磋商公告</w:t>
      </w:r>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szCs w:val="21"/>
        </w:rPr>
      </w:pPr>
      <w:bookmarkStart w:id="5" w:name="_Hlk37430271"/>
      <w:r>
        <w:rPr>
          <w:rFonts w:hint="eastAsia" w:ascii="宋体" w:hAnsi="宋体" w:cs="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sz w:val="24"/>
        </w:rPr>
      </w:pPr>
      <w:r>
        <w:rPr>
          <w:rFonts w:hint="eastAsia" w:ascii="宋体" w:hAnsi="宋体"/>
          <w:szCs w:val="21"/>
          <w:u w:val="single"/>
          <w:lang w:eastAsia="zh-CN"/>
        </w:rPr>
        <w:t>营养科医用食品配送服务采购（重）</w:t>
      </w:r>
      <w:r>
        <w:rPr>
          <w:rFonts w:hint="eastAsia" w:ascii="宋体" w:hAnsi="宋体"/>
          <w:szCs w:val="21"/>
          <w:u w:val="none"/>
        </w:rPr>
        <w:t>采购项目</w:t>
      </w:r>
      <w:r>
        <w:rPr>
          <w:rFonts w:hint="eastAsia" w:ascii="宋体" w:hAnsi="宋体" w:cs="宋体"/>
          <w:szCs w:val="21"/>
        </w:rPr>
        <w:t>的潜在供应商应在</w:t>
      </w:r>
      <w:r>
        <w:rPr>
          <w:rFonts w:hint="eastAsia" w:ascii="宋体" w:hAnsi="宋体" w:cs="宋体"/>
          <w:szCs w:val="21"/>
          <w:u w:val="single"/>
        </w:rPr>
        <w:t>广西政府采购云平台（https://www.gcy.zfcg.gxzf.gov.cn/）</w:t>
      </w:r>
      <w:r>
        <w:rPr>
          <w:rFonts w:hint="eastAsia" w:ascii="宋体" w:hAnsi="宋体" w:cs="宋体"/>
          <w:szCs w:val="21"/>
        </w:rPr>
        <w:t>获取采购文件，并于</w:t>
      </w:r>
      <w:r>
        <w:rPr>
          <w:rFonts w:hint="eastAsia" w:ascii="宋体" w:hAnsi="宋体" w:cs="宋体"/>
          <w:szCs w:val="21"/>
          <w:lang w:eastAsia="zh-CN"/>
        </w:rPr>
        <w:t>2024年08月06日</w:t>
      </w:r>
      <w:r>
        <w:rPr>
          <w:rFonts w:hint="eastAsia" w:ascii="宋体" w:hAnsi="宋体" w:cs="宋体"/>
          <w:szCs w:val="21"/>
          <w:lang w:val="en-US" w:eastAsia="zh-CN"/>
        </w:rPr>
        <w:t>0</w:t>
      </w:r>
      <w:r>
        <w:rPr>
          <w:rFonts w:ascii="宋体" w:hAnsi="宋体" w:cs="宋体"/>
          <w:szCs w:val="21"/>
        </w:rPr>
        <w:t>9</w:t>
      </w:r>
      <w:r>
        <w:rPr>
          <w:rFonts w:hint="eastAsia" w:ascii="宋体" w:hAnsi="宋体" w:cs="宋体"/>
          <w:szCs w:val="21"/>
        </w:rPr>
        <w:t>时</w:t>
      </w:r>
      <w:r>
        <w:rPr>
          <w:rFonts w:ascii="宋体" w:hAnsi="宋体" w:cs="宋体"/>
          <w:szCs w:val="21"/>
        </w:rPr>
        <w:t>30</w:t>
      </w:r>
      <w:r>
        <w:rPr>
          <w:rFonts w:hint="eastAsia" w:ascii="宋体" w:hAnsi="宋体" w:cs="宋体"/>
          <w:szCs w:val="21"/>
        </w:rPr>
        <w:t>分</w:t>
      </w:r>
      <w:r>
        <w:rPr>
          <w:rFonts w:hint="eastAsia" w:ascii="宋体" w:hAnsi="宋体" w:cs="宋体"/>
          <w:bCs/>
          <w:szCs w:val="21"/>
        </w:rPr>
        <w:t>（北京时间）前提交响应文件</w:t>
      </w:r>
      <w:r>
        <w:rPr>
          <w:rFonts w:hint="eastAsia" w:ascii="宋体" w:hAnsi="宋体" w:cs="宋体"/>
          <w:szCs w:val="21"/>
        </w:rPr>
        <w:t>。</w:t>
      </w:r>
    </w:p>
    <w:p>
      <w:pPr>
        <w:widowControl/>
        <w:spacing w:line="360" w:lineRule="auto"/>
        <w:ind w:firstLine="482" w:firstLineChars="200"/>
        <w:rPr>
          <w:rFonts w:ascii="宋体" w:hAnsi="宋体" w:cs="宋体"/>
          <w:b/>
          <w:sz w:val="24"/>
        </w:rPr>
      </w:pPr>
      <w:bookmarkStart w:id="6" w:name="_Hlk37429674"/>
      <w:bookmarkStart w:id="7" w:name="_Toc35393636"/>
      <w:bookmarkStart w:id="8" w:name="_Toc35393805"/>
      <w:bookmarkStart w:id="9" w:name="_Toc28359095"/>
      <w:bookmarkStart w:id="10" w:name="_Toc44229885"/>
      <w:bookmarkStart w:id="11" w:name="_Toc28359018"/>
    </w:p>
    <w:p>
      <w:pPr>
        <w:widowControl/>
        <w:spacing w:line="360" w:lineRule="auto"/>
        <w:ind w:firstLine="482" w:firstLineChars="200"/>
        <w:rPr>
          <w:rFonts w:ascii="宋体" w:hAnsi="宋体" w:cs="宋体"/>
          <w:b/>
          <w:sz w:val="24"/>
        </w:rPr>
      </w:pPr>
      <w:r>
        <w:rPr>
          <w:rFonts w:hint="eastAsia" w:ascii="宋体" w:hAnsi="宋体" w:cs="宋体"/>
          <w:b/>
          <w:sz w:val="24"/>
        </w:rPr>
        <w:t>一、项目基本情况</w:t>
      </w:r>
    </w:p>
    <w:p>
      <w:pPr>
        <w:spacing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项目编号：</w:t>
      </w:r>
      <w:r>
        <w:rPr>
          <w:rFonts w:hint="eastAsia" w:ascii="宋体" w:hAnsi="宋体" w:cs="宋体"/>
          <w:color w:val="auto"/>
          <w:szCs w:val="21"/>
          <w:lang w:eastAsia="zh-CN"/>
        </w:rPr>
        <w:t>GXZC2024-C3-004753-HXCT</w:t>
      </w:r>
    </w:p>
    <w:p>
      <w:pPr>
        <w:spacing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项目名称：</w:t>
      </w:r>
      <w:r>
        <w:rPr>
          <w:rFonts w:hint="eastAsia" w:ascii="宋体" w:hAnsi="宋体" w:cs="宋体"/>
          <w:color w:val="auto"/>
          <w:szCs w:val="21"/>
          <w:lang w:eastAsia="zh-CN"/>
        </w:rPr>
        <w:t>营养科医用食品配送服务采购（重）</w:t>
      </w:r>
    </w:p>
    <w:p>
      <w:pPr>
        <w:spacing w:line="360" w:lineRule="auto"/>
        <w:ind w:firstLine="420" w:firstLineChars="200"/>
        <w:rPr>
          <w:rFonts w:ascii="宋体" w:hAnsi="宋体" w:cs="宋体"/>
          <w:color w:val="auto"/>
          <w:szCs w:val="21"/>
        </w:rPr>
      </w:pPr>
      <w:r>
        <w:rPr>
          <w:rFonts w:hint="eastAsia" w:ascii="宋体" w:hAnsi="宋体" w:cs="宋体"/>
          <w:color w:val="auto"/>
          <w:szCs w:val="21"/>
        </w:rPr>
        <w:t>采购方式：竞争性磋商</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预算总金额（元）：1</w:t>
      </w:r>
      <w:r>
        <w:rPr>
          <w:rFonts w:hint="eastAsia" w:ascii="宋体" w:hAnsi="宋体" w:cs="宋体"/>
          <w:color w:val="auto"/>
          <w:szCs w:val="21"/>
          <w:lang w:val="en-US" w:eastAsia="zh-CN"/>
        </w:rPr>
        <w:t>2</w:t>
      </w:r>
      <w:r>
        <w:rPr>
          <w:rFonts w:hint="eastAsia" w:ascii="宋体" w:hAnsi="宋体" w:cs="宋体"/>
          <w:color w:val="auto"/>
          <w:szCs w:val="21"/>
        </w:rPr>
        <w:t>00000.00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采购需求：</w:t>
      </w:r>
    </w:p>
    <w:p>
      <w:pPr>
        <w:spacing w:line="360" w:lineRule="auto"/>
        <w:ind w:firstLine="422" w:firstLineChars="200"/>
        <w:rPr>
          <w:rFonts w:hint="eastAsia" w:ascii="宋体" w:hAnsi="宋体" w:eastAsia="宋体" w:cs="宋体"/>
          <w:b/>
          <w:bCs/>
          <w:color w:val="auto"/>
          <w:szCs w:val="21"/>
          <w:lang w:eastAsia="zh-CN"/>
        </w:rPr>
      </w:pPr>
      <w:r>
        <w:rPr>
          <w:rFonts w:hint="eastAsia" w:ascii="宋体" w:hAnsi="宋体" w:cs="宋体"/>
          <w:b/>
          <w:bCs/>
          <w:color w:val="auto"/>
          <w:szCs w:val="21"/>
        </w:rPr>
        <w:t>标项</w:t>
      </w:r>
      <w:r>
        <w:rPr>
          <w:rFonts w:hint="eastAsia" w:ascii="宋体" w:hAnsi="宋体" w:cs="宋体"/>
          <w:b/>
          <w:bCs/>
          <w:color w:val="auto"/>
          <w:szCs w:val="21"/>
          <w:lang w:eastAsia="zh-CN"/>
        </w:rPr>
        <w:t>一</w:t>
      </w:r>
    </w:p>
    <w:p>
      <w:pPr>
        <w:spacing w:line="360" w:lineRule="auto"/>
        <w:ind w:firstLine="420" w:firstLineChars="200"/>
        <w:rPr>
          <w:rFonts w:ascii="宋体" w:hAnsi="宋体" w:cs="宋体"/>
          <w:color w:val="auto"/>
          <w:szCs w:val="21"/>
        </w:rPr>
      </w:pPr>
      <w:r>
        <w:rPr>
          <w:rFonts w:hint="eastAsia" w:ascii="宋体" w:hAnsi="宋体" w:cs="宋体"/>
          <w:color w:val="auto"/>
          <w:szCs w:val="21"/>
        </w:rPr>
        <w:t>标项名称:营养科医用食品配送服务（二）</w:t>
      </w:r>
    </w:p>
    <w:p>
      <w:pPr>
        <w:spacing w:line="360" w:lineRule="auto"/>
        <w:ind w:firstLine="420" w:firstLineChars="200"/>
        <w:rPr>
          <w:rFonts w:ascii="宋体" w:hAnsi="宋体" w:cs="宋体"/>
          <w:color w:val="auto"/>
          <w:szCs w:val="21"/>
        </w:rPr>
      </w:pPr>
      <w:r>
        <w:rPr>
          <w:rFonts w:hint="eastAsia" w:ascii="宋体" w:hAnsi="宋体" w:cs="宋体"/>
          <w:color w:val="auto"/>
          <w:szCs w:val="21"/>
        </w:rPr>
        <w:t>数量:</w:t>
      </w:r>
      <w:r>
        <w:rPr>
          <w:rFonts w:hint="eastAsia" w:ascii="宋体" w:hAnsi="宋体" w:cs="宋体"/>
          <w:color w:val="auto"/>
          <w:szCs w:val="21"/>
          <w:lang w:val="en-US" w:eastAsia="zh-CN"/>
        </w:rPr>
        <w:t>1项</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预算金额（元）:660000.00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简要规格描述或项目基本概况介绍、用途：按照采购人要求配送益生菌颗粒、复合维生素组件、匀浆膳（纤维型）等医用食品，将医用食品在采购人规定的时间内保质保量配送到指定地点，</w:t>
      </w:r>
      <w:r>
        <w:rPr>
          <w:rFonts w:hint="eastAsia" w:ascii="宋体" w:hAnsi="宋体"/>
          <w:color w:val="auto"/>
          <w:szCs w:val="21"/>
        </w:rPr>
        <w:t>如需进一步了解详细内容，详见采购文件第二章采购需求</w:t>
      </w:r>
      <w:r>
        <w:rPr>
          <w:rFonts w:hint="eastAsia" w:ascii="宋体" w:hAnsi="宋体" w:cs="宋体"/>
          <w:color w:val="auto"/>
          <w:szCs w:val="21"/>
        </w:rPr>
        <w:t>。</w:t>
      </w:r>
    </w:p>
    <w:p>
      <w:pPr>
        <w:spacing w:line="360" w:lineRule="auto"/>
        <w:ind w:firstLine="420" w:firstLineChars="200"/>
        <w:rPr>
          <w:rFonts w:ascii="宋体" w:hAnsi="宋体" w:cs="宋体"/>
          <w:color w:val="auto"/>
          <w:szCs w:val="21"/>
        </w:rPr>
      </w:pPr>
      <w:r>
        <w:rPr>
          <w:rFonts w:hint="eastAsia" w:ascii="宋体" w:hAnsi="宋体" w:cs="宋体"/>
          <w:color w:val="auto"/>
          <w:szCs w:val="21"/>
        </w:rPr>
        <w:t>最高限价（如有）：/</w:t>
      </w:r>
    </w:p>
    <w:p>
      <w:pPr>
        <w:spacing w:line="360" w:lineRule="auto"/>
        <w:ind w:firstLine="420" w:firstLineChars="200"/>
        <w:rPr>
          <w:rFonts w:ascii="宋体" w:hAnsi="宋体" w:cs="宋体"/>
          <w:color w:val="auto"/>
          <w:szCs w:val="21"/>
        </w:rPr>
      </w:pPr>
      <w:r>
        <w:rPr>
          <w:rFonts w:hint="eastAsia" w:ascii="宋体" w:hAnsi="宋体" w:cs="宋体"/>
          <w:color w:val="auto"/>
          <w:szCs w:val="21"/>
        </w:rPr>
        <w:t>合同履约期限：自合同签订之日起2年。</w:t>
      </w:r>
    </w:p>
    <w:p>
      <w:pPr>
        <w:spacing w:line="360" w:lineRule="auto"/>
        <w:ind w:firstLine="420" w:firstLineChars="200"/>
        <w:rPr>
          <w:rFonts w:ascii="宋体" w:hAnsi="宋体" w:cs="宋体"/>
          <w:color w:val="auto"/>
          <w:szCs w:val="21"/>
        </w:rPr>
      </w:pPr>
      <w:r>
        <w:rPr>
          <w:rFonts w:hint="eastAsia" w:ascii="宋体" w:hAnsi="宋体" w:cs="宋体"/>
          <w:color w:val="auto"/>
          <w:szCs w:val="21"/>
        </w:rPr>
        <w:t>本标项（否）接受联合体投标</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备注：竞标报价按下浮系数报价，有效报价范围为：下浮系数≥1%</w:t>
      </w:r>
    </w:p>
    <w:p>
      <w:pPr>
        <w:spacing w:line="360" w:lineRule="auto"/>
        <w:ind w:firstLine="422" w:firstLineChars="200"/>
        <w:rPr>
          <w:rFonts w:hint="eastAsia" w:ascii="宋体" w:hAnsi="宋体" w:eastAsia="宋体" w:cs="宋体"/>
          <w:b/>
          <w:bCs/>
          <w:color w:val="auto"/>
          <w:szCs w:val="21"/>
          <w:lang w:eastAsia="zh-CN"/>
        </w:rPr>
      </w:pPr>
      <w:r>
        <w:rPr>
          <w:rFonts w:hint="eastAsia" w:ascii="宋体" w:hAnsi="宋体" w:cs="宋体"/>
          <w:b/>
          <w:bCs/>
          <w:color w:val="auto"/>
          <w:szCs w:val="21"/>
        </w:rPr>
        <w:t>标项</w:t>
      </w:r>
      <w:r>
        <w:rPr>
          <w:rFonts w:hint="eastAsia" w:ascii="宋体" w:hAnsi="宋体" w:cs="宋体"/>
          <w:b/>
          <w:bCs/>
          <w:color w:val="auto"/>
          <w:szCs w:val="21"/>
          <w:lang w:eastAsia="zh-CN"/>
        </w:rPr>
        <w:t>二</w:t>
      </w:r>
    </w:p>
    <w:p>
      <w:pPr>
        <w:spacing w:line="360" w:lineRule="auto"/>
        <w:ind w:firstLine="420" w:firstLineChars="200"/>
        <w:rPr>
          <w:rFonts w:ascii="宋体" w:hAnsi="宋体" w:cs="宋体"/>
          <w:color w:val="auto"/>
          <w:szCs w:val="21"/>
        </w:rPr>
      </w:pPr>
      <w:r>
        <w:rPr>
          <w:rFonts w:hint="eastAsia" w:ascii="宋体" w:hAnsi="宋体" w:cs="宋体"/>
          <w:color w:val="auto"/>
          <w:szCs w:val="21"/>
        </w:rPr>
        <w:t>标项名称:营养科医用食品配送服务（三）</w:t>
      </w:r>
    </w:p>
    <w:p>
      <w:pPr>
        <w:spacing w:line="360" w:lineRule="auto"/>
        <w:ind w:firstLine="420" w:firstLineChars="200"/>
        <w:rPr>
          <w:rFonts w:ascii="宋体" w:hAnsi="宋体" w:cs="宋体"/>
          <w:color w:val="auto"/>
          <w:szCs w:val="21"/>
        </w:rPr>
      </w:pPr>
      <w:r>
        <w:rPr>
          <w:rFonts w:hint="eastAsia" w:ascii="宋体" w:hAnsi="宋体" w:cs="宋体"/>
          <w:color w:val="auto"/>
          <w:szCs w:val="21"/>
        </w:rPr>
        <w:t>数量:</w:t>
      </w:r>
      <w:r>
        <w:rPr>
          <w:rFonts w:hint="eastAsia" w:ascii="宋体" w:hAnsi="宋体" w:cs="宋体"/>
          <w:color w:val="auto"/>
          <w:szCs w:val="21"/>
          <w:lang w:val="en-US" w:eastAsia="zh-CN"/>
        </w:rPr>
        <w:t>1项</w:t>
      </w:r>
    </w:p>
    <w:p>
      <w:pPr>
        <w:spacing w:line="360" w:lineRule="auto"/>
        <w:ind w:firstLine="420" w:firstLineChars="200"/>
        <w:rPr>
          <w:rFonts w:ascii="宋体" w:hAnsi="宋体" w:cs="宋体"/>
          <w:color w:val="auto"/>
          <w:szCs w:val="21"/>
        </w:rPr>
      </w:pPr>
      <w:r>
        <w:rPr>
          <w:rFonts w:hint="eastAsia" w:ascii="宋体" w:hAnsi="宋体" w:cs="宋体"/>
          <w:color w:val="auto"/>
          <w:szCs w:val="21"/>
        </w:rPr>
        <w:t>预算金额（元）:540000.00</w:t>
      </w:r>
    </w:p>
    <w:p>
      <w:pPr>
        <w:spacing w:line="360" w:lineRule="auto"/>
        <w:ind w:firstLine="420" w:firstLineChars="200"/>
        <w:rPr>
          <w:rFonts w:ascii="宋体" w:hAnsi="宋体" w:cs="宋体"/>
          <w:color w:val="auto"/>
          <w:szCs w:val="21"/>
        </w:rPr>
      </w:pPr>
      <w:r>
        <w:rPr>
          <w:rFonts w:hint="eastAsia" w:ascii="宋体" w:hAnsi="宋体" w:cs="宋体"/>
          <w:color w:val="auto"/>
          <w:szCs w:val="21"/>
        </w:rPr>
        <w:t>简要规格描述或项目基本概况介绍、用途：按照采购人要求配送百能凝®固体饮料、谷安肽蛋白肽粉、匀浆膳高纤维型等医用食品，将医用食品在采购人规定的时间内保质保量配送到指定地点，</w:t>
      </w:r>
      <w:r>
        <w:rPr>
          <w:rFonts w:hint="eastAsia" w:ascii="宋体" w:hAnsi="宋体"/>
          <w:color w:val="auto"/>
          <w:szCs w:val="21"/>
        </w:rPr>
        <w:t>如需进一步了解详细内容，详见采购文件第二章采购需求</w:t>
      </w:r>
      <w:r>
        <w:rPr>
          <w:rFonts w:hint="eastAsia" w:ascii="宋体" w:hAnsi="宋体" w:cs="宋体"/>
          <w:color w:val="auto"/>
          <w:szCs w:val="21"/>
        </w:rPr>
        <w:t>。</w:t>
      </w:r>
    </w:p>
    <w:p>
      <w:pPr>
        <w:spacing w:line="360" w:lineRule="auto"/>
        <w:ind w:firstLine="420" w:firstLineChars="200"/>
        <w:rPr>
          <w:rFonts w:ascii="宋体" w:hAnsi="宋体" w:cs="宋体"/>
          <w:color w:val="auto"/>
          <w:szCs w:val="21"/>
        </w:rPr>
      </w:pPr>
      <w:r>
        <w:rPr>
          <w:rFonts w:hint="eastAsia" w:ascii="宋体" w:hAnsi="宋体" w:cs="宋体"/>
          <w:color w:val="auto"/>
          <w:szCs w:val="21"/>
        </w:rPr>
        <w:t>最高限价（如有）：/</w:t>
      </w:r>
    </w:p>
    <w:p>
      <w:pPr>
        <w:spacing w:line="360" w:lineRule="auto"/>
        <w:ind w:firstLine="420" w:firstLineChars="200"/>
        <w:rPr>
          <w:rFonts w:ascii="宋体" w:hAnsi="宋体" w:cs="宋体"/>
          <w:color w:val="auto"/>
          <w:szCs w:val="21"/>
        </w:rPr>
      </w:pPr>
      <w:r>
        <w:rPr>
          <w:rFonts w:hint="eastAsia" w:ascii="宋体" w:hAnsi="宋体" w:cs="宋体"/>
          <w:color w:val="auto"/>
          <w:szCs w:val="21"/>
        </w:rPr>
        <w:t>合同履约期限：自合同签订之日起2年。</w:t>
      </w:r>
    </w:p>
    <w:p>
      <w:pPr>
        <w:spacing w:line="360" w:lineRule="auto"/>
        <w:ind w:firstLine="420" w:firstLineChars="200"/>
        <w:rPr>
          <w:rFonts w:ascii="宋体" w:hAnsi="宋体" w:cs="宋体"/>
          <w:color w:val="auto"/>
          <w:szCs w:val="21"/>
        </w:rPr>
      </w:pPr>
      <w:r>
        <w:rPr>
          <w:rFonts w:hint="eastAsia" w:ascii="宋体" w:hAnsi="宋体" w:cs="宋体"/>
          <w:color w:val="auto"/>
          <w:szCs w:val="21"/>
        </w:rPr>
        <w:t>本标项（否）接受联合体投标</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备注：竞标报价按下浮系数报价，有效报价范围为：下浮系数≥3%</w:t>
      </w:r>
    </w:p>
    <w:p>
      <w:pPr>
        <w:spacing w:line="360" w:lineRule="auto"/>
        <w:ind w:firstLine="420" w:firstLineChars="200"/>
        <w:rPr>
          <w:rFonts w:ascii="宋体" w:hAnsi="宋体" w:cs="宋体"/>
          <w:color w:val="auto"/>
          <w:szCs w:val="21"/>
        </w:rPr>
      </w:pPr>
    </w:p>
    <w:p>
      <w:pPr>
        <w:widowControl/>
        <w:spacing w:line="360" w:lineRule="auto"/>
        <w:ind w:firstLine="482" w:firstLineChars="200"/>
        <w:rPr>
          <w:rFonts w:ascii="宋体" w:hAnsi="宋体" w:cs="宋体"/>
          <w:b/>
          <w:sz w:val="24"/>
        </w:rPr>
      </w:pPr>
      <w:r>
        <w:rPr>
          <w:rFonts w:hint="eastAsia" w:ascii="宋体" w:hAnsi="宋体" w:cs="宋体"/>
          <w:b/>
          <w:sz w:val="24"/>
        </w:rPr>
        <w:t>二、申请人的资格条件：</w:t>
      </w:r>
    </w:p>
    <w:p>
      <w:pPr>
        <w:spacing w:line="360" w:lineRule="auto"/>
        <w:ind w:firstLine="420" w:firstLineChars="200"/>
        <w:rPr>
          <w:rFonts w:ascii="宋体" w:hAnsi="宋体" w:cs="宋体"/>
          <w:szCs w:val="21"/>
        </w:rPr>
      </w:pPr>
      <w:r>
        <w:rPr>
          <w:rFonts w:hint="eastAsia" w:ascii="宋体" w:hAnsi="宋体" w:cs="宋体"/>
          <w:szCs w:val="21"/>
        </w:rPr>
        <w:t>1.满足《中华人民共和国政府采购法》第二十二条规定；</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 w:val="21"/>
          <w:szCs w:val="21"/>
        </w:rPr>
        <w:t>2.落实政府采购政策需满足的资格要求：分标1、2：专门面向中小</w:t>
      </w:r>
      <w:r>
        <w:rPr>
          <w:rFonts w:hint="eastAsia" w:ascii="宋体" w:hAnsi="宋体" w:eastAsia="宋体" w:cs="宋体"/>
          <w:color w:val="auto"/>
          <w:sz w:val="21"/>
          <w:szCs w:val="21"/>
          <w:lang w:eastAsia="zh-CN"/>
        </w:rPr>
        <w:t>微</w:t>
      </w:r>
      <w:r>
        <w:rPr>
          <w:rFonts w:hint="eastAsia" w:ascii="宋体" w:hAnsi="宋体" w:eastAsia="宋体" w:cs="宋体"/>
          <w:color w:val="auto"/>
          <w:sz w:val="21"/>
          <w:szCs w:val="21"/>
        </w:rPr>
        <w:t>企业采购（供应商应为中小微企业</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监狱企业</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残疾人福利性单位)</w:t>
      </w:r>
    </w:p>
    <w:p>
      <w:pPr>
        <w:spacing w:line="360" w:lineRule="auto"/>
        <w:ind w:firstLine="420" w:firstLineChars="200"/>
        <w:rPr>
          <w:rFonts w:ascii="宋体" w:hAnsi="宋体" w:cs="宋体"/>
          <w:color w:val="auto"/>
          <w:szCs w:val="21"/>
        </w:rPr>
      </w:pPr>
      <w:r>
        <w:rPr>
          <w:rFonts w:hint="eastAsia" w:ascii="宋体" w:hAnsi="宋体" w:cs="宋体"/>
          <w:color w:val="auto"/>
          <w:szCs w:val="21"/>
        </w:rPr>
        <w:t>3.本项目的特定资格要求：</w:t>
      </w:r>
    </w:p>
    <w:p>
      <w:pPr>
        <w:spacing w:line="360" w:lineRule="auto"/>
        <w:ind w:firstLine="420" w:firstLineChars="200"/>
        <w:rPr>
          <w:rFonts w:ascii="宋体" w:hAnsi="宋体" w:cs="宋体"/>
          <w:szCs w:val="21"/>
        </w:rPr>
      </w:pPr>
      <w:r>
        <w:rPr>
          <w:rFonts w:hint="eastAsia" w:ascii="宋体" w:hAnsi="宋体" w:cs="宋体"/>
          <w:szCs w:val="21"/>
        </w:rPr>
        <w:t>【分标1、2】</w:t>
      </w:r>
    </w:p>
    <w:p>
      <w:pPr>
        <w:spacing w:line="360" w:lineRule="auto"/>
        <w:ind w:firstLine="420" w:firstLineChars="200"/>
        <w:rPr>
          <w:rFonts w:ascii="宋体" w:hAnsi="宋体" w:cs="宋体"/>
          <w:szCs w:val="21"/>
        </w:rPr>
      </w:pPr>
      <w:r>
        <w:rPr>
          <w:rFonts w:hint="eastAsia" w:ascii="宋体" w:hAnsi="宋体" w:cs="宋体"/>
          <w:szCs w:val="21"/>
        </w:rPr>
        <w:t>（1）具有有效的《食品经营许可证》或按市场监督管理部门规定完成备案，经营范围包含“特殊医学用途配方食品”。</w:t>
      </w:r>
    </w:p>
    <w:p>
      <w:pPr>
        <w:spacing w:line="360" w:lineRule="auto"/>
        <w:ind w:firstLine="420" w:firstLineChars="200"/>
        <w:rPr>
          <w:rFonts w:ascii="宋体" w:hAnsi="宋体" w:cs="宋体"/>
          <w:szCs w:val="21"/>
        </w:rPr>
      </w:pPr>
      <w:r>
        <w:rPr>
          <w:rFonts w:hint="eastAsia" w:ascii="宋体" w:hAnsi="宋体" w:cs="宋体"/>
          <w:szCs w:val="21"/>
        </w:rPr>
        <w:t>（2）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pPr>
        <w:spacing w:line="360" w:lineRule="auto"/>
        <w:ind w:firstLine="420" w:firstLineChars="200"/>
        <w:rPr>
          <w:rFonts w:ascii="宋体" w:hAnsi="宋体" w:cs="宋体"/>
          <w:szCs w:val="21"/>
        </w:rPr>
      </w:pPr>
      <w:r>
        <w:rPr>
          <w:rFonts w:hint="eastAsia" w:ascii="宋体" w:hAnsi="宋体" w:cs="宋体"/>
          <w:szCs w:val="21"/>
        </w:rPr>
        <w:t>（3）未被列入失信被执行人、重大税收违法失信主体、政府采购严重违法失信行为记录名单。</w:t>
      </w:r>
    </w:p>
    <w:p>
      <w:pPr>
        <w:spacing w:line="360" w:lineRule="auto"/>
        <w:ind w:firstLine="420" w:firstLineChars="200"/>
        <w:rPr>
          <w:rFonts w:ascii="宋体" w:hAnsi="宋体" w:cs="宋体"/>
          <w:szCs w:val="21"/>
        </w:rPr>
      </w:pPr>
      <w:r>
        <w:rPr>
          <w:rFonts w:hint="eastAsia" w:ascii="宋体" w:hAnsi="宋体" w:cs="宋体"/>
          <w:szCs w:val="21"/>
        </w:rPr>
        <w:t>（4）本项目不允许分包。</w:t>
      </w:r>
    </w:p>
    <w:p>
      <w:pPr>
        <w:spacing w:line="360" w:lineRule="auto"/>
        <w:ind w:firstLine="420" w:firstLineChars="200"/>
        <w:rPr>
          <w:rFonts w:ascii="宋体" w:hAnsi="宋体" w:cs="宋体"/>
          <w:szCs w:val="21"/>
        </w:rPr>
      </w:pPr>
      <w:r>
        <w:rPr>
          <w:rFonts w:hint="eastAsia" w:ascii="宋体" w:hAnsi="宋体" w:cs="宋体"/>
          <w:szCs w:val="21"/>
        </w:rPr>
        <w:t>（5）本项目不接受联合体投标。</w:t>
      </w:r>
    </w:p>
    <w:p>
      <w:pPr>
        <w:spacing w:line="360" w:lineRule="auto"/>
        <w:ind w:firstLine="420" w:firstLineChars="200"/>
        <w:rPr>
          <w:rFonts w:ascii="宋体" w:hAnsi="宋体" w:cs="宋体"/>
          <w:szCs w:val="21"/>
        </w:rPr>
      </w:pPr>
      <w:r>
        <w:rPr>
          <w:rFonts w:hint="eastAsia" w:ascii="宋体" w:hAnsi="宋体" w:cs="宋体"/>
          <w:szCs w:val="21"/>
        </w:rPr>
        <w:t>（6）按照磋商公告的规定获得采购文件。采购文件有规定时按要求提交磋商保证金。</w:t>
      </w:r>
    </w:p>
    <w:p>
      <w:pPr>
        <w:widowControl/>
        <w:spacing w:line="360" w:lineRule="auto"/>
        <w:ind w:firstLine="482" w:firstLineChars="200"/>
        <w:rPr>
          <w:rFonts w:ascii="宋体" w:hAnsi="宋体" w:cs="宋体"/>
          <w:b/>
          <w:sz w:val="24"/>
        </w:rPr>
      </w:pPr>
      <w:r>
        <w:rPr>
          <w:rFonts w:hint="eastAsia" w:ascii="宋体" w:hAnsi="宋体" w:cs="宋体"/>
          <w:b/>
          <w:sz w:val="24"/>
        </w:rPr>
        <w:t>三、获取采购文件</w:t>
      </w:r>
    </w:p>
    <w:p>
      <w:pPr>
        <w:spacing w:line="360" w:lineRule="auto"/>
        <w:ind w:firstLine="420" w:firstLineChars="200"/>
        <w:rPr>
          <w:rFonts w:ascii="宋体" w:hAnsi="宋体" w:cs="宋体"/>
          <w:bCs/>
          <w:kern w:val="0"/>
          <w:szCs w:val="21"/>
        </w:rPr>
      </w:pPr>
      <w:r>
        <w:rPr>
          <w:rFonts w:hint="eastAsia" w:ascii="宋体" w:hAnsi="宋体" w:cs="宋体"/>
          <w:bCs/>
          <w:kern w:val="0"/>
          <w:szCs w:val="21"/>
        </w:rPr>
        <w:t>时间：</w:t>
      </w:r>
      <w:r>
        <w:rPr>
          <w:rFonts w:hint="eastAsia" w:ascii="宋体" w:hAnsi="宋体" w:cs="宋体"/>
          <w:szCs w:val="21"/>
          <w:lang w:val="en-US" w:eastAsia="zh-CN"/>
        </w:rPr>
        <w:t>2024年07月23日</w:t>
      </w:r>
      <w:r>
        <w:rPr>
          <w:rFonts w:hint="eastAsia" w:ascii="宋体" w:hAnsi="宋体" w:cs="宋体"/>
          <w:szCs w:val="21"/>
        </w:rPr>
        <w:t>至2024年07月</w:t>
      </w:r>
      <w:r>
        <w:rPr>
          <w:rFonts w:hint="eastAsia" w:ascii="宋体" w:hAnsi="宋体" w:cs="宋体"/>
          <w:szCs w:val="21"/>
          <w:lang w:val="en-US" w:eastAsia="zh-CN"/>
        </w:rPr>
        <w:t>30</w:t>
      </w:r>
      <w:r>
        <w:rPr>
          <w:rFonts w:hint="eastAsia" w:ascii="宋体" w:hAnsi="宋体" w:cs="宋体"/>
          <w:szCs w:val="21"/>
        </w:rPr>
        <w:t>日，每天上午00:00至11:59，下午12:00至23:59（北京时间，法定节假日除外）</w:t>
      </w:r>
      <w:r>
        <w:rPr>
          <w:rFonts w:hint="eastAsia" w:ascii="宋体" w:hAnsi="宋体" w:cs="宋体"/>
          <w:bCs/>
          <w:kern w:val="0"/>
          <w:szCs w:val="21"/>
        </w:rPr>
        <w:t>。</w:t>
      </w:r>
    </w:p>
    <w:p>
      <w:pPr>
        <w:spacing w:line="360" w:lineRule="auto"/>
        <w:ind w:firstLine="420" w:firstLineChars="200"/>
        <w:rPr>
          <w:rFonts w:ascii="宋体" w:hAnsi="宋体" w:cs="宋体"/>
          <w:bCs/>
          <w:kern w:val="0"/>
          <w:szCs w:val="21"/>
        </w:rPr>
      </w:pPr>
      <w:r>
        <w:rPr>
          <w:rFonts w:hint="eastAsia" w:ascii="宋体" w:hAnsi="宋体" w:cs="宋体"/>
          <w:bCs/>
          <w:kern w:val="0"/>
          <w:szCs w:val="21"/>
        </w:rPr>
        <w:t>地点：广西政府采购云平台（https://www.gcy.zfcg.gxzf.gov.cn/）</w:t>
      </w:r>
    </w:p>
    <w:p>
      <w:pPr>
        <w:spacing w:line="360" w:lineRule="auto"/>
        <w:ind w:firstLine="420" w:firstLineChars="200"/>
        <w:rPr>
          <w:rFonts w:ascii="宋体" w:hAnsi="宋体" w:cs="宋体"/>
          <w:bCs/>
          <w:kern w:val="0"/>
          <w:szCs w:val="21"/>
        </w:rPr>
      </w:pPr>
      <w:r>
        <w:rPr>
          <w:rFonts w:hint="eastAsia" w:ascii="宋体" w:hAnsi="宋体" w:cs="宋体"/>
          <w:bCs/>
          <w:kern w:val="0"/>
          <w:szCs w:val="21"/>
        </w:rPr>
        <w:t>方式：网上下载。本项目不发放纸质采购文件，供应商可自行在广西政府采购云平台（https://www.gcy.zfcg.gxzf.gov.cn/）下载采购文件（操作路径：登录“广西政采云”平台-项目采购-获取采购文件-找到本项目-点击“申请获取采购文件”），电子响应文件制作需要基于广西政府采购云平台获取的采购文件编制，通过其他方式获取采购文件的，将有可能导致供应商无法在广西政府采购云平台编制及上传响应文件。</w:t>
      </w:r>
    </w:p>
    <w:p>
      <w:pPr>
        <w:spacing w:line="360" w:lineRule="auto"/>
        <w:ind w:firstLine="420" w:firstLineChars="200"/>
        <w:rPr>
          <w:rFonts w:ascii="宋体" w:hAnsi="宋体" w:cs="宋体"/>
          <w:szCs w:val="21"/>
        </w:rPr>
      </w:pPr>
      <w:r>
        <w:rPr>
          <w:rFonts w:hint="eastAsia" w:ascii="宋体" w:hAnsi="宋体" w:cs="宋体"/>
          <w:bCs/>
          <w:kern w:val="0"/>
          <w:szCs w:val="21"/>
        </w:rPr>
        <w:t>售价：0元。</w:t>
      </w:r>
    </w:p>
    <w:p>
      <w:pPr>
        <w:widowControl/>
        <w:spacing w:line="360" w:lineRule="auto"/>
        <w:ind w:firstLine="482" w:firstLineChars="200"/>
        <w:rPr>
          <w:rFonts w:ascii="宋体" w:hAnsi="宋体" w:cs="宋体"/>
          <w:b/>
          <w:sz w:val="24"/>
        </w:rPr>
      </w:pPr>
      <w:r>
        <w:rPr>
          <w:rFonts w:hint="eastAsia" w:ascii="宋体" w:hAnsi="宋体" w:cs="宋体"/>
          <w:b/>
          <w:sz w:val="24"/>
        </w:rPr>
        <w:t>四、响应文件提交</w:t>
      </w:r>
    </w:p>
    <w:p>
      <w:pPr>
        <w:spacing w:line="360" w:lineRule="auto"/>
        <w:ind w:firstLine="420" w:firstLineChars="200"/>
        <w:rPr>
          <w:rFonts w:ascii="宋体" w:hAnsi="宋体" w:cs="宋体"/>
          <w:szCs w:val="21"/>
        </w:rPr>
      </w:pPr>
      <w:r>
        <w:rPr>
          <w:rFonts w:hint="eastAsia" w:ascii="宋体" w:hAnsi="宋体" w:cs="宋体"/>
          <w:szCs w:val="21"/>
        </w:rPr>
        <w:t>截止时间：</w:t>
      </w:r>
      <w:r>
        <w:rPr>
          <w:rFonts w:hint="eastAsia" w:ascii="宋体" w:hAnsi="宋体" w:cs="宋体"/>
          <w:color w:val="auto"/>
          <w:szCs w:val="21"/>
          <w:lang w:eastAsia="zh-CN"/>
        </w:rPr>
        <w:t>2024年08月06日</w:t>
      </w:r>
      <w:r>
        <w:rPr>
          <w:rFonts w:hint="eastAsia" w:ascii="宋体" w:hAnsi="宋体" w:cs="宋体"/>
          <w:color w:val="auto"/>
          <w:szCs w:val="21"/>
        </w:rPr>
        <w:t xml:space="preserve"> 09:30（北京时间）</w:t>
      </w:r>
    </w:p>
    <w:p>
      <w:pPr>
        <w:spacing w:line="360" w:lineRule="auto"/>
        <w:ind w:firstLine="420" w:firstLineChars="200"/>
        <w:rPr>
          <w:rFonts w:ascii="宋体" w:hAnsi="宋体" w:cs="宋体"/>
          <w:szCs w:val="21"/>
        </w:rPr>
      </w:pPr>
      <w:r>
        <w:rPr>
          <w:rFonts w:hint="eastAsia" w:ascii="宋体" w:hAnsi="宋体" w:cs="宋体"/>
          <w:szCs w:val="21"/>
        </w:rPr>
        <w:t>地点（网址）：本项目为全流程电子化项目，没有现场递交响应文件及现场截标环节，通过广西政府采购云平台（https://www.gcy.zfcg.gxzf.gov.cn/）实行在线电子响应。供应商应先安装“政采云投标客户端”（请自行前往广西政府采购云平台进行下载），并按照本项目采购文件和广西政府采购云平台的要求使用CA认证编制、加密响应文件后在响应截止时间前上传至广西政府采购云平台，供应商在广西政府采购云平台提交电子版响应文件时，请填写参加远程截标活动经办人联系方式。</w:t>
      </w:r>
    </w:p>
    <w:p>
      <w:pPr>
        <w:widowControl/>
        <w:spacing w:line="360" w:lineRule="auto"/>
        <w:ind w:firstLine="482" w:firstLineChars="200"/>
        <w:rPr>
          <w:rFonts w:ascii="宋体" w:hAnsi="宋体" w:cs="宋体"/>
          <w:b/>
          <w:sz w:val="24"/>
        </w:rPr>
      </w:pPr>
      <w:r>
        <w:rPr>
          <w:rFonts w:hint="eastAsia" w:ascii="宋体" w:hAnsi="宋体" w:cs="宋体"/>
          <w:b/>
          <w:sz w:val="24"/>
        </w:rPr>
        <w:t>五、响应文件开启</w:t>
      </w:r>
    </w:p>
    <w:p>
      <w:pPr>
        <w:spacing w:line="360" w:lineRule="auto"/>
        <w:ind w:firstLine="420" w:firstLineChars="200"/>
        <w:rPr>
          <w:rFonts w:ascii="宋体" w:hAnsi="宋体" w:cs="宋体"/>
          <w:bCs/>
          <w:szCs w:val="21"/>
        </w:rPr>
      </w:pPr>
      <w:r>
        <w:rPr>
          <w:rFonts w:hint="eastAsia" w:ascii="宋体" w:hAnsi="宋体" w:cs="宋体"/>
          <w:bCs/>
          <w:szCs w:val="21"/>
        </w:rPr>
        <w:t>开启时间：</w:t>
      </w:r>
      <w:r>
        <w:rPr>
          <w:rFonts w:hint="eastAsia" w:ascii="宋体" w:hAnsi="宋体" w:cs="宋体"/>
          <w:bCs/>
          <w:color w:val="auto"/>
          <w:szCs w:val="21"/>
          <w:lang w:eastAsia="zh-CN"/>
        </w:rPr>
        <w:t>2024年08月06日</w:t>
      </w:r>
      <w:r>
        <w:rPr>
          <w:rFonts w:hint="eastAsia" w:ascii="宋体" w:hAnsi="宋体" w:cs="宋体"/>
          <w:bCs/>
          <w:color w:val="auto"/>
          <w:szCs w:val="21"/>
        </w:rPr>
        <w:t xml:space="preserve"> 09:30 （北京时间）</w:t>
      </w:r>
    </w:p>
    <w:p>
      <w:pPr>
        <w:spacing w:line="360" w:lineRule="auto"/>
        <w:ind w:firstLine="420" w:firstLineChars="200"/>
        <w:rPr>
          <w:rFonts w:ascii="宋体" w:hAnsi="宋体" w:cs="宋体"/>
          <w:szCs w:val="21"/>
        </w:rPr>
      </w:pPr>
      <w:r>
        <w:rPr>
          <w:rFonts w:hint="eastAsia" w:ascii="宋体" w:hAnsi="宋体" w:cs="宋体"/>
          <w:szCs w:val="21"/>
        </w:rPr>
        <w:t>地点：广西政府采购云平台（https://www.gcy.zfcg.gxzf.gov.cn/）电子开标大厅</w:t>
      </w:r>
    </w:p>
    <w:p>
      <w:pPr>
        <w:widowControl/>
        <w:spacing w:line="360" w:lineRule="auto"/>
        <w:ind w:firstLine="482" w:firstLineChars="200"/>
        <w:rPr>
          <w:rFonts w:ascii="宋体" w:hAnsi="宋体" w:cs="宋体"/>
          <w:b/>
          <w:sz w:val="24"/>
        </w:rPr>
      </w:pPr>
      <w:r>
        <w:rPr>
          <w:rFonts w:hint="eastAsia" w:ascii="宋体" w:hAnsi="宋体" w:cs="宋体"/>
          <w:b/>
          <w:sz w:val="24"/>
        </w:rPr>
        <w:t>六、公告期限</w:t>
      </w:r>
    </w:p>
    <w:p>
      <w:pPr>
        <w:spacing w:line="360" w:lineRule="auto"/>
        <w:ind w:firstLine="420" w:firstLineChars="200"/>
        <w:rPr>
          <w:rFonts w:ascii="宋体" w:hAnsi="宋体" w:cs="宋体"/>
          <w:kern w:val="0"/>
          <w:szCs w:val="21"/>
        </w:rPr>
      </w:pPr>
      <w:r>
        <w:rPr>
          <w:rFonts w:hint="eastAsia" w:ascii="宋体" w:hAnsi="宋体" w:cs="宋体"/>
          <w:kern w:val="0"/>
          <w:szCs w:val="21"/>
        </w:rPr>
        <w:t>自本公告发布之日起</w:t>
      </w:r>
      <w:r>
        <w:rPr>
          <w:rFonts w:hint="eastAsia" w:ascii="宋体" w:hAnsi="宋体" w:cs="宋体"/>
          <w:kern w:val="0"/>
          <w:szCs w:val="21"/>
          <w:lang w:val="en-US" w:eastAsia="zh-CN"/>
        </w:rPr>
        <w:t>5</w:t>
      </w:r>
      <w:r>
        <w:rPr>
          <w:rFonts w:hint="eastAsia" w:ascii="宋体" w:hAnsi="宋体" w:cs="宋体"/>
          <w:kern w:val="0"/>
          <w:szCs w:val="21"/>
        </w:rPr>
        <w:t>个工作日。</w:t>
      </w:r>
    </w:p>
    <w:p>
      <w:pPr>
        <w:spacing w:line="360" w:lineRule="auto"/>
        <w:ind w:firstLine="480" w:firstLineChars="200"/>
        <w:rPr>
          <w:rFonts w:ascii="宋体" w:hAnsi="宋体" w:cs="宋体"/>
          <w:sz w:val="24"/>
        </w:rPr>
      </w:pPr>
      <w:r>
        <w:rPr>
          <w:rFonts w:hint="eastAsia" w:ascii="宋体" w:hAnsi="宋体" w:cs="宋体"/>
          <w:sz w:val="24"/>
        </w:rPr>
        <w:t>七、</w:t>
      </w:r>
      <w:r>
        <w:rPr>
          <w:rFonts w:hint="eastAsia" w:ascii="宋体" w:hAnsi="宋体" w:cs="宋体"/>
          <w:b/>
          <w:sz w:val="24"/>
        </w:rPr>
        <w:t>其他补充事宜</w:t>
      </w:r>
      <w:r>
        <w:rPr>
          <w:rFonts w:hint="eastAsia" w:ascii="宋体" w:hAnsi="宋体" w:cs="宋体"/>
          <w:sz w:val="24"/>
        </w:rPr>
        <w:t>：</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1.磋商保证金（人民币）：</w:t>
      </w:r>
      <w:r>
        <w:rPr>
          <w:rFonts w:hint="eastAsia" w:ascii="宋体" w:hAnsi="宋体" w:cs="宋体"/>
          <w:kern w:val="0"/>
          <w:szCs w:val="21"/>
          <w:lang w:val="en-US" w:eastAsia="zh-CN"/>
        </w:rPr>
        <w:t>1</w:t>
      </w:r>
      <w:r>
        <w:rPr>
          <w:rFonts w:hint="eastAsia" w:ascii="宋体" w:hAnsi="宋体" w:cs="宋体"/>
          <w:kern w:val="0"/>
          <w:szCs w:val="21"/>
        </w:rPr>
        <w:t>分标陆仟伍佰元整（¥6500.00），</w:t>
      </w:r>
      <w:r>
        <w:rPr>
          <w:rFonts w:hint="eastAsia" w:ascii="宋体" w:hAnsi="宋体" w:cs="宋体"/>
          <w:kern w:val="0"/>
          <w:szCs w:val="21"/>
          <w:lang w:val="en-US" w:eastAsia="zh-CN"/>
        </w:rPr>
        <w:t>2</w:t>
      </w:r>
      <w:r>
        <w:rPr>
          <w:rFonts w:hint="eastAsia" w:ascii="宋体" w:hAnsi="宋体" w:cs="宋体"/>
          <w:kern w:val="0"/>
          <w:szCs w:val="21"/>
        </w:rPr>
        <w:t>分标伍仟肆佰元整（¥5400.00）(必须按分标足额交纳)</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（1）磋商保证金交纳形式：银行转账、支票、汇票、本票或者金融机构、担保机构出具的保函等非现金形式提交。</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（2）采用银行转账方式的，在首次响应文件提交截止时间前交至采购代理机构指定账户并且到账；缴纳磋商保证金指定账户的信息：</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开户名称：华夏城投项目管理有限公司广西分公司</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开户银行：中国建设银行股份有限公司南宁五象支行</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银行账号：4505 0160 5001 0000 0030；</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采用支票、汇票、本票或者保函等形式的，供应商应将支票、汇票、本票或者银行、保险机构出具的保函的复印件作为磋商保证金提交凭证，放置于商务技术文件中，否则响应文件按无效处理，并在响应文件提交截止时间前将单独密封的支票、汇票、本票或者银行、保险机构出具的保函原件提交给采购代理机构，由采购代理机构妥善保管。</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2.网上公告媒体查询</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中国政府采购网（http://www.ccgp.gov.cn/）、广西壮族自治区政府采购网（http://www.ccgp-guangxi.gov.cn/）、华夏城投项目管理有限公司官网（http://www.sxhx2001.com）</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3.本项目需要落实的政府采购政策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（1）政府采购促进中小企业发展。</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（2）政府采购支持采用本国产品的政策。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（3）强制采购节能产品；优先采购节能产品、环境标志产品。</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（4）政府采购促进残疾人就业政策。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（5）政府采购支持监狱企业发展。</w:t>
      </w:r>
    </w:p>
    <w:bookmarkEnd w:id="6"/>
    <w:p>
      <w:pPr>
        <w:widowControl/>
        <w:spacing w:line="360" w:lineRule="auto"/>
        <w:ind w:firstLine="420" w:firstLineChars="200"/>
        <w:rPr>
          <w:rFonts w:ascii="宋体" w:hAnsi="宋体" w:cs="宋体"/>
          <w:kern w:val="0"/>
          <w:szCs w:val="21"/>
        </w:rPr>
      </w:pPr>
      <w:r>
        <w:rPr>
          <w:rFonts w:hint="eastAsia" w:ascii="宋体" w:hAnsi="宋体" w:cs="宋体"/>
          <w:kern w:val="0"/>
          <w:szCs w:val="21"/>
        </w:rPr>
        <w:t>4.注意事项：</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（1）未进行网上注册并办理数字证书（CA认证）的供应商将无法参与本项目政府采购活动，潜在供应商应当在响应截止时间前，完成</w:t>
      </w:r>
      <w:r>
        <w:rPr>
          <w:rFonts w:hint="eastAsia" w:ascii="宋体" w:hAnsi="宋体" w:cs="宋体"/>
          <w:kern w:val="0"/>
          <w:szCs w:val="21"/>
          <w:lang w:eastAsia="zh-CN"/>
        </w:rPr>
        <w:t>广西</w:t>
      </w:r>
      <w:r>
        <w:rPr>
          <w:rFonts w:hint="eastAsia" w:ascii="宋体" w:hAnsi="宋体" w:cs="宋体"/>
          <w:kern w:val="0"/>
          <w:szCs w:val="21"/>
        </w:rPr>
        <w:t>政采云平台上的CA数字证书办理及响应文件的提交。完成CA数字证书办理预计7日左右，建议各供应商抓紧时间办理。</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（2）为确保网上操作合法、有效和安全，请供应商确保在电子投标过程中能够对相关数据电文进行加密和使用电子签章，妥善保管CA数字证书并使用有效的CA数字证书参与整个招标活动。</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（3）若对项目采购电子交易系统操作有疑问，可登录“</w:t>
      </w:r>
      <w:r>
        <w:rPr>
          <w:rFonts w:hint="eastAsia" w:ascii="宋体" w:hAnsi="宋体" w:cs="宋体"/>
          <w:kern w:val="0"/>
          <w:szCs w:val="21"/>
          <w:lang w:eastAsia="zh-CN"/>
        </w:rPr>
        <w:t>广西</w:t>
      </w:r>
      <w:r>
        <w:rPr>
          <w:rFonts w:hint="eastAsia" w:ascii="宋体" w:hAnsi="宋体" w:cs="宋体"/>
          <w:kern w:val="0"/>
          <w:szCs w:val="21"/>
        </w:rPr>
        <w:t>政采云”平台（https://www.gcy.zfcg.gxzf.gov.cn/），点击右侧咨询小采获取采小蜜智能服务管家帮助或点击右侧帮助文档查看供应商指南或拨打政采云服务热线95763获取热线服务帮助。</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5.供应商认为采购文件使自己的权益受到损害的，可以自获取采购文件之日或者采购文件公告期限届满之日（公告期限届满后获取采购文件的，以公告期限届满之日为准）起7个工作日内以书面形式一次性向采购人和采购代理机构提出同一环节的质疑。否则，逾期的质疑采购人及采购代理机构可不予接受。质疑供应商对采购人、采购代理机构的答复不满意或者采购人、采购代理机构未在规定的时间内作出答复的，可以在答复期满后十五个工作日内向同级政府采购监督管理部门投诉。</w:t>
      </w:r>
    </w:p>
    <w:p>
      <w:pPr>
        <w:widowControl/>
        <w:spacing w:line="360" w:lineRule="auto"/>
        <w:ind w:firstLine="482" w:firstLineChars="200"/>
        <w:rPr>
          <w:rFonts w:ascii="宋体" w:hAnsi="宋体" w:cs="宋体"/>
          <w:b/>
          <w:sz w:val="24"/>
        </w:rPr>
      </w:pPr>
      <w:r>
        <w:rPr>
          <w:rFonts w:hint="eastAsia" w:ascii="宋体" w:hAnsi="宋体" w:cs="宋体"/>
          <w:b/>
          <w:sz w:val="24"/>
        </w:rPr>
        <w:t>八、凡对本次采购提出询问，请按以下方式联系</w:t>
      </w:r>
      <w:bookmarkEnd w:id="7"/>
      <w:bookmarkEnd w:id="8"/>
      <w:bookmarkEnd w:id="9"/>
      <w:bookmarkEnd w:id="10"/>
      <w:bookmarkEnd w:id="11"/>
    </w:p>
    <w:p>
      <w:pPr>
        <w:spacing w:line="360" w:lineRule="auto"/>
        <w:ind w:firstLine="567" w:firstLineChars="270"/>
        <w:jc w:val="left"/>
        <w:rPr>
          <w:rFonts w:ascii="宋体" w:hAnsi="宋体" w:cs="宋体"/>
          <w:szCs w:val="21"/>
        </w:rPr>
      </w:pPr>
      <w:bookmarkStart w:id="12" w:name="_Toc28359019"/>
      <w:bookmarkStart w:id="13" w:name="_Toc28359096"/>
      <w:bookmarkStart w:id="14" w:name="_Toc35393637"/>
      <w:bookmarkStart w:id="15" w:name="_Toc35393806"/>
      <w:r>
        <w:rPr>
          <w:rFonts w:hint="eastAsia" w:ascii="宋体" w:hAnsi="宋体" w:cs="宋体"/>
          <w:szCs w:val="21"/>
        </w:rPr>
        <w:t>1、采购人信息</w:t>
      </w:r>
    </w:p>
    <w:p>
      <w:pPr>
        <w:spacing w:line="360" w:lineRule="auto"/>
        <w:ind w:firstLine="567" w:firstLineChars="270"/>
        <w:rPr>
          <w:rFonts w:ascii="宋体" w:hAnsi="宋体" w:cs="宋体"/>
          <w:szCs w:val="21"/>
        </w:rPr>
      </w:pPr>
      <w:r>
        <w:rPr>
          <w:rFonts w:hint="eastAsia" w:ascii="宋体" w:hAnsi="宋体" w:cs="宋体"/>
          <w:szCs w:val="21"/>
        </w:rPr>
        <w:t>名 称：广西中医药大学第一附属医院</w:t>
      </w:r>
    </w:p>
    <w:p>
      <w:pPr>
        <w:spacing w:line="360" w:lineRule="auto"/>
        <w:ind w:firstLine="567" w:firstLineChars="270"/>
        <w:jc w:val="left"/>
        <w:rPr>
          <w:rFonts w:ascii="宋体" w:hAnsi="宋体" w:cs="宋体"/>
          <w:szCs w:val="21"/>
        </w:rPr>
      </w:pPr>
      <w:r>
        <w:rPr>
          <w:rFonts w:hint="eastAsia" w:ascii="宋体" w:hAnsi="宋体" w:cs="宋体"/>
          <w:szCs w:val="21"/>
        </w:rPr>
        <w:t>地址：南宁市东葛路89-9号</w:t>
      </w:r>
    </w:p>
    <w:p>
      <w:pPr>
        <w:spacing w:line="360" w:lineRule="auto"/>
        <w:ind w:firstLine="567" w:firstLineChars="270"/>
        <w:jc w:val="left"/>
        <w:rPr>
          <w:rFonts w:ascii="宋体" w:hAnsi="宋体" w:cs="宋体"/>
          <w:szCs w:val="21"/>
        </w:rPr>
      </w:pPr>
      <w:r>
        <w:rPr>
          <w:rFonts w:hint="eastAsia" w:ascii="宋体" w:hAnsi="宋体" w:cs="宋体"/>
          <w:szCs w:val="21"/>
        </w:rPr>
        <w:t>联系人：胡柳燕</w:t>
      </w:r>
    </w:p>
    <w:p>
      <w:pPr>
        <w:spacing w:line="360" w:lineRule="auto"/>
        <w:ind w:firstLine="567" w:firstLineChars="270"/>
        <w:jc w:val="left"/>
        <w:rPr>
          <w:rFonts w:ascii="宋体" w:hAnsi="宋体" w:cs="宋体"/>
          <w:szCs w:val="21"/>
        </w:rPr>
      </w:pPr>
      <w:r>
        <w:rPr>
          <w:rFonts w:hint="eastAsia" w:ascii="宋体" w:hAnsi="宋体" w:cs="宋体"/>
          <w:szCs w:val="21"/>
        </w:rPr>
        <w:t>联系方式：0771-5602026</w:t>
      </w:r>
    </w:p>
    <w:p>
      <w:pPr>
        <w:spacing w:line="360" w:lineRule="auto"/>
        <w:ind w:firstLine="567" w:firstLineChars="270"/>
        <w:jc w:val="left"/>
        <w:rPr>
          <w:rFonts w:ascii="宋体" w:hAnsi="宋体" w:cs="宋体"/>
          <w:szCs w:val="21"/>
        </w:rPr>
      </w:pPr>
      <w:r>
        <w:rPr>
          <w:rFonts w:hint="eastAsia" w:ascii="宋体" w:hAnsi="宋体" w:cs="宋体"/>
          <w:szCs w:val="21"/>
        </w:rPr>
        <w:t>2、采购代理机构信息</w:t>
      </w:r>
    </w:p>
    <w:p>
      <w:pPr>
        <w:spacing w:line="360" w:lineRule="auto"/>
        <w:ind w:firstLine="567" w:firstLineChars="270"/>
        <w:rPr>
          <w:rFonts w:ascii="宋体" w:hAnsi="宋体" w:cs="宋体"/>
          <w:szCs w:val="21"/>
        </w:rPr>
      </w:pPr>
      <w:r>
        <w:rPr>
          <w:rFonts w:hint="eastAsia" w:ascii="宋体" w:hAnsi="宋体" w:cs="宋体"/>
          <w:szCs w:val="21"/>
        </w:rPr>
        <w:t>名称：华夏城投项目管理有限公司</w:t>
      </w:r>
    </w:p>
    <w:p>
      <w:pPr>
        <w:spacing w:line="360" w:lineRule="auto"/>
        <w:ind w:firstLine="567" w:firstLineChars="270"/>
        <w:rPr>
          <w:rFonts w:ascii="宋体" w:hAnsi="宋体" w:cs="宋体"/>
          <w:szCs w:val="21"/>
        </w:rPr>
      </w:pPr>
      <w:r>
        <w:rPr>
          <w:rFonts w:hint="eastAsia" w:ascii="宋体" w:hAnsi="宋体" w:cs="宋体"/>
          <w:szCs w:val="21"/>
        </w:rPr>
        <w:t>地址：南宁市东葛路118号青秀万达写字楼银座8楼808室</w:t>
      </w:r>
    </w:p>
    <w:p>
      <w:pPr>
        <w:spacing w:line="360" w:lineRule="auto"/>
        <w:ind w:firstLine="567" w:firstLineChars="270"/>
        <w:rPr>
          <w:rFonts w:ascii="宋体" w:hAnsi="宋体" w:cs="宋体"/>
          <w:szCs w:val="21"/>
        </w:rPr>
      </w:pPr>
      <w:r>
        <w:rPr>
          <w:rFonts w:hint="eastAsia" w:ascii="宋体" w:hAnsi="宋体" w:cs="宋体"/>
          <w:szCs w:val="21"/>
        </w:rPr>
        <w:t>联系方式：0771-5382528</w:t>
      </w:r>
    </w:p>
    <w:p>
      <w:pPr>
        <w:spacing w:line="360" w:lineRule="auto"/>
        <w:ind w:firstLine="567" w:firstLineChars="270"/>
        <w:rPr>
          <w:rFonts w:ascii="宋体" w:hAnsi="宋体" w:cs="宋体"/>
          <w:szCs w:val="21"/>
          <w:u w:val="single"/>
        </w:rPr>
      </w:pPr>
      <w:r>
        <w:rPr>
          <w:rFonts w:hint="eastAsia" w:ascii="宋体" w:hAnsi="宋体" w:cs="宋体"/>
          <w:szCs w:val="21"/>
        </w:rPr>
        <w:t>3、项目联系方式</w:t>
      </w:r>
    </w:p>
    <w:p>
      <w:pPr>
        <w:spacing w:line="360" w:lineRule="auto"/>
        <w:ind w:firstLine="567" w:firstLineChars="270"/>
        <w:jc w:val="left"/>
        <w:rPr>
          <w:rFonts w:hAnsi="宋体" w:cs="宋体"/>
          <w:szCs w:val="21"/>
        </w:rPr>
      </w:pPr>
      <w:r>
        <w:rPr>
          <w:rFonts w:hint="eastAsia" w:hAnsi="宋体" w:cs="宋体"/>
          <w:szCs w:val="21"/>
        </w:rPr>
        <w:t>项目联系人：吴小玉、刘彦灵</w:t>
      </w:r>
    </w:p>
    <w:p>
      <w:pPr>
        <w:spacing w:line="360" w:lineRule="auto"/>
        <w:ind w:firstLine="567" w:firstLineChars="270"/>
        <w:jc w:val="left"/>
        <w:rPr>
          <w:rFonts w:ascii="宋体" w:hAnsi="宋体" w:cs="宋体"/>
          <w:szCs w:val="21"/>
        </w:rPr>
      </w:pPr>
      <w:r>
        <w:rPr>
          <w:rFonts w:hint="eastAsia" w:hAnsi="宋体" w:cs="宋体"/>
          <w:szCs w:val="21"/>
        </w:rPr>
        <w:t>电话：0771-5382528</w:t>
      </w:r>
    </w:p>
    <w:p>
      <w:pPr>
        <w:spacing w:line="360" w:lineRule="auto"/>
        <w:ind w:firstLine="567" w:firstLineChars="270"/>
        <w:jc w:val="left"/>
        <w:rPr>
          <w:rFonts w:ascii="宋体" w:hAnsi="宋体" w:cs="宋体"/>
          <w:szCs w:val="21"/>
        </w:rPr>
      </w:pPr>
    </w:p>
    <w:bookmarkEnd w:id="5"/>
    <w:bookmarkEnd w:id="12"/>
    <w:bookmarkEnd w:id="13"/>
    <w:bookmarkEnd w:id="14"/>
    <w:bookmarkEnd w:id="15"/>
    <w:p>
      <w:pPr>
        <w:spacing w:line="360" w:lineRule="auto"/>
        <w:ind w:firstLine="567" w:firstLineChars="270"/>
        <w:jc w:val="right"/>
        <w:rPr>
          <w:rFonts w:ascii="宋体" w:hAnsi="宋体" w:cs="宋体"/>
          <w:szCs w:val="21"/>
        </w:rPr>
      </w:pPr>
      <w:r>
        <w:rPr>
          <w:rFonts w:hint="eastAsia" w:ascii="宋体" w:hAnsi="宋体" w:cs="宋体"/>
          <w:szCs w:val="21"/>
        </w:rPr>
        <w:t>华夏城投项目管理有限公司</w:t>
      </w:r>
    </w:p>
    <w:p>
      <w:pPr>
        <w:spacing w:line="360" w:lineRule="auto"/>
        <w:ind w:firstLine="567" w:firstLineChars="270"/>
        <w:jc w:val="right"/>
        <w:rPr>
          <w:rFonts w:hint="eastAsia" w:ascii="宋体" w:hAnsi="宋体" w:eastAsia="宋体" w:cs="宋体"/>
          <w:szCs w:val="21"/>
          <w:lang w:eastAsia="zh-CN"/>
        </w:rPr>
      </w:pPr>
      <w:r>
        <w:rPr>
          <w:rFonts w:hint="eastAsia" w:ascii="宋体" w:hAnsi="宋体" w:cs="宋体"/>
          <w:color w:val="auto"/>
          <w:szCs w:val="21"/>
          <w:lang w:eastAsia="zh-CN"/>
        </w:rPr>
        <w:t>2024年07月23日</w:t>
      </w:r>
    </w:p>
    <w:p>
      <w:pPr>
        <w:pStyle w:val="5"/>
        <w:jc w:val="center"/>
        <w:rPr>
          <w:rFonts w:hAnsi="宋体" w:cs="宋体"/>
        </w:rPr>
      </w:pPr>
      <w:r>
        <w:rPr>
          <w:rFonts w:hint="eastAsia" w:hAnsi="宋体" w:cs="宋体"/>
        </w:rPr>
        <w:br w:type="page"/>
      </w:r>
      <w:bookmarkStart w:id="16" w:name="_Toc13104"/>
      <w:bookmarkStart w:id="17" w:name="_Toc16584"/>
      <w:bookmarkStart w:id="18" w:name="_Toc7391"/>
      <w:bookmarkStart w:id="19" w:name="_Toc7075"/>
      <w:bookmarkStart w:id="20" w:name="_Toc20235"/>
      <w:r>
        <w:rPr>
          <w:rFonts w:hint="eastAsia" w:hAnsi="宋体" w:cs="宋体"/>
        </w:rPr>
        <w:t>第二章采购需求</w:t>
      </w:r>
      <w:bookmarkEnd w:id="16"/>
      <w:bookmarkEnd w:id="17"/>
      <w:bookmarkEnd w:id="18"/>
      <w:bookmarkEnd w:id="19"/>
      <w:bookmarkEnd w:id="20"/>
    </w:p>
    <w:p>
      <w:pPr>
        <w:spacing w:line="360" w:lineRule="auto"/>
        <w:jc w:val="left"/>
        <w:rPr>
          <w:rFonts w:ascii="宋体" w:hAnsi="宋体" w:cs="宋体"/>
          <w:sz w:val="24"/>
        </w:rPr>
      </w:pPr>
      <w:r>
        <w:rPr>
          <w:rFonts w:hint="eastAsia" w:ascii="宋体" w:hAnsi="宋体" w:cs="宋体"/>
          <w:sz w:val="24"/>
        </w:rPr>
        <w:t>说明：</w:t>
      </w:r>
    </w:p>
    <w:p>
      <w:pPr>
        <w:spacing w:line="360" w:lineRule="auto"/>
        <w:ind w:firstLine="424" w:firstLineChars="202"/>
        <w:jc w:val="left"/>
      </w:pPr>
      <w:r>
        <w:rPr>
          <w:rFonts w:hint="eastAsia"/>
        </w:rPr>
        <w:t>1.为落实政府采购政策需满足的要求（根据项目实际情况填写内容）</w:t>
      </w:r>
    </w:p>
    <w:p>
      <w:pPr>
        <w:spacing w:line="360" w:lineRule="auto"/>
        <w:ind w:firstLine="424" w:firstLineChars="202"/>
        <w:jc w:val="left"/>
      </w:pPr>
      <w:r>
        <w:rPr>
          <w:rFonts w:hint="eastAsia"/>
        </w:rPr>
        <w:t>（1）本采购文件所称中小企业必须符合《政府采购促进中小企业发展管理办法》（财库〔2020〕46号）的规定。</w:t>
      </w:r>
    </w:p>
    <w:p>
      <w:pPr>
        <w:spacing w:line="360" w:lineRule="auto"/>
        <w:ind w:firstLine="424" w:firstLineChars="202"/>
        <w:jc w:val="left"/>
      </w:pPr>
      <w:r>
        <w:rPr>
          <w:rFonts w:hint="eastAsia"/>
        </w:rPr>
        <w:t>（2）根据《财政部 发展改革委 生态环境部 市场监管总局关于调整优化节能产品、环境标志产品政府采购执行机制的通知》（财库〔2019〕9号）和《关于印发节能产品政府采购品目清单的通知》（财库〔2019〕19号）的规定，采购需求中的产品属于节能产品政府采购品目清单内标注“★”的（详见本章后附的节能产品政府采购品目清单），投标人的投标货物必须使用政府强制采购的节能产品，投标人必须在投标文件中提供所投标产品的节能产品认证证书复印件（加盖投标人公章），否则投标文件作无效处理。如本项目包含的货物属于品目清单内非标注“★”的产品时，应优先采购，具体详见“第四章 评标方法及评标标准”。</w:t>
      </w:r>
    </w:p>
    <w:p>
      <w:pPr>
        <w:spacing w:line="360" w:lineRule="auto"/>
        <w:ind w:firstLine="424" w:firstLineChars="202"/>
        <w:jc w:val="left"/>
      </w:pPr>
      <w:r>
        <w:rPr>
          <w:rFonts w:hint="eastAsia"/>
        </w:rPr>
        <w:t>（3）根据《关于信息安全产品实施政府采购的通知》（财库〔2010〕48号）的规定，本项目采购范围包含信息安全产品的（信息安全产品包括：防火墙、网络安全隔离卡与线路选择器、安全隔离与信息交换产品、安全路由器、智能卡COS、数据备份与恢复产品、安全操作系统、安全数据库系统、反垃圾邮件产品、入侵检测系统（IDS）、网络脆弱扫描产品、安全审计产品、网站恢复产品），投标人必须在投标文件中提供中国信息安全认证中心授予的有效的信息安全产品认证证书（加盖投标人公章），否则投标文件作无效处理。</w:t>
      </w:r>
    </w:p>
    <w:p>
      <w:pPr>
        <w:spacing w:line="360" w:lineRule="auto"/>
        <w:ind w:firstLine="424" w:firstLineChars="202"/>
        <w:jc w:val="left"/>
        <w:rPr>
          <w:rFonts w:hint="eastAsia"/>
          <w:color w:val="auto"/>
        </w:rPr>
      </w:pPr>
      <w:r>
        <w:rPr>
          <w:rFonts w:hint="eastAsia"/>
        </w:rPr>
        <w:t>2.“实质性要求”是指采购文件中已经指明不满足则响应文件按无效响应处理的条款，或者不能负偏离</w:t>
      </w:r>
      <w:r>
        <w:rPr>
          <w:rFonts w:hint="eastAsia"/>
          <w:color w:val="auto"/>
        </w:rPr>
        <w:t>的条款，或者采购需求中带“▲”的条款。</w:t>
      </w:r>
    </w:p>
    <w:p>
      <w:pPr>
        <w:spacing w:line="360" w:lineRule="auto"/>
        <w:ind w:firstLine="424" w:firstLineChars="202"/>
        <w:jc w:val="left"/>
        <w:rPr>
          <w:rFonts w:hint="eastAsia" w:eastAsia="宋体"/>
          <w:color w:val="auto"/>
          <w:lang w:eastAsia="zh-CN"/>
        </w:rPr>
      </w:pPr>
      <w:r>
        <w:rPr>
          <w:rFonts w:hint="eastAsia"/>
          <w:color w:val="auto"/>
        </w:rPr>
        <w:t>3．如竞标产品存在侵犯他人的知识产权或者专利成果行为的，供用商应承担相应法律责任。采购需求中如出现品牌、型号或者生产厂家等均仅起参考作用，不属于指定品牌、型号或者生产厂家的情形，供应商可参照或者选用其他相当的品牌、型号或者生产供应商替代，但供应商的产品实质上应相当于或优于本需求中的技术要求</w:t>
      </w:r>
      <w:r>
        <w:rPr>
          <w:rFonts w:hint="eastAsia"/>
          <w:color w:val="auto"/>
          <w:lang w:eastAsia="zh-CN"/>
        </w:rPr>
        <w:t>。</w:t>
      </w:r>
    </w:p>
    <w:p>
      <w:pPr>
        <w:spacing w:line="360" w:lineRule="auto"/>
        <w:ind w:firstLine="424" w:firstLineChars="202"/>
        <w:jc w:val="left"/>
        <w:rPr>
          <w:rFonts w:hint="eastAsia"/>
        </w:rPr>
      </w:pPr>
      <w:r>
        <w:rPr>
          <w:rFonts w:hint="eastAsia"/>
        </w:rPr>
        <w:t>4.各分标未标注“▲”号的非实质性技术要求可允许2项负偏离，3项以上（含3项）负偏离的按无效响应处理。</w:t>
      </w:r>
    </w:p>
    <w:p>
      <w:pPr>
        <w:spacing w:line="360" w:lineRule="auto"/>
        <w:ind w:firstLine="424" w:firstLineChars="202"/>
        <w:jc w:val="left"/>
        <w:rPr>
          <w:rFonts w:hint="eastAsia"/>
        </w:rPr>
      </w:pPr>
      <w:r>
        <w:rPr>
          <w:rFonts w:hint="eastAsia"/>
        </w:rPr>
        <w:t>5.中小企业划分标准所属行业名称（行业名称及划分见本章附件2）：批发业</w:t>
      </w:r>
    </w:p>
    <w:p>
      <w:pPr>
        <w:rPr>
          <w:bCs/>
          <w:color w:val="auto"/>
          <w:sz w:val="24"/>
          <w:highlight w:val="none"/>
        </w:rPr>
      </w:pPr>
      <w:r>
        <w:rPr>
          <w:rFonts w:hint="eastAsia"/>
          <w:bCs/>
          <w:color w:val="auto"/>
          <w:sz w:val="24"/>
          <w:highlight w:val="none"/>
        </w:rPr>
        <w:br w:type="page"/>
      </w:r>
    </w:p>
    <w:p>
      <w:pPr>
        <w:pStyle w:val="6"/>
        <w:jc w:val="left"/>
        <w:rPr>
          <w:color w:val="auto"/>
          <w:highlight w:val="none"/>
        </w:rPr>
      </w:pPr>
      <w:bookmarkStart w:id="21" w:name="_Toc20237"/>
      <w:bookmarkStart w:id="22" w:name="_Toc26333"/>
      <w:bookmarkStart w:id="23" w:name="_Toc18059"/>
      <w:bookmarkStart w:id="24" w:name="_Toc13866"/>
      <w:r>
        <w:rPr>
          <w:rFonts w:hint="eastAsia" w:ascii="宋体" w:hAnsi="宋体" w:cs="宋体"/>
          <w:color w:val="auto"/>
          <w:sz w:val="21"/>
          <w:szCs w:val="21"/>
          <w:highlight w:val="none"/>
        </w:rPr>
        <w:t>分标</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：营养科医用食品配送服务（二）</w:t>
      </w:r>
      <w:bookmarkEnd w:id="21"/>
      <w:bookmarkEnd w:id="22"/>
      <w:bookmarkEnd w:id="23"/>
      <w:bookmarkEnd w:id="24"/>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041"/>
        <w:gridCol w:w="851"/>
        <w:gridCol w:w="6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55"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4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Cs w:val="21"/>
                <w:highlight w:val="none"/>
              </w:rPr>
              <w:t>标的的名称</w:t>
            </w:r>
          </w:p>
        </w:tc>
        <w:tc>
          <w:tcPr>
            <w:tcW w:w="85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数量及单位</w:t>
            </w:r>
          </w:p>
        </w:tc>
        <w:tc>
          <w:tcPr>
            <w:tcW w:w="6238" w:type="dxa"/>
            <w:vAlign w:val="center"/>
          </w:tcPr>
          <w:p>
            <w:pPr>
              <w:tabs>
                <w:tab w:val="left" w:pos="180"/>
                <w:tab w:val="left" w:pos="1620"/>
              </w:tabs>
              <w:jc w:val="center"/>
              <w:rPr>
                <w:rFonts w:ascii="宋体" w:hAnsi="宋体" w:cs="宋体"/>
                <w:b/>
                <w:color w:val="auto"/>
                <w:sz w:val="24"/>
                <w:highlight w:val="none"/>
              </w:rPr>
            </w:pPr>
            <w:r>
              <w:rPr>
                <w:rFonts w:hint="eastAsia" w:ascii="宋体" w:hAnsi="宋体" w:cs="宋体"/>
                <w:b/>
                <w:color w:val="auto"/>
                <w:sz w:val="24"/>
                <w:highlight w:val="none"/>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jc w:val="center"/>
        </w:trPr>
        <w:tc>
          <w:tcPr>
            <w:tcW w:w="655" w:type="dxa"/>
            <w:vAlign w:val="center"/>
          </w:tcPr>
          <w:p>
            <w:pPr>
              <w:tabs>
                <w:tab w:val="left" w:pos="180"/>
                <w:tab w:val="left" w:pos="1620"/>
              </w:tabs>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041" w:type="dxa"/>
            <w:vAlign w:val="center"/>
          </w:tcPr>
          <w:p>
            <w:pPr>
              <w:pStyle w:val="81"/>
              <w:jc w:val="center"/>
              <w:rPr>
                <w:color w:val="auto"/>
                <w:highlight w:val="none"/>
              </w:rPr>
            </w:pPr>
            <w:r>
              <w:rPr>
                <w:rFonts w:hint="eastAsia"/>
                <w:color w:val="auto"/>
                <w:highlight w:val="none"/>
              </w:rPr>
              <w:t>营养科医用食品配送服务（二）</w:t>
            </w:r>
          </w:p>
        </w:tc>
        <w:tc>
          <w:tcPr>
            <w:tcW w:w="851" w:type="dxa"/>
            <w:vAlign w:val="center"/>
          </w:tcPr>
          <w:p>
            <w:pPr>
              <w:widowControl/>
              <w:snapToGrid w:val="0"/>
              <w:spacing w:line="360" w:lineRule="auto"/>
              <w:jc w:val="center"/>
              <w:rPr>
                <w:color w:val="auto"/>
                <w:highlight w:val="none"/>
              </w:rPr>
            </w:pPr>
            <w:r>
              <w:rPr>
                <w:rFonts w:hint="eastAsia"/>
                <w:color w:val="auto"/>
                <w:highlight w:val="none"/>
              </w:rPr>
              <w:t>1项</w:t>
            </w:r>
          </w:p>
        </w:tc>
        <w:tc>
          <w:tcPr>
            <w:tcW w:w="6238" w:type="dxa"/>
            <w:vAlign w:val="center"/>
          </w:tcPr>
          <w:p>
            <w:pPr>
              <w:pStyle w:val="2"/>
              <w:rPr>
                <w:color w:val="auto"/>
                <w:szCs w:val="21"/>
                <w:highlight w:val="none"/>
              </w:rPr>
            </w:pPr>
            <w:r>
              <w:rPr>
                <w:rFonts w:hint="eastAsia"/>
                <w:color w:val="auto"/>
                <w:szCs w:val="21"/>
                <w:highlight w:val="none"/>
              </w:rPr>
              <w:t>一、采购配送医用食品：</w:t>
            </w:r>
          </w:p>
          <w:tbl>
            <w:tblPr>
              <w:tblStyle w:val="33"/>
              <w:tblW w:w="6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934"/>
              <w:gridCol w:w="1067"/>
              <w:gridCol w:w="885"/>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产品名称</w:t>
                  </w:r>
                </w:p>
              </w:tc>
              <w:tc>
                <w:tcPr>
                  <w:tcW w:w="1934" w:type="dxa"/>
                  <w:vAlign w:val="center"/>
                </w:tcPr>
                <w:p>
                  <w:pPr>
                    <w:pStyle w:val="2"/>
                    <w:rPr>
                      <w:color w:val="auto"/>
                      <w:szCs w:val="21"/>
                      <w:highlight w:val="none"/>
                    </w:rPr>
                  </w:pPr>
                  <w:r>
                    <w:rPr>
                      <w:rFonts w:hint="eastAsia"/>
                      <w:color w:val="auto"/>
                      <w:szCs w:val="21"/>
                      <w:highlight w:val="none"/>
                      <w:lang w:eastAsia="zh-CN"/>
                    </w:rPr>
                    <w:t>产品技术要求、</w:t>
                  </w:r>
                  <w:r>
                    <w:rPr>
                      <w:rFonts w:hint="eastAsia"/>
                      <w:color w:val="auto"/>
                      <w:szCs w:val="21"/>
                      <w:highlight w:val="none"/>
                    </w:rPr>
                    <w:t>营养参数（每100g)±10%以内</w:t>
                  </w:r>
                </w:p>
              </w:tc>
              <w:tc>
                <w:tcPr>
                  <w:tcW w:w="1067" w:type="dxa"/>
                  <w:vAlign w:val="center"/>
                </w:tcPr>
                <w:p>
                  <w:pPr>
                    <w:pStyle w:val="2"/>
                    <w:rPr>
                      <w:color w:val="auto"/>
                      <w:szCs w:val="21"/>
                      <w:highlight w:val="none"/>
                    </w:rPr>
                  </w:pPr>
                  <w:r>
                    <w:rPr>
                      <w:rFonts w:hint="eastAsia"/>
                      <w:color w:val="auto"/>
                      <w:szCs w:val="21"/>
                      <w:highlight w:val="none"/>
                    </w:rPr>
                    <w:t>规格</w:t>
                  </w:r>
                </w:p>
              </w:tc>
              <w:tc>
                <w:tcPr>
                  <w:tcW w:w="885" w:type="dxa"/>
                  <w:vAlign w:val="center"/>
                </w:tcPr>
                <w:p>
                  <w:pPr>
                    <w:pStyle w:val="2"/>
                    <w:rPr>
                      <w:color w:val="auto"/>
                      <w:szCs w:val="21"/>
                      <w:highlight w:val="none"/>
                    </w:rPr>
                  </w:pPr>
                  <w:r>
                    <w:rPr>
                      <w:rFonts w:hint="eastAsia"/>
                      <w:color w:val="auto"/>
                      <w:szCs w:val="21"/>
                      <w:highlight w:val="none"/>
                    </w:rPr>
                    <w:t>预计年采购量</w:t>
                  </w:r>
                </w:p>
              </w:tc>
              <w:tc>
                <w:tcPr>
                  <w:tcW w:w="932" w:type="dxa"/>
                  <w:vAlign w:val="center"/>
                </w:tcPr>
                <w:p>
                  <w:pPr>
                    <w:pStyle w:val="2"/>
                    <w:jc w:val="center"/>
                    <w:rPr>
                      <w:rFonts w:hint="eastAsia" w:eastAsia="宋体"/>
                      <w:color w:val="auto"/>
                      <w:szCs w:val="21"/>
                      <w:highlight w:val="none"/>
                      <w:lang w:eastAsia="zh-CN"/>
                    </w:rPr>
                  </w:pPr>
                  <w:r>
                    <w:rPr>
                      <w:rFonts w:hint="eastAsia"/>
                      <w:color w:val="auto"/>
                      <w:szCs w:val="21"/>
                      <w:highlight w:val="none"/>
                    </w:rPr>
                    <w:t>每样货品的最高限价</w:t>
                  </w:r>
                  <w:r>
                    <w:rPr>
                      <w:rFonts w:hint="eastAsia"/>
                      <w:color w:val="auto"/>
                      <w:szCs w:val="21"/>
                      <w:highlight w:val="none"/>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益生菌颗粒</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每条100亿CFU活菌数</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2g*18条/包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45包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复合维生素组件</w:t>
                  </w:r>
                </w:p>
              </w:tc>
              <w:tc>
                <w:tcPr>
                  <w:tcW w:w="1934" w:type="dxa"/>
                  <w:vAlign w:val="bottom"/>
                </w:tcPr>
                <w:p>
                  <w:pPr>
                    <w:widowControl/>
                    <w:jc w:val="center"/>
                    <w:textAlignment w:val="bottom"/>
                    <w:rPr>
                      <w:color w:val="auto"/>
                      <w:szCs w:val="21"/>
                      <w:highlight w:val="none"/>
                    </w:rPr>
                  </w:pPr>
                  <w:r>
                    <w:rPr>
                      <w:rFonts w:hint="eastAsia"/>
                      <w:color w:val="auto"/>
                      <w:szCs w:val="21"/>
                      <w:highlight w:val="none"/>
                    </w:rPr>
                    <w:t>含维生素A、维生素D、维生素E、维生素B1、维生素B2、维生素B6、维生素B12、维生素C等</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3g*20条</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500条</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匀浆膳（纤维型）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能量＞1800KJ，蛋白质＞16g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1000g/袋</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150袋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益莘固体饮料（低蛋白）</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能量＞1600KJ，蛋白质＜4g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360g/罐</w:t>
                  </w:r>
                </w:p>
              </w:tc>
              <w:tc>
                <w:tcPr>
                  <w:tcW w:w="885" w:type="dxa"/>
                  <w:vAlign w:val="center"/>
                </w:tcPr>
                <w:p>
                  <w:pPr>
                    <w:widowControl/>
                    <w:jc w:val="center"/>
                    <w:textAlignment w:val="center"/>
                    <w:rPr>
                      <w:color w:val="auto"/>
                      <w:szCs w:val="21"/>
                      <w:highlight w:val="none"/>
                    </w:rPr>
                  </w:pPr>
                  <w:r>
                    <w:rPr>
                      <w:color w:val="auto"/>
                      <w:szCs w:val="21"/>
                      <w:highlight w:val="none"/>
                    </w:rPr>
                    <w:t>800罐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乳清蛋白粉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蛋白质：80g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320g/罐</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620罐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分离乳清蛋白粉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纯分离乳清蛋白90g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320g/桶</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100罐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MCT中链甘油三脂</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每条能量148KJ，含中链甘油三酯</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5g/条 20条/包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40包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益适优®即食型益生菌</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含干酪乳杆菌、乳双歧杆菌、植物乳杆菌P-8</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2g*10包/盒</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40盒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135.85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微量元素组件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含：铁、锌、碘、硒、铜、锰</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 xml:space="preserve"> 3g/条 20条/包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300包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膳食纤维组件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每条含膳食纤维4.5g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5g/条 20条/包</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250包</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力贝安固体蛋白饮料</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能量：1800KJ，蛋白质14g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420g/罐</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20罐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119.66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枢能特殊医学用途电解质配方食品</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18岁以上术前补充碳水化合物和电解质的人群，含钾、钠、磷、氯</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200ml/瓶</w:t>
                  </w:r>
                </w:p>
              </w:tc>
              <w:tc>
                <w:tcPr>
                  <w:tcW w:w="885" w:type="dxa"/>
                  <w:vAlign w:val="center"/>
                </w:tcPr>
                <w:p>
                  <w:pPr>
                    <w:widowControl/>
                    <w:jc w:val="center"/>
                    <w:textAlignment w:val="center"/>
                    <w:rPr>
                      <w:color w:val="auto"/>
                      <w:szCs w:val="21"/>
                      <w:highlight w:val="none"/>
                    </w:rPr>
                  </w:pPr>
                  <w:r>
                    <w:rPr>
                      <w:rFonts w:hint="eastAsia"/>
                      <w:color w:val="auto"/>
                      <w:szCs w:val="21"/>
                      <w:highlight w:val="none"/>
                    </w:rPr>
                    <w:t>400瓶</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肠胃营养袋（管饲）</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采用PE食品级材料，有防盗环（安全扣），可与针式泵管连接，袋身印制标签和刻度，有消毒标识，容量：350ml；口径：22mm；口服、管饲双用型</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350ml 20只*25包/箱</w:t>
                  </w:r>
                </w:p>
              </w:tc>
              <w:tc>
                <w:tcPr>
                  <w:tcW w:w="885" w:type="dxa"/>
                  <w:vAlign w:val="center"/>
                </w:tcPr>
                <w:p>
                  <w:pPr>
                    <w:widowControl/>
                    <w:jc w:val="center"/>
                    <w:textAlignment w:val="center"/>
                    <w:rPr>
                      <w:color w:val="auto"/>
                      <w:szCs w:val="21"/>
                      <w:highlight w:val="none"/>
                    </w:rPr>
                  </w:pPr>
                  <w:r>
                    <w:rPr>
                      <w:color w:val="auto"/>
                      <w:szCs w:val="21"/>
                      <w:highlight w:val="none"/>
                    </w:rPr>
                    <w:t>10箱</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935</w:t>
                  </w:r>
                </w:p>
              </w:tc>
            </w:tr>
          </w:tbl>
          <w:p>
            <w:pPr>
              <w:pStyle w:val="3"/>
              <w:ind w:firstLine="0" w:firstLineChars="0"/>
              <w:rPr>
                <w:rFonts w:hAnsi="宋体" w:cs="宋体"/>
                <w:color w:val="auto"/>
                <w:sz w:val="21"/>
                <w:szCs w:val="21"/>
                <w:highlight w:val="none"/>
              </w:rPr>
            </w:pP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二、配送服务要求</w:t>
            </w:r>
          </w:p>
          <w:p>
            <w:pPr>
              <w:pStyle w:val="3"/>
              <w:ind w:firstLine="0" w:firstLineChars="0"/>
              <w:rPr>
                <w:color w:val="auto"/>
                <w:sz w:val="21"/>
                <w:szCs w:val="21"/>
                <w:highlight w:val="none"/>
              </w:rPr>
            </w:pPr>
            <w:r>
              <w:rPr>
                <w:rFonts w:hint="eastAsia"/>
                <w:color w:val="auto"/>
                <w:sz w:val="21"/>
                <w:szCs w:val="21"/>
                <w:highlight w:val="none"/>
              </w:rPr>
              <w:t>1</w:t>
            </w:r>
            <w:r>
              <w:rPr>
                <w:color w:val="auto"/>
                <w:sz w:val="21"/>
                <w:szCs w:val="21"/>
                <w:highlight w:val="none"/>
              </w:rPr>
              <w:t>.配送要求：</w:t>
            </w:r>
          </w:p>
          <w:p>
            <w:pPr>
              <w:pStyle w:val="3"/>
              <w:ind w:firstLine="0" w:firstLineChars="0"/>
              <w:rPr>
                <w:color w:val="auto"/>
                <w:sz w:val="21"/>
                <w:szCs w:val="21"/>
                <w:highlight w:val="none"/>
              </w:rPr>
            </w:pPr>
            <w:r>
              <w:rPr>
                <w:color w:val="auto"/>
                <w:sz w:val="21"/>
                <w:szCs w:val="21"/>
                <w:highlight w:val="none"/>
              </w:rPr>
              <w:t>（1）</w:t>
            </w:r>
            <w:r>
              <w:rPr>
                <w:rFonts w:hint="eastAsia"/>
                <w:color w:val="auto"/>
                <w:sz w:val="21"/>
                <w:szCs w:val="21"/>
                <w:highlight w:val="none"/>
                <w:lang w:eastAsia="zh-CN"/>
              </w:rPr>
              <w:t>供应商必须保证配送的食品生产厂家取得对应食品生产许可证、供应商的食品经营许可证或备案</w:t>
            </w:r>
            <w:r>
              <w:rPr>
                <w:rFonts w:hint="eastAsia"/>
                <w:color w:val="auto"/>
                <w:sz w:val="21"/>
                <w:szCs w:val="21"/>
                <w:highlight w:val="none"/>
              </w:rPr>
              <w:t>包含对应经营范围</w:t>
            </w:r>
            <w:r>
              <w:rPr>
                <w:color w:val="auto"/>
                <w:sz w:val="21"/>
                <w:szCs w:val="21"/>
                <w:highlight w:val="none"/>
              </w:rPr>
              <w:t>，未列入生产许可目录的应符合国家有关标准要求。</w:t>
            </w:r>
          </w:p>
          <w:p>
            <w:pPr>
              <w:pStyle w:val="3"/>
              <w:ind w:firstLine="0" w:firstLineChars="0"/>
              <w:rPr>
                <w:color w:val="auto"/>
                <w:sz w:val="21"/>
                <w:szCs w:val="21"/>
                <w:highlight w:val="none"/>
              </w:rPr>
            </w:pPr>
            <w:r>
              <w:rPr>
                <w:color w:val="auto"/>
                <w:sz w:val="21"/>
                <w:szCs w:val="21"/>
                <w:highlight w:val="none"/>
              </w:rPr>
              <w:t>（2）凡是《食品安全法》禁止经营的食品一律不得采购和使用，严禁配送</w:t>
            </w:r>
            <w:r>
              <w:rPr>
                <w:rFonts w:hint="eastAsia"/>
                <w:color w:val="auto"/>
                <w:sz w:val="21"/>
                <w:szCs w:val="21"/>
                <w:highlight w:val="none"/>
              </w:rPr>
              <w:t>“</w:t>
            </w:r>
            <w:r>
              <w:rPr>
                <w:color w:val="auto"/>
                <w:sz w:val="21"/>
                <w:szCs w:val="21"/>
                <w:highlight w:val="none"/>
              </w:rPr>
              <w:t>三无</w:t>
            </w:r>
            <w:r>
              <w:rPr>
                <w:rFonts w:hint="eastAsia"/>
                <w:color w:val="auto"/>
                <w:sz w:val="21"/>
                <w:szCs w:val="21"/>
                <w:highlight w:val="none"/>
              </w:rPr>
              <w:t>”</w:t>
            </w:r>
            <w:r>
              <w:rPr>
                <w:color w:val="auto"/>
                <w:sz w:val="21"/>
                <w:szCs w:val="21"/>
                <w:highlight w:val="none"/>
              </w:rPr>
              <w:t>食品、有毒、有害、过期、变质、假冒伪劣等不合格食品</w:t>
            </w:r>
            <w:r>
              <w:rPr>
                <w:rFonts w:hint="eastAsia"/>
                <w:color w:val="auto"/>
                <w:sz w:val="21"/>
                <w:szCs w:val="21"/>
                <w:highlight w:val="none"/>
              </w:rPr>
              <w:t>，供应商按规定留样备查。</w:t>
            </w:r>
          </w:p>
          <w:p>
            <w:pPr>
              <w:pStyle w:val="3"/>
              <w:ind w:firstLine="0" w:firstLineChars="0"/>
              <w:rPr>
                <w:color w:val="auto"/>
                <w:sz w:val="21"/>
                <w:szCs w:val="21"/>
                <w:highlight w:val="none"/>
              </w:rPr>
            </w:pPr>
            <w:r>
              <w:rPr>
                <w:color w:val="auto"/>
                <w:sz w:val="21"/>
                <w:szCs w:val="21"/>
                <w:highlight w:val="none"/>
              </w:rPr>
              <w:t>（3）若食品在运输、配送过程中造成的损耗，由成交供应商负责及时更换或补充，以达到该批次供货要求；如在该批次约定交货时间内验收数量无法达到配送要求，所产生的一切责任由成交供应商承担。</w:t>
            </w:r>
          </w:p>
          <w:p>
            <w:pPr>
              <w:pStyle w:val="3"/>
              <w:ind w:firstLine="0" w:firstLineChars="0"/>
              <w:rPr>
                <w:color w:val="auto"/>
                <w:sz w:val="21"/>
                <w:szCs w:val="21"/>
                <w:highlight w:val="none"/>
              </w:rPr>
            </w:pPr>
            <w:r>
              <w:rPr>
                <w:color w:val="auto"/>
                <w:sz w:val="21"/>
                <w:szCs w:val="21"/>
                <w:highlight w:val="none"/>
              </w:rPr>
              <w:t>（4）采购人组织专人负责对配送食品进行留样，成交供应商必须配合相关留样工作。每批次供货留样份，采购人可请有资质的质量检测机构对配送食品进行抽样检查，并对检查情况建立档案；若抽样检查出现不合格产品或因配送食品质量不合格而发生食品安全事故的，成交供应商将承担由此造成的经济责任和法律责任。</w:t>
            </w:r>
          </w:p>
          <w:p>
            <w:pPr>
              <w:pStyle w:val="3"/>
              <w:ind w:firstLine="0" w:firstLineChars="0"/>
              <w:rPr>
                <w:color w:val="auto"/>
                <w:sz w:val="21"/>
                <w:szCs w:val="21"/>
                <w:highlight w:val="none"/>
              </w:rPr>
            </w:pPr>
            <w:r>
              <w:rPr>
                <w:color w:val="auto"/>
                <w:sz w:val="21"/>
                <w:szCs w:val="21"/>
                <w:highlight w:val="none"/>
              </w:rPr>
              <w:t>（5）合同履行过程中产品的相关检验检测费用由成交供应商承担。</w:t>
            </w:r>
          </w:p>
          <w:p>
            <w:pPr>
              <w:pStyle w:val="3"/>
              <w:ind w:firstLine="0" w:firstLineChars="0"/>
              <w:rPr>
                <w:color w:val="auto"/>
                <w:sz w:val="21"/>
                <w:szCs w:val="21"/>
                <w:highlight w:val="none"/>
              </w:rPr>
            </w:pPr>
            <w:r>
              <w:rPr>
                <w:rFonts w:hint="eastAsia"/>
                <w:color w:val="auto"/>
                <w:sz w:val="21"/>
                <w:szCs w:val="21"/>
                <w:highlight w:val="none"/>
              </w:rPr>
              <w:t>2</w:t>
            </w:r>
            <w:r>
              <w:rPr>
                <w:color w:val="auto"/>
                <w:sz w:val="21"/>
                <w:szCs w:val="21"/>
                <w:highlight w:val="none"/>
              </w:rPr>
              <w:t>.成交供应商必须保证所提供的产品质量安全无害，必须遵守《中华人民共和国产品质量法》、《中华人民共和国消费者权益保护法》、《中华人民共和国食品安全法》、《中华人民共和国动物检疫法》、《中华人民共和国计量法》等现行相关法律、法规的规定。</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.预包装类产品须符合《预包装食品标签通则》（GB7718-2011）的规定。</w:t>
            </w:r>
          </w:p>
          <w:p>
            <w:pPr>
              <w:pStyle w:val="3"/>
              <w:ind w:firstLine="0" w:firstLineChars="0"/>
              <w:rPr>
                <w:color w:val="auto"/>
                <w:sz w:val="21"/>
                <w:szCs w:val="21"/>
                <w:highlight w:val="none"/>
              </w:rPr>
            </w:pPr>
            <w:r>
              <w:rPr>
                <w:rFonts w:hint="eastAsia"/>
                <w:color w:val="auto"/>
                <w:sz w:val="21"/>
                <w:szCs w:val="21"/>
                <w:highlight w:val="none"/>
              </w:rPr>
              <w:t>4</w:t>
            </w:r>
            <w:r>
              <w:rPr>
                <w:color w:val="auto"/>
                <w:sz w:val="21"/>
                <w:szCs w:val="21"/>
                <w:highlight w:val="none"/>
              </w:rPr>
              <w:t>.成交供应商必须依法接受质量技术监督、工商、卫生、食品药品监督等职能部门的监督管理，并接受、配合相关职能部门的检测。</w:t>
            </w:r>
          </w:p>
          <w:p>
            <w:pPr>
              <w:pStyle w:val="3"/>
              <w:ind w:firstLine="0" w:firstLineChars="0"/>
              <w:rPr>
                <w:color w:val="auto"/>
                <w:sz w:val="21"/>
                <w:szCs w:val="21"/>
                <w:highlight w:val="none"/>
              </w:rPr>
            </w:pPr>
            <w:r>
              <w:rPr>
                <w:rFonts w:hint="eastAsia"/>
                <w:color w:val="auto"/>
                <w:sz w:val="21"/>
                <w:szCs w:val="21"/>
                <w:highlight w:val="none"/>
              </w:rPr>
              <w:t>5.</w:t>
            </w:r>
            <w:r>
              <w:rPr>
                <w:color w:val="auto"/>
                <w:sz w:val="21"/>
                <w:szCs w:val="21"/>
                <w:highlight w:val="none"/>
              </w:rPr>
              <w:t>在合同履行期间，采购人有权对成交供应商供应</w:t>
            </w:r>
            <w:r>
              <w:rPr>
                <w:rFonts w:hint="eastAsia"/>
                <w:color w:val="auto"/>
                <w:sz w:val="21"/>
                <w:szCs w:val="21"/>
                <w:highlight w:val="none"/>
              </w:rPr>
              <w:t>食品</w:t>
            </w:r>
            <w:r>
              <w:rPr>
                <w:color w:val="auto"/>
                <w:sz w:val="21"/>
                <w:szCs w:val="21"/>
                <w:highlight w:val="none"/>
              </w:rPr>
              <w:t>的相关加工场地及设备进行检查，成交供应商必须配合，不得以各种理由拒绝；若检查结果与其响应文件承诺不符的将视为提供虚假材料谋取中标，报送监管部门，按政府采购相关法律法规追究其相应的法律责任。</w:t>
            </w:r>
          </w:p>
          <w:p>
            <w:pPr>
              <w:pStyle w:val="3"/>
              <w:ind w:firstLine="0" w:firstLineChars="0"/>
              <w:rPr>
                <w:color w:val="auto"/>
                <w:sz w:val="21"/>
                <w:szCs w:val="21"/>
                <w:highlight w:val="none"/>
              </w:rPr>
            </w:pPr>
            <w:r>
              <w:rPr>
                <w:rFonts w:hint="eastAsia"/>
                <w:color w:val="auto"/>
                <w:sz w:val="21"/>
                <w:szCs w:val="21"/>
                <w:highlight w:val="none"/>
              </w:rPr>
              <w:t>6</w:t>
            </w:r>
            <w:r>
              <w:rPr>
                <w:color w:val="auto"/>
                <w:sz w:val="21"/>
                <w:szCs w:val="21"/>
                <w:highlight w:val="none"/>
              </w:rPr>
              <w:t>.在服务期限内保障采购</w:t>
            </w:r>
            <w:r>
              <w:rPr>
                <w:rFonts w:hint="eastAsia"/>
                <w:color w:val="auto"/>
                <w:sz w:val="21"/>
                <w:szCs w:val="21"/>
                <w:highlight w:val="none"/>
              </w:rPr>
              <w:t>人</w:t>
            </w:r>
            <w:r>
              <w:rPr>
                <w:color w:val="auto"/>
                <w:sz w:val="21"/>
                <w:szCs w:val="21"/>
                <w:highlight w:val="none"/>
              </w:rPr>
              <w:t>的供货需求，采购</w:t>
            </w:r>
            <w:r>
              <w:rPr>
                <w:rFonts w:hint="eastAsia"/>
                <w:color w:val="auto"/>
                <w:sz w:val="21"/>
                <w:szCs w:val="21"/>
                <w:highlight w:val="none"/>
              </w:rPr>
              <w:t>人</w:t>
            </w:r>
            <w:r>
              <w:rPr>
                <w:color w:val="auto"/>
                <w:sz w:val="21"/>
                <w:szCs w:val="21"/>
                <w:highlight w:val="none"/>
              </w:rPr>
              <w:t>不提供仓储地方，实行零库存管理，按实际使用量结算，并结合医院实际使用情况及时补货，保证货物的正常供应。</w:t>
            </w:r>
          </w:p>
          <w:p>
            <w:pPr>
              <w:pStyle w:val="3"/>
              <w:ind w:firstLine="0" w:firstLineChars="0"/>
              <w:rPr>
                <w:color w:val="auto"/>
                <w:sz w:val="21"/>
                <w:szCs w:val="21"/>
                <w:highlight w:val="none"/>
              </w:rPr>
            </w:pPr>
            <w:r>
              <w:rPr>
                <w:rFonts w:hint="eastAsia"/>
                <w:color w:val="auto"/>
                <w:sz w:val="21"/>
                <w:szCs w:val="21"/>
                <w:highlight w:val="none"/>
              </w:rPr>
              <w:t>7</w:t>
            </w:r>
            <w:r>
              <w:rPr>
                <w:color w:val="auto"/>
                <w:sz w:val="21"/>
                <w:szCs w:val="21"/>
                <w:highlight w:val="none"/>
              </w:rPr>
              <w:t>.</w:t>
            </w:r>
            <w:r>
              <w:rPr>
                <w:rFonts w:hint="eastAsia"/>
                <w:color w:val="auto"/>
                <w:sz w:val="21"/>
                <w:szCs w:val="21"/>
                <w:highlight w:val="none"/>
              </w:rPr>
              <w:t>成交供应商</w:t>
            </w:r>
            <w:r>
              <w:rPr>
                <w:color w:val="auto"/>
                <w:sz w:val="21"/>
                <w:szCs w:val="21"/>
                <w:highlight w:val="none"/>
              </w:rPr>
              <w:t>所提供的产品在服务期内不得涨价，因产品价格随市场价格有所波动，经</w:t>
            </w:r>
            <w:r>
              <w:rPr>
                <w:rFonts w:hint="eastAsia"/>
                <w:color w:val="auto"/>
                <w:sz w:val="21"/>
                <w:szCs w:val="21"/>
                <w:highlight w:val="none"/>
              </w:rPr>
              <w:t>采购人及成交供应商双方</w:t>
            </w:r>
            <w:r>
              <w:rPr>
                <w:color w:val="auto"/>
                <w:sz w:val="21"/>
                <w:szCs w:val="21"/>
                <w:highlight w:val="none"/>
              </w:rPr>
              <w:t>协商同意后可按最新市场供货价格</w:t>
            </w:r>
            <w:r>
              <w:rPr>
                <w:rFonts w:hint="eastAsia"/>
                <w:color w:val="auto"/>
                <w:sz w:val="21"/>
                <w:szCs w:val="21"/>
                <w:highlight w:val="none"/>
              </w:rPr>
              <w:t>×（1-成交下浮系数）</w:t>
            </w:r>
            <w:r>
              <w:rPr>
                <w:color w:val="auto"/>
                <w:sz w:val="21"/>
                <w:szCs w:val="21"/>
                <w:highlight w:val="none"/>
              </w:rPr>
              <w:t>进行结算，但不能高于原</w:t>
            </w:r>
            <w:r>
              <w:rPr>
                <w:rFonts w:hint="eastAsia"/>
                <w:color w:val="auto"/>
                <w:sz w:val="21"/>
                <w:szCs w:val="21"/>
                <w:highlight w:val="none"/>
              </w:rPr>
              <w:t>成交</w:t>
            </w:r>
            <w:r>
              <w:rPr>
                <w:color w:val="auto"/>
                <w:sz w:val="21"/>
                <w:szCs w:val="21"/>
                <w:highlight w:val="none"/>
              </w:rPr>
              <w:t>价格。</w:t>
            </w:r>
          </w:p>
          <w:p>
            <w:pPr>
              <w:pStyle w:val="3"/>
              <w:ind w:firstLine="0" w:firstLineChars="0"/>
              <w:rPr>
                <w:color w:val="auto"/>
                <w:sz w:val="21"/>
                <w:szCs w:val="21"/>
                <w:highlight w:val="none"/>
              </w:rPr>
            </w:pPr>
            <w:r>
              <w:rPr>
                <w:rFonts w:hint="eastAsia"/>
                <w:color w:val="auto"/>
                <w:sz w:val="21"/>
                <w:szCs w:val="21"/>
                <w:highlight w:val="none"/>
              </w:rPr>
              <w:t>8</w:t>
            </w:r>
            <w:r>
              <w:rPr>
                <w:color w:val="auto"/>
                <w:sz w:val="21"/>
                <w:szCs w:val="21"/>
                <w:highlight w:val="none"/>
              </w:rPr>
              <w:t>.</w:t>
            </w:r>
            <w:r>
              <w:rPr>
                <w:rFonts w:hint="eastAsia"/>
                <w:color w:val="auto"/>
                <w:sz w:val="21"/>
                <w:szCs w:val="21"/>
                <w:highlight w:val="none"/>
              </w:rPr>
              <w:t>成交供应商应向采购人提供所配送产品的包装名称、规格等资料备案，</w:t>
            </w:r>
            <w:r>
              <w:rPr>
                <w:color w:val="auto"/>
                <w:sz w:val="21"/>
                <w:szCs w:val="21"/>
                <w:highlight w:val="none"/>
              </w:rPr>
              <w:t>因产品生产厂家对产品进行升级换代后对产品包装名称、规格进行调整的，必须经过采购方审核同意后方能按新包装进行供货。</w:t>
            </w: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三、配送人员及车辆要求：</w:t>
            </w:r>
          </w:p>
          <w:p>
            <w:pPr>
              <w:pStyle w:val="3"/>
              <w:ind w:firstLine="0" w:firstLineChars="0"/>
              <w:rPr>
                <w:color w:val="auto"/>
                <w:sz w:val="21"/>
                <w:szCs w:val="21"/>
                <w:highlight w:val="none"/>
              </w:rPr>
            </w:pPr>
            <w:r>
              <w:rPr>
                <w:color w:val="auto"/>
                <w:sz w:val="21"/>
                <w:szCs w:val="21"/>
                <w:highlight w:val="none"/>
              </w:rPr>
              <w:t>1.所有配送员需相对固定。配送人员本人必须持有卫生监督机构发放的(或医疗机构发放的)有效健康证(注:体检报告不能等同于健康证)，且工作期间身体健康，无身体不适、无传染疾病。</w:t>
            </w:r>
            <w:r>
              <w:rPr>
                <w:rFonts w:hint="eastAsia"/>
                <w:b/>
                <w:bCs/>
                <w:color w:val="auto"/>
                <w:sz w:val="21"/>
                <w:szCs w:val="21"/>
                <w:highlight w:val="none"/>
              </w:rPr>
              <w:t>（响应</w:t>
            </w:r>
            <w:r>
              <w:rPr>
                <w:b/>
                <w:bCs/>
                <w:color w:val="auto"/>
                <w:sz w:val="21"/>
                <w:szCs w:val="21"/>
                <w:highlight w:val="none"/>
              </w:rPr>
              <w:t>文件中提供2名或以上员工的健康证及</w:t>
            </w:r>
            <w:r>
              <w:rPr>
                <w:rFonts w:hint="eastAsia"/>
                <w:b/>
                <w:bCs/>
                <w:color w:val="auto"/>
                <w:sz w:val="21"/>
                <w:szCs w:val="21"/>
                <w:highlight w:val="none"/>
              </w:rPr>
              <w:t>响应文件递交</w:t>
            </w:r>
            <w:r>
              <w:rPr>
                <w:b/>
                <w:bCs/>
                <w:color w:val="auto"/>
                <w:sz w:val="21"/>
                <w:szCs w:val="21"/>
                <w:highlight w:val="none"/>
              </w:rPr>
              <w:t>截止时间前6个月内任意1个月</w:t>
            </w:r>
            <w:r>
              <w:rPr>
                <w:rFonts w:hint="eastAsia"/>
                <w:b/>
                <w:bCs/>
                <w:color w:val="auto"/>
                <w:sz w:val="21"/>
                <w:szCs w:val="21"/>
                <w:highlight w:val="none"/>
              </w:rPr>
              <w:t>竞标供应商</w:t>
            </w:r>
            <w:r>
              <w:rPr>
                <w:b/>
                <w:bCs/>
                <w:color w:val="auto"/>
                <w:sz w:val="21"/>
                <w:szCs w:val="21"/>
                <w:highlight w:val="none"/>
              </w:rPr>
              <w:t>为该人员缴纳的社保证明</w:t>
            </w:r>
            <w:r>
              <w:rPr>
                <w:rFonts w:hint="eastAsia"/>
                <w:b/>
                <w:bCs/>
                <w:color w:val="auto"/>
                <w:sz w:val="21"/>
                <w:szCs w:val="21"/>
                <w:highlight w:val="none"/>
              </w:rPr>
              <w:t>复印件</w:t>
            </w:r>
            <w:r>
              <w:rPr>
                <w:b/>
                <w:bCs/>
                <w:color w:val="auto"/>
                <w:sz w:val="21"/>
                <w:szCs w:val="21"/>
                <w:highlight w:val="none"/>
              </w:rPr>
              <w:t>。</w:t>
            </w:r>
            <w:r>
              <w:rPr>
                <w:rFonts w:hint="eastAsia"/>
                <w:b/>
                <w:bCs/>
                <w:color w:val="auto"/>
                <w:sz w:val="21"/>
                <w:szCs w:val="21"/>
                <w:highlight w:val="none"/>
              </w:rPr>
              <w:t>）</w:t>
            </w:r>
          </w:p>
          <w:p>
            <w:pPr>
              <w:pStyle w:val="3"/>
              <w:ind w:firstLine="0" w:firstLineChars="0"/>
              <w:rPr>
                <w:color w:val="auto"/>
                <w:highlight w:val="none"/>
              </w:rPr>
            </w:pPr>
            <w:r>
              <w:rPr>
                <w:color w:val="auto"/>
                <w:sz w:val="21"/>
                <w:szCs w:val="21"/>
                <w:highlight w:val="none"/>
              </w:rPr>
              <w:t>2.</w:t>
            </w:r>
            <w:r>
              <w:rPr>
                <w:rFonts w:hint="eastAsia"/>
                <w:color w:val="auto"/>
                <w:sz w:val="21"/>
                <w:szCs w:val="21"/>
                <w:highlight w:val="none"/>
              </w:rPr>
              <w:t>供应商</w:t>
            </w:r>
            <w:r>
              <w:rPr>
                <w:color w:val="auto"/>
                <w:sz w:val="21"/>
                <w:szCs w:val="21"/>
                <w:highlight w:val="none"/>
              </w:rPr>
              <w:t>具有</w:t>
            </w:r>
            <w:r>
              <w:rPr>
                <w:rFonts w:hint="eastAsia"/>
                <w:color w:val="auto"/>
                <w:sz w:val="21"/>
                <w:szCs w:val="21"/>
                <w:highlight w:val="none"/>
              </w:rPr>
              <w:t>≥1辆</w:t>
            </w:r>
            <w:r>
              <w:rPr>
                <w:color w:val="auto"/>
                <w:sz w:val="21"/>
                <w:szCs w:val="21"/>
                <w:highlight w:val="none"/>
              </w:rPr>
              <w:t>专用配送车辆用于配送</w:t>
            </w:r>
            <w:r>
              <w:rPr>
                <w:rFonts w:hint="eastAsia"/>
                <w:color w:val="auto"/>
                <w:sz w:val="21"/>
                <w:szCs w:val="21"/>
                <w:highlight w:val="none"/>
              </w:rPr>
              <w:t>，</w:t>
            </w:r>
            <w:r>
              <w:rPr>
                <w:color w:val="auto"/>
                <w:sz w:val="21"/>
                <w:szCs w:val="21"/>
                <w:highlight w:val="none"/>
              </w:rPr>
              <w:t>车辆必须干净、整洁，不得装运可能影响食品安全的有毒有害物质，且能按采购人规定的时间及地点</w:t>
            </w:r>
            <w:r>
              <w:rPr>
                <w:rFonts w:hint="eastAsia"/>
                <w:color w:val="auto"/>
                <w:sz w:val="21"/>
                <w:szCs w:val="21"/>
                <w:highlight w:val="none"/>
              </w:rPr>
              <w:t>一</w:t>
            </w:r>
            <w:r>
              <w:rPr>
                <w:color w:val="auto"/>
                <w:sz w:val="21"/>
                <w:szCs w:val="21"/>
                <w:highlight w:val="none"/>
              </w:rPr>
              <w:t>次完成该批次货物的供应。</w:t>
            </w:r>
            <w:r>
              <w:rPr>
                <w:b/>
                <w:bCs/>
                <w:color w:val="auto"/>
                <w:sz w:val="21"/>
                <w:szCs w:val="21"/>
                <w:highlight w:val="none"/>
              </w:rPr>
              <w:t>(</w:t>
            </w:r>
            <w:r>
              <w:rPr>
                <w:rFonts w:hint="eastAsia"/>
                <w:b/>
                <w:bCs/>
                <w:color w:val="auto"/>
                <w:sz w:val="21"/>
                <w:szCs w:val="21"/>
                <w:highlight w:val="none"/>
              </w:rPr>
              <w:t>竞标供应商自有车辆的，响应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车辆的行驶证、车辆照片</w:t>
            </w:r>
            <w:r>
              <w:rPr>
                <w:rFonts w:hint="eastAsia"/>
                <w:b/>
                <w:bCs/>
                <w:color w:val="auto"/>
                <w:sz w:val="21"/>
                <w:szCs w:val="21"/>
                <w:highlight w:val="none"/>
              </w:rPr>
              <w:t>；</w:t>
            </w:r>
            <w:r>
              <w:rPr>
                <w:b/>
                <w:bCs/>
                <w:color w:val="auto"/>
                <w:sz w:val="21"/>
                <w:szCs w:val="21"/>
                <w:highlight w:val="none"/>
              </w:rPr>
              <w:t>车辆为</w:t>
            </w:r>
            <w:r>
              <w:rPr>
                <w:rFonts w:hint="eastAsia"/>
                <w:b/>
                <w:bCs/>
                <w:color w:val="auto"/>
                <w:sz w:val="21"/>
                <w:szCs w:val="21"/>
                <w:highlight w:val="none"/>
              </w:rPr>
              <w:t>竞标供应商</w:t>
            </w:r>
            <w:r>
              <w:rPr>
                <w:b/>
                <w:bCs/>
                <w:color w:val="auto"/>
                <w:sz w:val="21"/>
                <w:szCs w:val="21"/>
                <w:highlight w:val="none"/>
              </w:rPr>
              <w:t>租赁的，</w:t>
            </w:r>
            <w:r>
              <w:rPr>
                <w:rFonts w:hint="eastAsia"/>
                <w:b/>
                <w:bCs/>
                <w:color w:val="auto"/>
                <w:sz w:val="21"/>
                <w:szCs w:val="21"/>
                <w:highlight w:val="none"/>
              </w:rPr>
              <w:t>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车辆行驶证、车辆照片及车辆租用合同)。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85"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b/>
                <w:bCs/>
                <w:color w:val="auto"/>
                <w:sz w:val="24"/>
                <w:highlight w:val="none"/>
              </w:rPr>
            </w:pPr>
            <w:r>
              <w:rPr>
                <w:rFonts w:hint="eastAsia" w:ascii="宋体" w:hAnsi="宋体" w:cs="宋体"/>
                <w:bCs/>
                <w:color w:val="auto"/>
                <w:kern w:val="0"/>
                <w:highlight w:val="none"/>
              </w:rPr>
              <w:t>▲</w:t>
            </w:r>
            <w:r>
              <w:rPr>
                <w:rFonts w:hint="eastAsia" w:ascii="宋体" w:hAnsi="宋体" w:cs="宋体"/>
                <w:b/>
                <w:color w:val="auto"/>
                <w:sz w:val="24"/>
                <w:highlight w:val="none"/>
              </w:rPr>
              <w:t>商务要求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8" w:hRule="atLeast"/>
          <w:jc w:val="center"/>
        </w:trPr>
        <w:tc>
          <w:tcPr>
            <w:tcW w:w="878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s="宋体"/>
                <w:color w:val="auto"/>
                <w:szCs w:val="21"/>
                <w:highlight w:val="none"/>
              </w:rPr>
              <w:t>一、合同签订期：自成交通知书发出之日起25日内。</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二、服务期限：自签订合同之日起2年。</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三、服务地点：南宁市内采购人指定地点。</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四、交付方式：现场交付。</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五、付款条件：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无预付款，当月采购的货款于次月结算。采购人按月进行公对公账户转账，以采购人实际购买的种类及数量据实核算。供应商必须提供详细的物品销售清单与采购人的收货单核对，无误后，由供应商按照采购人财务规定出具正式发票，采购人才予以付款。</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2.成交人应在签订合同前按成交分标预算金额的</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%（中小企业收取的履约保证金数额按成交分标预算金额的2%）向采购人指定账户提交履约保证金，合同履约期服务完毕并验收合格后，成交人提出退款申请，采购人20个工作日内无息返还。</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六、售后服务要求：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1.质保期：按国家有关产品“三包”规定执行“三包”，因产品质量问题发生的相关费用由成交供应商承担。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食品出现假冒或者严重质量、安全问题，采购人有权单方解除本项目合同，并有权扣罚成交供应商全部履约保证金。给采购人或使用人造成实际损失的，采购人有权要求成交供应商承担，同时采购人有权禁止成交供应商及其关联方与采购人进行合作。</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成交供应商接到采购单位供货通知，正常情况下24小时内送达，紧急情况下2小时内送达，不管需求量的多少，不得以任何理由拒绝供货、送货。免费送货上门，行政上班时间外、周末、节假日做好备货、送货供应。</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（1）成交供应商未能按采购人要求时间完成配送,每延迟半小时按照当笔订单总金额的千分之三向采购人支付违约金；迟延超过1小时的，采购人有权选择拒收；采购人不拒收的，按折价</w:t>
            </w:r>
            <w:r>
              <w:rPr>
                <w:rFonts w:hint="eastAsia" w:ascii="宋体" w:hAnsi="宋体" w:cs="宋体"/>
                <w:color w:val="auto"/>
                <w:szCs w:val="21"/>
                <w:highlight w:val="none"/>
                <w:u w:val="single"/>
              </w:rPr>
              <w:t xml:space="preserve"> 10 </w:t>
            </w:r>
            <w:r>
              <w:rPr>
                <w:rFonts w:hint="eastAsia" w:ascii="宋体" w:hAnsi="宋体" w:cs="宋体"/>
                <w:color w:val="auto"/>
                <w:szCs w:val="21"/>
                <w:highlight w:val="none"/>
              </w:rPr>
              <w:t>%收货，以赔偿给采购人造成的影响。</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（2）成交供应商提供医用食品与采购人要求种类、品质不符品种，成交供应商应在2小时内将不符品种予以替换，逾期未替换或替换后仍无法通过采购人验货的，或者逾期交货超过2 小时的，采购人有权拒收并要求成交供应商在采购人规定时间内支付相当于该批不符品种订货价款3倍的违约金。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（3）采购人有权从任一笔应付采购款中直接扣除成交供应商应支付的违约金或应承担的其他赔偿费用。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发生上述违约情形累计超过3次，或者成交供应商拒不支付违约金的，或者发生一次但情节严重的(如因成交供应商所提供的医用食品不合格导致发生群体性食品安全事故、被政府相关部门处罚等)，采购人有权单方解除本合同，给采购人造成损失的，采购人有权要求成交供应商承担。</w:t>
            </w:r>
          </w:p>
          <w:p>
            <w:pPr>
              <w:snapToGrid w:val="0"/>
              <w:spacing w:line="360" w:lineRule="auto"/>
              <w:ind w:left="210" w:hanging="210" w:hangingChars="100"/>
              <w:rPr>
                <w:rFonts w:ascii="宋体" w:hAnsi="宋体" w:cs="宋体"/>
                <w:color w:val="auto"/>
                <w:szCs w:val="21"/>
                <w:highlight w:val="none"/>
              </w:rPr>
            </w:pPr>
            <w:r>
              <w:rPr>
                <w:rFonts w:hint="eastAsia" w:ascii="宋体" w:hAnsi="宋体" w:cs="宋体"/>
                <w:color w:val="auto"/>
                <w:szCs w:val="21"/>
                <w:highlight w:val="none"/>
              </w:rPr>
              <w:t>（5）履约保证金在扣除了成交供应商应支付的违约金后，如有剩余采购人应退还成交供应商，不足部分，采购人有权从未支付的货款中扣除。</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成交供应商安排专人负责采购人采购事宜，提供全天候24小时服务。成交供应商指定联系人及联系方式发生变化的，应提前通知采购人，因怠于通知导致采购人与其联络不畅或者迟延履行合同的，属违约行为，如影响或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成交供应商每次配送前应对所提供的服务车辆使用情况及安全状况进行排查，确保采购人所采购的食品物资在规定时间正常交货，因成交供应商车辆情况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6.成交供应商不得以任何形式将本项目转包、分包，否则采购人有权单方终止合同，由此产生的一切经济损失由成交供应商自行承担。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7.配送的产品必须是具备合法厂家渠道的全新产品。为确保配送的原装货品的正品性，成交供应商需配合采购人对相关货品进行电话或二维码查询等正品验证，通过验证方可验收。在验证过程中如发现有假货的，采购人将拒绝验收该产品并报相关采购监督管理部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8.合同期内，成交供应商不得恶意停供，造成的缺货损失全部由成交供应商承担。若遇可预见性的减产、停产或更换产品规格的，成交供应商应提前30个工作日书面通知采购人。</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八、其他要求：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1.竞标报价包括但不限于：</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(1)配送的货物、服务的价格；</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(3)运输、搬运、样品检测、包装加工、售后服务等费用；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(4)检测部门产品检测费用；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(5)审核部门费用；</w:t>
            </w:r>
          </w:p>
          <w:p>
            <w:pPr>
              <w:pStyle w:val="2"/>
              <w:rPr>
                <w:rFonts w:ascii="宋体" w:hAnsi="宋体" w:cs="宋体"/>
                <w:b/>
                <w:bCs/>
                <w:color w:val="auto"/>
                <w:szCs w:val="21"/>
                <w:highlight w:val="none"/>
              </w:rPr>
            </w:pPr>
            <w:r>
              <w:rPr>
                <w:rFonts w:hint="eastAsia" w:ascii="宋体" w:hAnsi="宋体" w:cs="宋体"/>
                <w:b/>
                <w:bCs/>
                <w:color w:val="auto"/>
                <w:szCs w:val="21"/>
                <w:highlight w:val="none"/>
              </w:rPr>
              <w:t>2.报价说明</w:t>
            </w:r>
          </w:p>
          <w:p>
            <w:pPr>
              <w:pStyle w:val="2"/>
              <w:rPr>
                <w:rFonts w:ascii="宋体" w:hAnsi="宋体" w:cs="宋体"/>
                <w:b/>
                <w:bCs/>
                <w:color w:val="auto"/>
                <w:szCs w:val="21"/>
                <w:highlight w:val="none"/>
              </w:rPr>
            </w:pPr>
            <w:r>
              <w:rPr>
                <w:rFonts w:hint="eastAsia" w:ascii="宋体" w:hAnsi="宋体" w:cs="宋体"/>
                <w:b/>
                <w:bCs/>
                <w:color w:val="auto"/>
                <w:szCs w:val="21"/>
                <w:highlight w:val="none"/>
              </w:rPr>
              <w:t>(1)本分标以下浮系数进行报价，有限报价范围为：下浮系数≥1%</w:t>
            </w:r>
          </w:p>
          <w:p>
            <w:pPr>
              <w:pStyle w:val="2"/>
              <w:rPr>
                <w:rFonts w:ascii="宋体" w:hAnsi="宋体" w:cs="宋体"/>
                <w:b/>
                <w:bCs/>
                <w:color w:val="auto"/>
                <w:szCs w:val="21"/>
                <w:highlight w:val="none"/>
              </w:rPr>
            </w:pPr>
            <w:r>
              <w:rPr>
                <w:rFonts w:hint="eastAsia" w:ascii="宋体" w:hAnsi="宋体" w:cs="宋体"/>
                <w:b/>
                <w:bCs/>
                <w:color w:val="auto"/>
                <w:szCs w:val="21"/>
                <w:highlight w:val="none"/>
              </w:rPr>
              <w:t>(2)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.验收条件及标准：每批次供货时，成交供应商须向采购人提供每批次质量自检报告单和检验合格证明，以供采购人验收。</w:t>
            </w:r>
          </w:p>
          <w:p>
            <w:pPr>
              <w:pStyle w:val="3"/>
              <w:ind w:firstLine="0" w:firstLineChars="0"/>
              <w:rPr>
                <w:color w:val="auto"/>
                <w:sz w:val="21"/>
                <w:szCs w:val="21"/>
                <w:highlight w:val="none"/>
              </w:rPr>
            </w:pPr>
            <w:r>
              <w:rPr>
                <w:rFonts w:hint="eastAsia" w:hAnsi="宋体" w:cs="宋体"/>
                <w:color w:val="auto"/>
                <w:sz w:val="21"/>
                <w:szCs w:val="21"/>
                <w:highlight w:val="none"/>
              </w:rPr>
              <w:t>4</w:t>
            </w:r>
            <w:r>
              <w:rPr>
                <w:rFonts w:hint="eastAsia"/>
                <w:color w:val="auto"/>
                <w:sz w:val="21"/>
                <w:szCs w:val="21"/>
                <w:highlight w:val="none"/>
              </w:rPr>
              <w:t>.</w:t>
            </w:r>
            <w:r>
              <w:rPr>
                <w:color w:val="auto"/>
                <w:sz w:val="21"/>
                <w:szCs w:val="21"/>
                <w:highlight w:val="none"/>
              </w:rPr>
              <w:t>验收方法：</w:t>
            </w:r>
          </w:p>
          <w:p>
            <w:pPr>
              <w:pStyle w:val="3"/>
              <w:ind w:firstLine="0" w:firstLineChars="0"/>
              <w:rPr>
                <w:color w:val="auto"/>
                <w:sz w:val="21"/>
                <w:szCs w:val="21"/>
                <w:highlight w:val="none"/>
              </w:rPr>
            </w:pPr>
            <w:r>
              <w:rPr>
                <w:color w:val="auto"/>
                <w:sz w:val="21"/>
                <w:szCs w:val="21"/>
                <w:highlight w:val="none"/>
              </w:rPr>
              <w:t>（</w:t>
            </w:r>
            <w:r>
              <w:rPr>
                <w:rFonts w:hint="eastAsia"/>
                <w:color w:val="auto"/>
                <w:sz w:val="21"/>
                <w:szCs w:val="21"/>
                <w:highlight w:val="none"/>
              </w:rPr>
              <w:t>1</w:t>
            </w:r>
            <w:r>
              <w:rPr>
                <w:color w:val="auto"/>
                <w:sz w:val="21"/>
                <w:szCs w:val="21"/>
                <w:highlight w:val="none"/>
              </w:rPr>
              <w:t>）验收时，采购人对符合要求的给予签收，如</w:t>
            </w:r>
            <w:r>
              <w:rPr>
                <w:rFonts w:hint="eastAsia"/>
                <w:color w:val="auto"/>
                <w:sz w:val="21"/>
                <w:szCs w:val="21"/>
                <w:highlight w:val="none"/>
              </w:rPr>
              <w:t>食品</w:t>
            </w:r>
            <w:r>
              <w:rPr>
                <w:color w:val="auto"/>
                <w:sz w:val="21"/>
                <w:szCs w:val="21"/>
                <w:highlight w:val="none"/>
              </w:rPr>
              <w:t>有质量不合格、品种规格不符、价格不符及数量不足等问题，采购人将不予签收；成交供应商应按采购人的要求及时补货，否则造成的损失由成交供应商负责。</w:t>
            </w:r>
          </w:p>
          <w:p>
            <w:pPr>
              <w:pStyle w:val="3"/>
              <w:ind w:firstLine="0" w:firstLineChars="0"/>
              <w:rPr>
                <w:rFonts w:hAnsi="宋体" w:cs="宋体"/>
                <w:color w:val="auto"/>
                <w:sz w:val="21"/>
                <w:szCs w:val="21"/>
                <w:highlight w:val="none"/>
              </w:rPr>
            </w:pPr>
            <w:r>
              <w:rPr>
                <w:color w:val="auto"/>
                <w:sz w:val="21"/>
                <w:szCs w:val="21"/>
                <w:highlight w:val="none"/>
              </w:rPr>
              <w:t>（</w:t>
            </w:r>
            <w:r>
              <w:rPr>
                <w:rFonts w:hint="eastAsia"/>
                <w:color w:val="auto"/>
                <w:sz w:val="21"/>
                <w:szCs w:val="21"/>
                <w:highlight w:val="none"/>
              </w:rPr>
              <w:t>2</w:t>
            </w:r>
            <w:r>
              <w:rPr>
                <w:color w:val="auto"/>
                <w:sz w:val="21"/>
                <w:szCs w:val="21"/>
                <w:highlight w:val="none"/>
              </w:rPr>
              <w:t>）验收后，采购人不免除成交供应商的质量责任，不能认为质量已完全合格，如在使用过程中发现</w:t>
            </w:r>
            <w:r>
              <w:rPr>
                <w:rFonts w:hint="eastAsia"/>
                <w:color w:val="auto"/>
                <w:sz w:val="21"/>
                <w:szCs w:val="21"/>
                <w:highlight w:val="none"/>
              </w:rPr>
              <w:t>食品</w:t>
            </w:r>
            <w:r>
              <w:rPr>
                <w:color w:val="auto"/>
                <w:sz w:val="21"/>
                <w:szCs w:val="21"/>
                <w:highlight w:val="none"/>
              </w:rPr>
              <w:t>存在其他问题的，成交供应商须及时到现场解决，并在规定时间内及时退换货，否则造成的损失由成交供应商负责。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bottom w:val="single" w:color="auto" w:sz="4" w:space="0"/>
            </w:tcBorders>
            <w:vAlign w:val="center"/>
          </w:tcPr>
          <w:p>
            <w:pPr>
              <w:pStyle w:val="76"/>
              <w:spacing w:line="360" w:lineRule="auto"/>
              <w:ind w:firstLine="0" w:firstLineChars="0"/>
              <w:rPr>
                <w:rFonts w:ascii="宋体" w:hAnsi="宋体" w:cs="宋体"/>
                <w:color w:val="auto"/>
                <w:sz w:val="24"/>
                <w:highlight w:val="none"/>
              </w:rPr>
            </w:pPr>
            <w:r>
              <w:rPr>
                <w:rFonts w:hint="eastAsia" w:ascii="宋体" w:hAnsi="宋体" w:cs="宋体"/>
                <w:color w:val="auto"/>
                <w:kern w:val="0"/>
                <w:sz w:val="24"/>
                <w:highlight w:val="none"/>
              </w:rPr>
              <w:t>其他要求和说明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说明</w:t>
            </w:r>
          </w:p>
        </w:tc>
        <w:tc>
          <w:tcPr>
            <w:tcW w:w="7089" w:type="dxa"/>
            <w:gridSpan w:val="2"/>
            <w:tcBorders>
              <w:top w:val="single" w:color="auto" w:sz="4" w:space="0"/>
              <w:left w:val="single" w:color="auto" w:sz="4" w:space="0"/>
              <w:bottom w:val="single" w:color="auto" w:sz="4" w:space="0"/>
            </w:tcBorders>
            <w:vAlign w:val="center"/>
          </w:tcPr>
          <w:p>
            <w:pPr>
              <w:pStyle w:val="76"/>
              <w:numPr>
                <w:ilvl w:val="255"/>
                <w:numId w:val="0"/>
              </w:numPr>
              <w:spacing w:line="360" w:lineRule="auto"/>
              <w:rPr>
                <w:rFonts w:ascii="宋体" w:hAnsi="宋体" w:cs="宋体"/>
                <w:b/>
                <w:color w:val="auto"/>
                <w:szCs w:val="21"/>
                <w:highlight w:val="none"/>
              </w:rPr>
            </w:pPr>
            <w:r>
              <w:rPr>
                <w:rFonts w:hint="eastAsia" w:ascii="宋体" w:hAnsi="宋体" w:cs="宋体"/>
                <w:color w:val="auto"/>
                <w:szCs w:val="21"/>
                <w:highlight w:val="none"/>
                <w:lang w:eastAsia="zh-CN"/>
              </w:rPr>
              <w:t>一</w:t>
            </w:r>
            <w:r>
              <w:rPr>
                <w:rFonts w:hint="eastAsia" w:ascii="宋体" w:hAnsi="宋体" w:cs="宋体"/>
                <w:color w:val="auto"/>
                <w:szCs w:val="21"/>
                <w:highlight w:val="none"/>
              </w:rPr>
              <w:t>、磋商小组认为供应商的磋商报价明显低于其他通过符合性审查供应商的磋商报价，有可能影响产品（服务）质量或者不能诚信履约的，应当要求其在磋商现场合理的时间内提供书面说明，必要时提交相关证明材料；磋商供应商不能证明其磋商报价合理性的，磋商小组应当将其作为无效磋商处理</w:t>
            </w:r>
            <w:r>
              <w:rPr>
                <w:rFonts w:hint="eastAsia" w:ascii="宋体" w:hAnsi="宋体" w:cs="宋体"/>
                <w:b/>
                <w:color w:val="auto"/>
                <w:szCs w:val="21"/>
                <w:highlight w:val="none"/>
              </w:rPr>
              <w:t>。</w:t>
            </w:r>
          </w:p>
          <w:p>
            <w:pPr>
              <w:pStyle w:val="76"/>
              <w:numPr>
                <w:ilvl w:val="255"/>
                <w:numId w:val="0"/>
              </w:numPr>
              <w:spacing w:line="360" w:lineRule="auto"/>
              <w:rPr>
                <w:rFonts w:ascii="宋体" w:hAnsi="宋体" w:cs="宋体"/>
                <w:b/>
                <w:color w:val="auto"/>
                <w:szCs w:val="21"/>
                <w:highlight w:val="none"/>
              </w:rPr>
            </w:pPr>
            <w:r>
              <w:rPr>
                <w:rFonts w:hint="eastAsia" w:ascii="宋体" w:hAnsi="宋体" w:cs="宋体"/>
                <w:b/>
                <w:color w:val="auto"/>
                <w:szCs w:val="21"/>
                <w:highlight w:val="none"/>
                <w:lang w:eastAsia="zh-CN"/>
              </w:rPr>
              <w:t>二</w:t>
            </w:r>
            <w:r>
              <w:rPr>
                <w:rFonts w:hint="eastAsia" w:ascii="宋体" w:hAnsi="宋体" w:cs="宋体"/>
                <w:b/>
                <w:color w:val="auto"/>
                <w:szCs w:val="21"/>
                <w:highlight w:val="none"/>
              </w:rPr>
              <w:t>、本</w:t>
            </w:r>
            <w:r>
              <w:rPr>
                <w:rFonts w:hint="eastAsia" w:ascii="宋体" w:hAnsi="宋体" w:cs="宋体"/>
                <w:b/>
                <w:color w:val="auto"/>
                <w:szCs w:val="21"/>
                <w:highlight w:val="none"/>
                <w:lang w:eastAsia="zh-CN"/>
              </w:rPr>
              <w:t>次</w:t>
            </w:r>
            <w:r>
              <w:rPr>
                <w:rFonts w:hint="eastAsia" w:ascii="宋体" w:hAnsi="宋体" w:cs="宋体"/>
                <w:b/>
                <w:color w:val="auto"/>
                <w:szCs w:val="21"/>
                <w:highlight w:val="none"/>
              </w:rPr>
              <w:t>项目分为1分标营养科医用食品配送服务（二）、2分标营养科医用食品配送服务（三）</w:t>
            </w:r>
            <w:r>
              <w:rPr>
                <w:rFonts w:hint="eastAsia" w:ascii="宋体" w:hAnsi="宋体" w:cs="宋体"/>
                <w:b/>
                <w:color w:val="auto"/>
                <w:szCs w:val="21"/>
                <w:highlight w:val="none"/>
                <w:lang w:eastAsia="zh-CN"/>
              </w:rPr>
              <w:t>两</w:t>
            </w:r>
            <w:r>
              <w:rPr>
                <w:rFonts w:hint="eastAsia" w:ascii="宋体" w:hAnsi="宋体" w:cs="宋体"/>
                <w:b/>
                <w:color w:val="auto"/>
                <w:szCs w:val="21"/>
                <w:highlight w:val="none"/>
              </w:rPr>
              <w:t>个标段，一个竞标供应商可同时竞标多个分标，但一个竞标供应商最多只能成交一个分标。评审时按1分标营养科医用食品配送服务（二）→2分标营养科医用食品配送服务（三）的先后顺序进行评审</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营养科医用食品配送服务（</w:t>
            </w:r>
            <w:r>
              <w:rPr>
                <w:rFonts w:hint="eastAsia" w:ascii="宋体" w:hAnsi="宋体" w:cs="宋体"/>
                <w:b/>
                <w:color w:val="auto"/>
                <w:szCs w:val="21"/>
                <w:highlight w:val="none"/>
                <w:lang w:eastAsia="zh-CN"/>
              </w:rPr>
              <w:t>一</w:t>
            </w:r>
            <w:r>
              <w:rPr>
                <w:rFonts w:hint="eastAsia" w:ascii="宋体" w:hAnsi="宋体" w:cs="宋体"/>
                <w:b/>
                <w:color w:val="auto"/>
                <w:szCs w:val="21"/>
                <w:highlight w:val="none"/>
              </w:rPr>
              <w:t>）的成交</w:t>
            </w:r>
            <w:r>
              <w:rPr>
                <w:rFonts w:hint="eastAsia" w:ascii="宋体" w:hAnsi="宋体" w:cs="宋体"/>
                <w:b/>
                <w:color w:val="auto"/>
                <w:szCs w:val="21"/>
                <w:highlight w:val="none"/>
                <w:lang w:eastAsia="zh-CN"/>
              </w:rPr>
              <w:t>供应商</w:t>
            </w:r>
            <w:r>
              <w:rPr>
                <w:rFonts w:hint="eastAsia" w:ascii="宋体" w:hAnsi="宋体" w:cs="宋体"/>
                <w:b/>
                <w:color w:val="auto"/>
                <w:szCs w:val="21"/>
                <w:highlight w:val="none"/>
              </w:rPr>
              <w:t>不再参与营养科医用食品配送服务（二）、营养科医用食品配送服务（三）的成交候选人排名推荐，营养科医用食品配送服务（二）排名第一的成交候选人不再参与营养科医用食品配送服务（三）的成交候选人排名推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资料要求</w:t>
            </w:r>
          </w:p>
        </w:tc>
        <w:tc>
          <w:tcPr>
            <w:tcW w:w="7089" w:type="dxa"/>
            <w:gridSpan w:val="2"/>
            <w:tcBorders>
              <w:top w:val="single" w:color="auto" w:sz="4" w:space="0"/>
              <w:left w:val="single" w:color="auto" w:sz="4" w:space="0"/>
              <w:bottom w:val="single" w:color="auto" w:sz="4" w:space="0"/>
            </w:tcBorders>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供应商可根据评分标准在响应文件提供技术方案、售后服务方案、信誉业绩证明。</w:t>
            </w:r>
          </w:p>
        </w:tc>
      </w:tr>
    </w:tbl>
    <w:p/>
    <w:p>
      <w:pPr>
        <w:pStyle w:val="6"/>
        <w:jc w:val="left"/>
        <w:rPr>
          <w:color w:val="auto"/>
          <w:highlight w:val="none"/>
        </w:rPr>
      </w:pPr>
      <w:r>
        <w:rPr>
          <w:rFonts w:hint="eastAsia" w:hAnsi="宋体" w:cs="宋体"/>
          <w:sz w:val="24"/>
          <w:u w:val="single"/>
        </w:rPr>
        <w:br w:type="page"/>
      </w:r>
      <w:bookmarkStart w:id="25" w:name="_Toc26992"/>
      <w:bookmarkStart w:id="26" w:name="_Toc19760"/>
      <w:bookmarkStart w:id="27" w:name="_Toc11836"/>
      <w:bookmarkStart w:id="28" w:name="_Toc9685"/>
      <w:r>
        <w:rPr>
          <w:rFonts w:hint="eastAsia" w:ascii="宋体" w:hAnsi="宋体" w:cs="宋体"/>
          <w:color w:val="auto"/>
          <w:sz w:val="21"/>
          <w:szCs w:val="21"/>
          <w:highlight w:val="none"/>
        </w:rPr>
        <w:t>分标</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：营养科医用食品配送服务（三）</w:t>
      </w:r>
      <w:bookmarkEnd w:id="25"/>
      <w:bookmarkEnd w:id="26"/>
      <w:bookmarkEnd w:id="27"/>
      <w:bookmarkEnd w:id="28"/>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041"/>
        <w:gridCol w:w="851"/>
        <w:gridCol w:w="6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5"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4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Cs w:val="21"/>
                <w:highlight w:val="none"/>
              </w:rPr>
              <w:t>标的的名称</w:t>
            </w:r>
          </w:p>
        </w:tc>
        <w:tc>
          <w:tcPr>
            <w:tcW w:w="851" w:type="dxa"/>
            <w:vAlign w:val="center"/>
          </w:tcPr>
          <w:p>
            <w:pPr>
              <w:tabs>
                <w:tab w:val="left" w:pos="180"/>
                <w:tab w:val="left" w:pos="1620"/>
              </w:tabs>
              <w:jc w:val="center"/>
              <w:rPr>
                <w:rFonts w:ascii="宋体" w:hAnsi="宋体" w:cs="宋体"/>
                <w:color w:val="auto"/>
                <w:sz w:val="24"/>
                <w:highlight w:val="none"/>
              </w:rPr>
            </w:pPr>
            <w:r>
              <w:rPr>
                <w:rFonts w:hint="eastAsia" w:ascii="宋体" w:hAnsi="宋体" w:cs="宋体"/>
                <w:color w:val="auto"/>
                <w:sz w:val="24"/>
                <w:highlight w:val="none"/>
              </w:rPr>
              <w:t>数量及单位</w:t>
            </w:r>
          </w:p>
        </w:tc>
        <w:tc>
          <w:tcPr>
            <w:tcW w:w="6238" w:type="dxa"/>
            <w:vAlign w:val="center"/>
          </w:tcPr>
          <w:p>
            <w:pPr>
              <w:tabs>
                <w:tab w:val="left" w:pos="180"/>
                <w:tab w:val="left" w:pos="1620"/>
              </w:tabs>
              <w:jc w:val="center"/>
              <w:rPr>
                <w:rFonts w:ascii="宋体" w:hAnsi="宋体" w:cs="宋体"/>
                <w:b/>
                <w:color w:val="auto"/>
                <w:sz w:val="24"/>
                <w:highlight w:val="none"/>
              </w:rPr>
            </w:pPr>
            <w:r>
              <w:rPr>
                <w:rFonts w:hint="eastAsia" w:ascii="宋体" w:hAnsi="宋体" w:cs="宋体"/>
                <w:b/>
                <w:color w:val="auto"/>
                <w:sz w:val="24"/>
                <w:highlight w:val="none"/>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5" w:type="dxa"/>
            <w:vAlign w:val="center"/>
          </w:tcPr>
          <w:p>
            <w:pPr>
              <w:tabs>
                <w:tab w:val="left" w:pos="180"/>
                <w:tab w:val="left" w:pos="1620"/>
              </w:tabs>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041" w:type="dxa"/>
            <w:vAlign w:val="center"/>
          </w:tcPr>
          <w:p>
            <w:pPr>
              <w:pStyle w:val="81"/>
              <w:jc w:val="center"/>
              <w:rPr>
                <w:color w:val="auto"/>
                <w:highlight w:val="none"/>
              </w:rPr>
            </w:pPr>
            <w:r>
              <w:rPr>
                <w:rFonts w:hint="eastAsia"/>
                <w:color w:val="auto"/>
                <w:highlight w:val="none"/>
              </w:rPr>
              <w:t>营养科医用食品配送服务（三）</w:t>
            </w:r>
          </w:p>
        </w:tc>
        <w:tc>
          <w:tcPr>
            <w:tcW w:w="851" w:type="dxa"/>
            <w:vAlign w:val="center"/>
          </w:tcPr>
          <w:p>
            <w:pPr>
              <w:widowControl/>
              <w:snapToGrid w:val="0"/>
              <w:spacing w:line="360" w:lineRule="auto"/>
              <w:jc w:val="center"/>
              <w:rPr>
                <w:color w:val="auto"/>
                <w:highlight w:val="none"/>
              </w:rPr>
            </w:pPr>
            <w:r>
              <w:rPr>
                <w:rFonts w:hint="eastAsia"/>
                <w:color w:val="auto"/>
                <w:highlight w:val="none"/>
              </w:rPr>
              <w:t>1项</w:t>
            </w:r>
          </w:p>
        </w:tc>
        <w:tc>
          <w:tcPr>
            <w:tcW w:w="6238" w:type="dxa"/>
            <w:vAlign w:val="center"/>
          </w:tcPr>
          <w:p>
            <w:pPr>
              <w:pStyle w:val="2"/>
              <w:rPr>
                <w:color w:val="auto"/>
                <w:szCs w:val="21"/>
                <w:highlight w:val="none"/>
              </w:rPr>
            </w:pPr>
            <w:r>
              <w:rPr>
                <w:rFonts w:hint="eastAsia"/>
                <w:color w:val="auto"/>
                <w:szCs w:val="21"/>
                <w:highlight w:val="none"/>
              </w:rPr>
              <w:t>一、采购配送医用食品：</w:t>
            </w:r>
          </w:p>
          <w:tbl>
            <w:tblPr>
              <w:tblStyle w:val="33"/>
              <w:tblW w:w="6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934"/>
              <w:gridCol w:w="1067"/>
              <w:gridCol w:w="885"/>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pStyle w:val="2"/>
                    <w:rPr>
                      <w:color w:val="auto"/>
                      <w:szCs w:val="21"/>
                      <w:highlight w:val="none"/>
                    </w:rPr>
                  </w:pPr>
                  <w:r>
                    <w:rPr>
                      <w:rFonts w:hint="eastAsia"/>
                      <w:color w:val="auto"/>
                      <w:szCs w:val="21"/>
                      <w:highlight w:val="none"/>
                    </w:rPr>
                    <w:t>产品名称</w:t>
                  </w:r>
                </w:p>
              </w:tc>
              <w:tc>
                <w:tcPr>
                  <w:tcW w:w="1934" w:type="dxa"/>
                  <w:vAlign w:val="center"/>
                </w:tcPr>
                <w:p>
                  <w:pPr>
                    <w:pStyle w:val="2"/>
                    <w:rPr>
                      <w:color w:val="auto"/>
                      <w:szCs w:val="21"/>
                      <w:highlight w:val="none"/>
                    </w:rPr>
                  </w:pPr>
                  <w:r>
                    <w:rPr>
                      <w:rFonts w:hint="eastAsia"/>
                      <w:color w:val="auto"/>
                      <w:szCs w:val="21"/>
                      <w:highlight w:val="none"/>
                      <w:lang w:eastAsia="zh-CN"/>
                    </w:rPr>
                    <w:t>产品技术要求、</w:t>
                  </w:r>
                  <w:r>
                    <w:rPr>
                      <w:rFonts w:hint="eastAsia"/>
                      <w:color w:val="auto"/>
                      <w:szCs w:val="21"/>
                      <w:highlight w:val="none"/>
                    </w:rPr>
                    <w:t>营养参数（每100g)±10%以内</w:t>
                  </w:r>
                </w:p>
              </w:tc>
              <w:tc>
                <w:tcPr>
                  <w:tcW w:w="1067" w:type="dxa"/>
                  <w:vAlign w:val="center"/>
                </w:tcPr>
                <w:p>
                  <w:pPr>
                    <w:pStyle w:val="2"/>
                    <w:rPr>
                      <w:color w:val="auto"/>
                      <w:szCs w:val="21"/>
                      <w:highlight w:val="none"/>
                    </w:rPr>
                  </w:pPr>
                  <w:r>
                    <w:rPr>
                      <w:rFonts w:hint="eastAsia"/>
                      <w:color w:val="auto"/>
                      <w:szCs w:val="21"/>
                      <w:highlight w:val="none"/>
                    </w:rPr>
                    <w:t>规格</w:t>
                  </w:r>
                </w:p>
              </w:tc>
              <w:tc>
                <w:tcPr>
                  <w:tcW w:w="885" w:type="dxa"/>
                  <w:vAlign w:val="center"/>
                </w:tcPr>
                <w:p>
                  <w:pPr>
                    <w:pStyle w:val="2"/>
                    <w:rPr>
                      <w:color w:val="auto"/>
                      <w:szCs w:val="21"/>
                      <w:highlight w:val="none"/>
                    </w:rPr>
                  </w:pPr>
                  <w:r>
                    <w:rPr>
                      <w:rFonts w:hint="eastAsia"/>
                      <w:color w:val="auto"/>
                      <w:szCs w:val="21"/>
                      <w:highlight w:val="none"/>
                    </w:rPr>
                    <w:t>预计年采购量</w:t>
                  </w:r>
                </w:p>
              </w:tc>
              <w:tc>
                <w:tcPr>
                  <w:tcW w:w="932" w:type="dxa"/>
                  <w:vAlign w:val="center"/>
                </w:tcPr>
                <w:p>
                  <w:pPr>
                    <w:pStyle w:val="2"/>
                    <w:rPr>
                      <w:rFonts w:hint="eastAsia"/>
                      <w:color w:val="auto"/>
                      <w:szCs w:val="21"/>
                      <w:highlight w:val="none"/>
                    </w:rPr>
                  </w:pPr>
                  <w:r>
                    <w:rPr>
                      <w:rFonts w:hint="eastAsia"/>
                      <w:color w:val="auto"/>
                      <w:szCs w:val="21"/>
                      <w:highlight w:val="none"/>
                    </w:rPr>
                    <w:t>每样货品的最高限价</w:t>
                  </w:r>
                </w:p>
                <w:p>
                  <w:pPr>
                    <w:pStyle w:val="3"/>
                    <w:ind w:left="0" w:leftChars="0" w:firstLine="0" w:firstLineChars="0"/>
                    <w:jc w:val="center"/>
                    <w:rPr>
                      <w:rFonts w:hint="eastAsia" w:eastAsia="宋体"/>
                      <w:lang w:eastAsia="zh-CN"/>
                    </w:rPr>
                  </w:pPr>
                  <w:r>
                    <w:rPr>
                      <w:rFonts w:hint="eastAsia"/>
                      <w:color w:val="auto"/>
                      <w:szCs w:val="21"/>
                      <w:highlight w:val="none"/>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百能凝®固体饮料</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能量1168KJ，蛋白质0g，脂肪0g，碳水化合物48g，膳食纤维44g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200g/罐</w:t>
                  </w:r>
                </w:p>
              </w:tc>
              <w:tc>
                <w:tcPr>
                  <w:tcW w:w="885" w:type="dxa"/>
                  <w:vAlign w:val="center"/>
                </w:tcPr>
                <w:p>
                  <w:pPr>
                    <w:widowControl/>
                    <w:jc w:val="center"/>
                    <w:textAlignment w:val="center"/>
                    <w:rPr>
                      <w:color w:val="auto"/>
                      <w:szCs w:val="21"/>
                      <w:highlight w:val="none"/>
                    </w:rPr>
                  </w:pPr>
                  <w:r>
                    <w:rPr>
                      <w:color w:val="auto"/>
                      <w:szCs w:val="21"/>
                      <w:highlight w:val="none"/>
                    </w:rPr>
                    <w:t>10罐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谷安肽蛋白肽粉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能量1641KJ，蛋白质95g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5g*20条/罐</w:t>
                  </w:r>
                </w:p>
              </w:tc>
              <w:tc>
                <w:tcPr>
                  <w:tcW w:w="885" w:type="dxa"/>
                  <w:vAlign w:val="center"/>
                </w:tcPr>
                <w:p>
                  <w:pPr>
                    <w:widowControl/>
                    <w:jc w:val="center"/>
                    <w:textAlignment w:val="center"/>
                    <w:rPr>
                      <w:color w:val="auto"/>
                      <w:szCs w:val="21"/>
                      <w:highlight w:val="none"/>
                    </w:rPr>
                  </w:pPr>
                  <w:r>
                    <w:rPr>
                      <w:color w:val="auto"/>
                      <w:szCs w:val="21"/>
                      <w:highlight w:val="none"/>
                    </w:rPr>
                    <w:t>200罐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123.2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匀浆膳高纤维型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能量＞1600KJ，蛋白质＞16g，GI＜55</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50g*10/袋</w:t>
                  </w:r>
                </w:p>
              </w:tc>
              <w:tc>
                <w:tcPr>
                  <w:tcW w:w="885" w:type="dxa"/>
                  <w:vAlign w:val="center"/>
                </w:tcPr>
                <w:p>
                  <w:pPr>
                    <w:widowControl/>
                    <w:jc w:val="center"/>
                    <w:textAlignment w:val="center"/>
                    <w:rPr>
                      <w:color w:val="auto"/>
                      <w:szCs w:val="21"/>
                      <w:highlight w:val="none"/>
                    </w:rPr>
                  </w:pPr>
                  <w:r>
                    <w:rPr>
                      <w:color w:val="auto"/>
                      <w:szCs w:val="21"/>
                      <w:highlight w:val="none"/>
                    </w:rPr>
                    <w:t>300袋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全营素（常规型）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能量1721KJ，蛋白质17g，脂肪8g，碳水化合物65g，动植物蛋白复合</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480g/罐</w:t>
                  </w:r>
                </w:p>
              </w:tc>
              <w:tc>
                <w:tcPr>
                  <w:tcW w:w="885" w:type="dxa"/>
                  <w:vAlign w:val="center"/>
                </w:tcPr>
                <w:p>
                  <w:pPr>
                    <w:widowControl/>
                    <w:jc w:val="center"/>
                    <w:textAlignment w:val="center"/>
                    <w:rPr>
                      <w:color w:val="auto"/>
                      <w:szCs w:val="21"/>
                      <w:highlight w:val="none"/>
                    </w:rPr>
                  </w:pPr>
                  <w:r>
                    <w:rPr>
                      <w:color w:val="auto"/>
                      <w:szCs w:val="21"/>
                      <w:highlight w:val="none"/>
                    </w:rPr>
                    <w:t>1800罐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89.28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糊化米粉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能量1543KJ，蛋白质8g，脂肪1.5g，碳水化合物79g，以米粉为主要原料</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40g*10/袋</w:t>
                  </w:r>
                </w:p>
              </w:tc>
              <w:tc>
                <w:tcPr>
                  <w:tcW w:w="885" w:type="dxa"/>
                  <w:vAlign w:val="center"/>
                </w:tcPr>
                <w:p>
                  <w:pPr>
                    <w:widowControl/>
                    <w:jc w:val="center"/>
                    <w:textAlignment w:val="center"/>
                    <w:rPr>
                      <w:color w:val="auto"/>
                      <w:szCs w:val="21"/>
                      <w:highlight w:val="none"/>
                    </w:rPr>
                  </w:pPr>
                  <w:r>
                    <w:rPr>
                      <w:color w:val="auto"/>
                      <w:szCs w:val="21"/>
                      <w:highlight w:val="none"/>
                    </w:rPr>
                    <w:t>700袋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匀浆膳低蛋白型</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能量1600KJ，蛋白质＜5g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50g*8/盒</w:t>
                  </w:r>
                </w:p>
              </w:tc>
              <w:tc>
                <w:tcPr>
                  <w:tcW w:w="885" w:type="dxa"/>
                  <w:vAlign w:val="center"/>
                </w:tcPr>
                <w:p>
                  <w:pPr>
                    <w:widowControl/>
                    <w:jc w:val="center"/>
                    <w:textAlignment w:val="center"/>
                    <w:rPr>
                      <w:color w:val="auto"/>
                      <w:szCs w:val="21"/>
                      <w:highlight w:val="none"/>
                    </w:rPr>
                  </w:pPr>
                  <w:r>
                    <w:rPr>
                      <w:color w:val="auto"/>
                      <w:szCs w:val="21"/>
                      <w:highlight w:val="none"/>
                    </w:rPr>
                    <w:t>600盒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水溶性维生素组件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含：维生素B1、维生素B2、维生素B6、维生素B12、维生素C</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5g*30/袋</w:t>
                  </w:r>
                </w:p>
              </w:tc>
              <w:tc>
                <w:tcPr>
                  <w:tcW w:w="885" w:type="dxa"/>
                  <w:vAlign w:val="center"/>
                </w:tcPr>
                <w:p>
                  <w:pPr>
                    <w:widowControl/>
                    <w:jc w:val="center"/>
                    <w:textAlignment w:val="center"/>
                    <w:rPr>
                      <w:color w:val="auto"/>
                      <w:szCs w:val="21"/>
                      <w:highlight w:val="none"/>
                    </w:rPr>
                  </w:pPr>
                  <w:r>
                    <w:rPr>
                      <w:color w:val="auto"/>
                      <w:szCs w:val="21"/>
                      <w:highlight w:val="none"/>
                    </w:rPr>
                    <w:t>150袋</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儿童型短肽</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能量</w:t>
                  </w:r>
                  <w:r>
                    <w:rPr>
                      <w:color w:val="auto"/>
                      <w:szCs w:val="21"/>
                      <w:highlight w:val="none"/>
                    </w:rPr>
                    <w:t>1800KJ</w:t>
                  </w:r>
                  <w:r>
                    <w:rPr>
                      <w:rFonts w:hint="eastAsia"/>
                      <w:color w:val="auto"/>
                      <w:szCs w:val="21"/>
                      <w:highlight w:val="none"/>
                    </w:rPr>
                    <w:t>，蛋白质</w:t>
                  </w:r>
                  <w:r>
                    <w:rPr>
                      <w:color w:val="auto"/>
                      <w:szCs w:val="21"/>
                      <w:highlight w:val="none"/>
                    </w:rPr>
                    <w:t>15g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400g/罐</w:t>
                  </w:r>
                </w:p>
              </w:tc>
              <w:tc>
                <w:tcPr>
                  <w:tcW w:w="885" w:type="dxa"/>
                  <w:vAlign w:val="center"/>
                </w:tcPr>
                <w:p>
                  <w:pPr>
                    <w:widowControl/>
                    <w:jc w:val="center"/>
                    <w:textAlignment w:val="center"/>
                    <w:rPr>
                      <w:color w:val="auto"/>
                      <w:szCs w:val="21"/>
                      <w:highlight w:val="none"/>
                    </w:rPr>
                  </w:pPr>
                  <w:r>
                    <w:rPr>
                      <w:color w:val="auto"/>
                      <w:szCs w:val="21"/>
                      <w:highlight w:val="none"/>
                    </w:rPr>
                    <w:t>10罐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糊化淮山米粉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添加淮山</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400g/盒</w:t>
                  </w:r>
                </w:p>
              </w:tc>
              <w:tc>
                <w:tcPr>
                  <w:tcW w:w="885" w:type="dxa"/>
                  <w:vAlign w:val="center"/>
                </w:tcPr>
                <w:p>
                  <w:pPr>
                    <w:widowControl/>
                    <w:jc w:val="center"/>
                    <w:textAlignment w:val="center"/>
                    <w:rPr>
                      <w:color w:val="auto"/>
                      <w:szCs w:val="21"/>
                      <w:highlight w:val="none"/>
                    </w:rPr>
                  </w:pPr>
                  <w:r>
                    <w:rPr>
                      <w:color w:val="auto"/>
                      <w:szCs w:val="21"/>
                      <w:highlight w:val="none"/>
                    </w:rPr>
                    <w:t>10盒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酶解淮山营养米粉</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添加淮山</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400g/盒</w:t>
                  </w:r>
                </w:p>
              </w:tc>
              <w:tc>
                <w:tcPr>
                  <w:tcW w:w="885" w:type="dxa"/>
                  <w:vAlign w:val="center"/>
                </w:tcPr>
                <w:p>
                  <w:pPr>
                    <w:widowControl/>
                    <w:jc w:val="center"/>
                    <w:textAlignment w:val="center"/>
                    <w:rPr>
                      <w:color w:val="auto"/>
                      <w:szCs w:val="21"/>
                      <w:highlight w:val="none"/>
                    </w:rPr>
                  </w:pPr>
                  <w:r>
                    <w:rPr>
                      <w:color w:val="auto"/>
                      <w:szCs w:val="21"/>
                      <w:highlight w:val="none"/>
                    </w:rPr>
                    <w:t>5盒</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复配脂溶性维生素组件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含：维生素A、维生素D、维生素E</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5g/条</w:t>
                  </w:r>
                </w:p>
              </w:tc>
              <w:tc>
                <w:tcPr>
                  <w:tcW w:w="885" w:type="dxa"/>
                  <w:vAlign w:val="center"/>
                </w:tcPr>
                <w:p>
                  <w:pPr>
                    <w:widowControl/>
                    <w:jc w:val="center"/>
                    <w:textAlignment w:val="center"/>
                    <w:rPr>
                      <w:color w:val="auto"/>
                      <w:szCs w:val="21"/>
                      <w:highlight w:val="none"/>
                    </w:rPr>
                  </w:pPr>
                  <w:r>
                    <w:rPr>
                      <w:color w:val="auto"/>
                      <w:szCs w:val="21"/>
                      <w:highlight w:val="none"/>
                    </w:rPr>
                    <w:t>50条</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铁元素组件</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铁＞300mg</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3g/条</w:t>
                  </w:r>
                </w:p>
              </w:tc>
              <w:tc>
                <w:tcPr>
                  <w:tcW w:w="885" w:type="dxa"/>
                  <w:vAlign w:val="center"/>
                </w:tcPr>
                <w:p>
                  <w:pPr>
                    <w:widowControl/>
                    <w:jc w:val="center"/>
                    <w:textAlignment w:val="center"/>
                    <w:rPr>
                      <w:color w:val="auto"/>
                      <w:szCs w:val="21"/>
                      <w:highlight w:val="none"/>
                    </w:rPr>
                  </w:pPr>
                  <w:r>
                    <w:rPr>
                      <w:color w:val="auto"/>
                      <w:szCs w:val="21"/>
                      <w:highlight w:val="none"/>
                    </w:rPr>
                    <w:t>20条</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4" w:type="dxa"/>
                  <w:vAlign w:val="center"/>
                </w:tcPr>
                <w:p>
                  <w:pPr>
                    <w:widowControl/>
                    <w:jc w:val="center"/>
                    <w:textAlignment w:val="center"/>
                    <w:rPr>
                      <w:color w:val="auto"/>
                      <w:szCs w:val="21"/>
                      <w:highlight w:val="none"/>
                    </w:rPr>
                  </w:pPr>
                  <w:r>
                    <w:rPr>
                      <w:rFonts w:hint="eastAsia"/>
                      <w:color w:val="auto"/>
                      <w:szCs w:val="21"/>
                      <w:highlight w:val="none"/>
                    </w:rPr>
                    <w:t>高复合肽配方</w:t>
                  </w:r>
                </w:p>
              </w:tc>
              <w:tc>
                <w:tcPr>
                  <w:tcW w:w="1934" w:type="dxa"/>
                  <w:vAlign w:val="center"/>
                </w:tcPr>
                <w:p>
                  <w:pPr>
                    <w:widowControl/>
                    <w:jc w:val="center"/>
                    <w:textAlignment w:val="center"/>
                    <w:rPr>
                      <w:color w:val="auto"/>
                      <w:szCs w:val="21"/>
                      <w:highlight w:val="none"/>
                    </w:rPr>
                  </w:pPr>
                  <w:r>
                    <w:rPr>
                      <w:rFonts w:hint="eastAsia"/>
                      <w:color w:val="auto"/>
                      <w:szCs w:val="21"/>
                      <w:highlight w:val="none"/>
                    </w:rPr>
                    <w:t>肿瘤病人用</w:t>
                  </w:r>
                </w:p>
              </w:tc>
              <w:tc>
                <w:tcPr>
                  <w:tcW w:w="1067" w:type="dxa"/>
                  <w:vAlign w:val="center"/>
                </w:tcPr>
                <w:p>
                  <w:pPr>
                    <w:widowControl/>
                    <w:jc w:val="center"/>
                    <w:textAlignment w:val="center"/>
                    <w:rPr>
                      <w:color w:val="auto"/>
                      <w:szCs w:val="21"/>
                      <w:highlight w:val="none"/>
                    </w:rPr>
                  </w:pPr>
                  <w:r>
                    <w:rPr>
                      <w:rFonts w:hint="eastAsia"/>
                      <w:color w:val="auto"/>
                      <w:szCs w:val="21"/>
                      <w:highlight w:val="none"/>
                    </w:rPr>
                    <w:t>400g/罐</w:t>
                  </w:r>
                </w:p>
              </w:tc>
              <w:tc>
                <w:tcPr>
                  <w:tcW w:w="885" w:type="dxa"/>
                  <w:vAlign w:val="center"/>
                </w:tcPr>
                <w:p>
                  <w:pPr>
                    <w:widowControl/>
                    <w:jc w:val="center"/>
                    <w:textAlignment w:val="center"/>
                    <w:rPr>
                      <w:color w:val="auto"/>
                      <w:szCs w:val="21"/>
                      <w:highlight w:val="none"/>
                    </w:rPr>
                  </w:pPr>
                  <w:r>
                    <w:rPr>
                      <w:color w:val="auto"/>
                      <w:szCs w:val="21"/>
                      <w:highlight w:val="none"/>
                    </w:rPr>
                    <w:t>5罐</w:t>
                  </w:r>
                </w:p>
              </w:tc>
              <w:tc>
                <w:tcPr>
                  <w:tcW w:w="932" w:type="dxa"/>
                  <w:vAlign w:val="center"/>
                </w:tcPr>
                <w:p>
                  <w:pPr>
                    <w:widowControl/>
                    <w:jc w:val="center"/>
                    <w:textAlignment w:val="center"/>
                    <w:rPr>
                      <w:color w:val="auto"/>
                      <w:szCs w:val="21"/>
                      <w:highlight w:val="none"/>
                    </w:rPr>
                  </w:pPr>
                  <w:r>
                    <w:rPr>
                      <w:rFonts w:hint="eastAsia"/>
                      <w:color w:val="auto"/>
                      <w:szCs w:val="21"/>
                      <w:highlight w:val="none"/>
                    </w:rPr>
                    <w:t>295</w:t>
                  </w:r>
                </w:p>
              </w:tc>
            </w:tr>
          </w:tbl>
          <w:p>
            <w:pPr>
              <w:pStyle w:val="3"/>
              <w:ind w:firstLine="0" w:firstLineChars="0"/>
              <w:rPr>
                <w:rFonts w:hAnsi="宋体" w:cs="宋体"/>
                <w:color w:val="auto"/>
                <w:sz w:val="21"/>
                <w:szCs w:val="21"/>
                <w:highlight w:val="none"/>
              </w:rPr>
            </w:pP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二、配送服务要求</w:t>
            </w:r>
          </w:p>
          <w:p>
            <w:pPr>
              <w:pStyle w:val="3"/>
              <w:ind w:firstLine="0" w:firstLineChars="0"/>
              <w:rPr>
                <w:color w:val="auto"/>
                <w:sz w:val="21"/>
                <w:szCs w:val="21"/>
                <w:highlight w:val="none"/>
              </w:rPr>
            </w:pPr>
            <w:r>
              <w:rPr>
                <w:rFonts w:hint="eastAsia"/>
                <w:color w:val="auto"/>
                <w:sz w:val="21"/>
                <w:szCs w:val="21"/>
                <w:highlight w:val="none"/>
              </w:rPr>
              <w:t>1</w:t>
            </w:r>
            <w:r>
              <w:rPr>
                <w:color w:val="auto"/>
                <w:sz w:val="21"/>
                <w:szCs w:val="21"/>
                <w:highlight w:val="none"/>
              </w:rPr>
              <w:t>.配送要求：</w:t>
            </w:r>
          </w:p>
          <w:p>
            <w:pPr>
              <w:pStyle w:val="3"/>
              <w:ind w:firstLine="0" w:firstLineChars="0"/>
              <w:rPr>
                <w:color w:val="auto"/>
                <w:sz w:val="21"/>
                <w:szCs w:val="21"/>
                <w:highlight w:val="none"/>
              </w:rPr>
            </w:pPr>
            <w:r>
              <w:rPr>
                <w:color w:val="auto"/>
                <w:sz w:val="21"/>
                <w:szCs w:val="21"/>
                <w:highlight w:val="none"/>
              </w:rPr>
              <w:t>（1）</w:t>
            </w:r>
            <w:r>
              <w:rPr>
                <w:rFonts w:hint="eastAsia"/>
                <w:color w:val="auto"/>
                <w:sz w:val="21"/>
                <w:szCs w:val="21"/>
                <w:highlight w:val="none"/>
                <w:lang w:eastAsia="zh-CN"/>
              </w:rPr>
              <w:t>供应商必须保证配送的食品生产厂家取得对应食品生产许可证、供应商的食品经营许可证或备案</w:t>
            </w:r>
            <w:r>
              <w:rPr>
                <w:rFonts w:hint="eastAsia"/>
                <w:color w:val="auto"/>
                <w:sz w:val="21"/>
                <w:szCs w:val="21"/>
                <w:highlight w:val="none"/>
              </w:rPr>
              <w:t>包含对应经营范围</w:t>
            </w:r>
            <w:r>
              <w:rPr>
                <w:color w:val="auto"/>
                <w:sz w:val="21"/>
                <w:szCs w:val="21"/>
                <w:highlight w:val="none"/>
              </w:rPr>
              <w:t>，未列入生产许可目录的应符合国家有关标准要求。</w:t>
            </w:r>
          </w:p>
          <w:p>
            <w:pPr>
              <w:pStyle w:val="3"/>
              <w:ind w:firstLine="0" w:firstLineChars="0"/>
              <w:rPr>
                <w:color w:val="auto"/>
                <w:sz w:val="21"/>
                <w:szCs w:val="21"/>
                <w:highlight w:val="none"/>
              </w:rPr>
            </w:pPr>
            <w:r>
              <w:rPr>
                <w:color w:val="auto"/>
                <w:sz w:val="21"/>
                <w:szCs w:val="21"/>
                <w:highlight w:val="none"/>
              </w:rPr>
              <w:t>（2）凡是《食品安全法》禁止经营的食品一律不得采购和使用，严禁配送</w:t>
            </w:r>
            <w:r>
              <w:rPr>
                <w:rFonts w:hint="eastAsia"/>
                <w:color w:val="auto"/>
                <w:sz w:val="21"/>
                <w:szCs w:val="21"/>
                <w:highlight w:val="none"/>
              </w:rPr>
              <w:t>“</w:t>
            </w:r>
            <w:r>
              <w:rPr>
                <w:color w:val="auto"/>
                <w:sz w:val="21"/>
                <w:szCs w:val="21"/>
                <w:highlight w:val="none"/>
              </w:rPr>
              <w:t>三无</w:t>
            </w:r>
            <w:r>
              <w:rPr>
                <w:rFonts w:hint="eastAsia"/>
                <w:color w:val="auto"/>
                <w:sz w:val="21"/>
                <w:szCs w:val="21"/>
                <w:highlight w:val="none"/>
              </w:rPr>
              <w:t>”</w:t>
            </w:r>
            <w:r>
              <w:rPr>
                <w:color w:val="auto"/>
                <w:sz w:val="21"/>
                <w:szCs w:val="21"/>
                <w:highlight w:val="none"/>
              </w:rPr>
              <w:t>食品、有毒、有害、过期、变质、假冒伪劣等不合格食品</w:t>
            </w:r>
            <w:r>
              <w:rPr>
                <w:rFonts w:hint="eastAsia"/>
                <w:color w:val="auto"/>
                <w:sz w:val="21"/>
                <w:szCs w:val="21"/>
                <w:highlight w:val="none"/>
              </w:rPr>
              <w:t>，供应商按规定留样备查。</w:t>
            </w:r>
          </w:p>
          <w:p>
            <w:pPr>
              <w:pStyle w:val="3"/>
              <w:ind w:firstLine="0" w:firstLineChars="0"/>
              <w:rPr>
                <w:color w:val="auto"/>
                <w:sz w:val="21"/>
                <w:szCs w:val="21"/>
                <w:highlight w:val="none"/>
              </w:rPr>
            </w:pPr>
            <w:r>
              <w:rPr>
                <w:color w:val="auto"/>
                <w:sz w:val="21"/>
                <w:szCs w:val="21"/>
                <w:highlight w:val="none"/>
              </w:rPr>
              <w:t>（3）若食品在运输、配送过程中造成的损耗，由成交供应商负责及时更换或补充，以达到该批次供货要求；如在该批次约定交货时间内验收数量无法达到配送要求，所产生的一切责任由成交供应商承担。</w:t>
            </w:r>
          </w:p>
          <w:p>
            <w:pPr>
              <w:pStyle w:val="3"/>
              <w:ind w:firstLine="0" w:firstLineChars="0"/>
              <w:rPr>
                <w:color w:val="auto"/>
                <w:sz w:val="21"/>
                <w:szCs w:val="21"/>
                <w:highlight w:val="none"/>
              </w:rPr>
            </w:pPr>
            <w:r>
              <w:rPr>
                <w:color w:val="auto"/>
                <w:sz w:val="21"/>
                <w:szCs w:val="21"/>
                <w:highlight w:val="none"/>
              </w:rPr>
              <w:t>（4）采购人组织专人负责对配送食品进行留样，成交供应商必须配合相关留样工作。每批次供货留样份，采购人可请有资质的质量检测机构对配送食品进行抽样检查，并对检查情况建立档案；若抽样检查出现不合格产品或因配送食品质量不合格而发生食品安全事故的，成交供应商将承担由此造成的经济责任和法律责任。</w:t>
            </w:r>
          </w:p>
          <w:p>
            <w:pPr>
              <w:pStyle w:val="3"/>
              <w:ind w:firstLine="0" w:firstLineChars="0"/>
              <w:rPr>
                <w:color w:val="auto"/>
                <w:sz w:val="21"/>
                <w:szCs w:val="21"/>
                <w:highlight w:val="none"/>
              </w:rPr>
            </w:pPr>
            <w:r>
              <w:rPr>
                <w:color w:val="auto"/>
                <w:sz w:val="21"/>
                <w:szCs w:val="21"/>
                <w:highlight w:val="none"/>
              </w:rPr>
              <w:t>（5）合同履行过程中产品的相关检验检测费用由成交供应商承担。</w:t>
            </w:r>
          </w:p>
          <w:p>
            <w:pPr>
              <w:pStyle w:val="3"/>
              <w:ind w:firstLine="0" w:firstLineChars="0"/>
              <w:rPr>
                <w:color w:val="auto"/>
                <w:sz w:val="21"/>
                <w:szCs w:val="21"/>
                <w:highlight w:val="none"/>
              </w:rPr>
            </w:pPr>
            <w:r>
              <w:rPr>
                <w:rFonts w:hint="eastAsia"/>
                <w:color w:val="auto"/>
                <w:sz w:val="21"/>
                <w:szCs w:val="21"/>
                <w:highlight w:val="none"/>
              </w:rPr>
              <w:t>2</w:t>
            </w:r>
            <w:r>
              <w:rPr>
                <w:color w:val="auto"/>
                <w:sz w:val="21"/>
                <w:szCs w:val="21"/>
                <w:highlight w:val="none"/>
              </w:rPr>
              <w:t>.成交供应商必须保证所提供的产品质量安全无害，必须遵守《中华人民共和国产品质量法》、《中华人民共和国消费者权益保护法》、《中华人民共和国食品安全法》、《中华人民共和国动物检疫法》、《中华人民共和国计量法》等现行相关法律、法规的规定。</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.预包装类产品须符合《预包装食品标签通则》（GB7718-2011）的规定。</w:t>
            </w:r>
          </w:p>
          <w:p>
            <w:pPr>
              <w:pStyle w:val="3"/>
              <w:ind w:firstLine="0" w:firstLineChars="0"/>
              <w:rPr>
                <w:color w:val="auto"/>
                <w:sz w:val="21"/>
                <w:szCs w:val="21"/>
                <w:highlight w:val="none"/>
              </w:rPr>
            </w:pPr>
            <w:r>
              <w:rPr>
                <w:rFonts w:hint="eastAsia"/>
                <w:color w:val="auto"/>
                <w:sz w:val="21"/>
                <w:szCs w:val="21"/>
                <w:highlight w:val="none"/>
              </w:rPr>
              <w:t>4</w:t>
            </w:r>
            <w:r>
              <w:rPr>
                <w:color w:val="auto"/>
                <w:sz w:val="21"/>
                <w:szCs w:val="21"/>
                <w:highlight w:val="none"/>
              </w:rPr>
              <w:t>.成交供应商必须依法接受质量技术监督、工商、卫生、食品药品监督等职能部门的监督管理，并接受、配合相关职能部门的检测。</w:t>
            </w:r>
          </w:p>
          <w:p>
            <w:pPr>
              <w:pStyle w:val="3"/>
              <w:ind w:firstLine="0" w:firstLineChars="0"/>
              <w:rPr>
                <w:color w:val="auto"/>
                <w:sz w:val="21"/>
                <w:szCs w:val="21"/>
                <w:highlight w:val="none"/>
              </w:rPr>
            </w:pPr>
            <w:r>
              <w:rPr>
                <w:rFonts w:hint="eastAsia"/>
                <w:color w:val="auto"/>
                <w:sz w:val="21"/>
                <w:szCs w:val="21"/>
                <w:highlight w:val="none"/>
              </w:rPr>
              <w:t>5.</w:t>
            </w:r>
            <w:r>
              <w:rPr>
                <w:color w:val="auto"/>
                <w:sz w:val="21"/>
                <w:szCs w:val="21"/>
                <w:highlight w:val="none"/>
              </w:rPr>
              <w:t>在合同履行期间，采购人有权对成交供应商供应</w:t>
            </w:r>
            <w:r>
              <w:rPr>
                <w:rFonts w:hint="eastAsia"/>
                <w:color w:val="auto"/>
                <w:sz w:val="21"/>
                <w:szCs w:val="21"/>
                <w:highlight w:val="none"/>
              </w:rPr>
              <w:t>食品</w:t>
            </w:r>
            <w:r>
              <w:rPr>
                <w:color w:val="auto"/>
                <w:sz w:val="21"/>
                <w:szCs w:val="21"/>
                <w:highlight w:val="none"/>
              </w:rPr>
              <w:t>的相关加工场地及设备进行检查，成交供应商必须配合，不得以各种理由拒绝；若检查结果与其响应文件承诺不符的将视为提供虚假材料谋取中标，报送监管部门，按政府采购相关法律法规追究其相应的法律责任。</w:t>
            </w:r>
          </w:p>
          <w:p>
            <w:pPr>
              <w:pStyle w:val="3"/>
              <w:ind w:firstLine="0" w:firstLineChars="0"/>
              <w:rPr>
                <w:color w:val="auto"/>
                <w:sz w:val="21"/>
                <w:szCs w:val="21"/>
                <w:highlight w:val="none"/>
              </w:rPr>
            </w:pPr>
            <w:r>
              <w:rPr>
                <w:rFonts w:hint="eastAsia"/>
                <w:color w:val="auto"/>
                <w:sz w:val="21"/>
                <w:szCs w:val="21"/>
                <w:highlight w:val="none"/>
              </w:rPr>
              <w:t>6</w:t>
            </w:r>
            <w:r>
              <w:rPr>
                <w:color w:val="auto"/>
                <w:sz w:val="21"/>
                <w:szCs w:val="21"/>
                <w:highlight w:val="none"/>
              </w:rPr>
              <w:t>.在服务期限内保障采购</w:t>
            </w:r>
            <w:r>
              <w:rPr>
                <w:rFonts w:hint="eastAsia"/>
                <w:color w:val="auto"/>
                <w:sz w:val="21"/>
                <w:szCs w:val="21"/>
                <w:highlight w:val="none"/>
              </w:rPr>
              <w:t>人</w:t>
            </w:r>
            <w:r>
              <w:rPr>
                <w:color w:val="auto"/>
                <w:sz w:val="21"/>
                <w:szCs w:val="21"/>
                <w:highlight w:val="none"/>
              </w:rPr>
              <w:t>的供货需求，采购</w:t>
            </w:r>
            <w:r>
              <w:rPr>
                <w:rFonts w:hint="eastAsia"/>
                <w:color w:val="auto"/>
                <w:sz w:val="21"/>
                <w:szCs w:val="21"/>
                <w:highlight w:val="none"/>
              </w:rPr>
              <w:t>人</w:t>
            </w:r>
            <w:r>
              <w:rPr>
                <w:color w:val="auto"/>
                <w:sz w:val="21"/>
                <w:szCs w:val="21"/>
                <w:highlight w:val="none"/>
              </w:rPr>
              <w:t>不提供仓储地方，实行零库存管理，按实际使用量结算，并结合医院实际使用情况及时补货，保证货物的正常供应。</w:t>
            </w:r>
          </w:p>
          <w:p>
            <w:pPr>
              <w:pStyle w:val="3"/>
              <w:ind w:firstLine="0" w:firstLineChars="0"/>
              <w:rPr>
                <w:color w:val="auto"/>
                <w:sz w:val="21"/>
                <w:szCs w:val="21"/>
                <w:highlight w:val="none"/>
              </w:rPr>
            </w:pPr>
            <w:r>
              <w:rPr>
                <w:rFonts w:hint="eastAsia"/>
                <w:color w:val="auto"/>
                <w:sz w:val="21"/>
                <w:szCs w:val="21"/>
                <w:highlight w:val="none"/>
              </w:rPr>
              <w:t>7</w:t>
            </w:r>
            <w:r>
              <w:rPr>
                <w:color w:val="auto"/>
                <w:sz w:val="21"/>
                <w:szCs w:val="21"/>
                <w:highlight w:val="none"/>
              </w:rPr>
              <w:t>.</w:t>
            </w:r>
            <w:r>
              <w:rPr>
                <w:rFonts w:hint="eastAsia"/>
                <w:color w:val="auto"/>
                <w:sz w:val="21"/>
                <w:szCs w:val="21"/>
                <w:highlight w:val="none"/>
              </w:rPr>
              <w:t>成交供应商</w:t>
            </w:r>
            <w:r>
              <w:rPr>
                <w:color w:val="auto"/>
                <w:sz w:val="21"/>
                <w:szCs w:val="21"/>
                <w:highlight w:val="none"/>
              </w:rPr>
              <w:t>所提供的产品在服务期内不得涨价，因产品价格随市场价格有所波动，经</w:t>
            </w:r>
            <w:r>
              <w:rPr>
                <w:rFonts w:hint="eastAsia"/>
                <w:color w:val="auto"/>
                <w:sz w:val="21"/>
                <w:szCs w:val="21"/>
                <w:highlight w:val="none"/>
              </w:rPr>
              <w:t>采购人及成交供应商双方</w:t>
            </w:r>
            <w:r>
              <w:rPr>
                <w:color w:val="auto"/>
                <w:sz w:val="21"/>
                <w:szCs w:val="21"/>
                <w:highlight w:val="none"/>
              </w:rPr>
              <w:t>协商同意后可按最新市场供货价格</w:t>
            </w:r>
            <w:r>
              <w:rPr>
                <w:rFonts w:hint="eastAsia"/>
                <w:color w:val="auto"/>
                <w:sz w:val="21"/>
                <w:szCs w:val="21"/>
                <w:highlight w:val="none"/>
              </w:rPr>
              <w:t>×（1-成交下浮系数）</w:t>
            </w:r>
            <w:r>
              <w:rPr>
                <w:color w:val="auto"/>
                <w:sz w:val="21"/>
                <w:szCs w:val="21"/>
                <w:highlight w:val="none"/>
              </w:rPr>
              <w:t>进行结算，但不能高于原</w:t>
            </w:r>
            <w:r>
              <w:rPr>
                <w:rFonts w:hint="eastAsia"/>
                <w:color w:val="auto"/>
                <w:sz w:val="21"/>
                <w:szCs w:val="21"/>
                <w:highlight w:val="none"/>
              </w:rPr>
              <w:t>成交</w:t>
            </w:r>
            <w:r>
              <w:rPr>
                <w:color w:val="auto"/>
                <w:sz w:val="21"/>
                <w:szCs w:val="21"/>
                <w:highlight w:val="none"/>
              </w:rPr>
              <w:t>价格。</w:t>
            </w:r>
          </w:p>
          <w:p>
            <w:pPr>
              <w:pStyle w:val="3"/>
              <w:ind w:firstLine="0" w:firstLineChars="0"/>
              <w:rPr>
                <w:color w:val="auto"/>
                <w:sz w:val="21"/>
                <w:szCs w:val="21"/>
                <w:highlight w:val="none"/>
              </w:rPr>
            </w:pPr>
            <w:r>
              <w:rPr>
                <w:rFonts w:hint="eastAsia"/>
                <w:color w:val="auto"/>
                <w:sz w:val="21"/>
                <w:szCs w:val="21"/>
                <w:highlight w:val="none"/>
              </w:rPr>
              <w:t>8</w:t>
            </w:r>
            <w:r>
              <w:rPr>
                <w:color w:val="auto"/>
                <w:sz w:val="21"/>
                <w:szCs w:val="21"/>
                <w:highlight w:val="none"/>
              </w:rPr>
              <w:t>.</w:t>
            </w:r>
            <w:r>
              <w:rPr>
                <w:rFonts w:hint="eastAsia"/>
                <w:color w:val="auto"/>
                <w:sz w:val="21"/>
                <w:szCs w:val="21"/>
                <w:highlight w:val="none"/>
              </w:rPr>
              <w:t>成交供应商应向采购人提供所配送产品的包装名称、规格等资料备案，</w:t>
            </w:r>
            <w:r>
              <w:rPr>
                <w:color w:val="auto"/>
                <w:sz w:val="21"/>
                <w:szCs w:val="21"/>
                <w:highlight w:val="none"/>
              </w:rPr>
              <w:t>因产品生产厂家对产品进行升级换代后对产品包装名称、规格进行调整的，必须经过采购方审核同意后方能按新包装进行供货。</w:t>
            </w:r>
          </w:p>
          <w:p>
            <w:pPr>
              <w:pStyle w:val="3"/>
              <w:ind w:firstLine="0" w:firstLineChars="0"/>
              <w:rPr>
                <w:color w:val="auto"/>
                <w:sz w:val="21"/>
                <w:szCs w:val="21"/>
                <w:highlight w:val="none"/>
              </w:rPr>
            </w:pPr>
            <w:r>
              <w:rPr>
                <w:rFonts w:hint="eastAsia" w:hAnsi="宋体" w:cs="宋体"/>
                <w:color w:val="auto"/>
                <w:sz w:val="21"/>
                <w:szCs w:val="21"/>
                <w:highlight w:val="none"/>
              </w:rPr>
              <w:t>▲</w:t>
            </w:r>
            <w:r>
              <w:rPr>
                <w:rFonts w:hint="eastAsia"/>
                <w:color w:val="auto"/>
                <w:sz w:val="21"/>
                <w:szCs w:val="21"/>
                <w:highlight w:val="none"/>
              </w:rPr>
              <w:t>三、配送人员及车辆要求：</w:t>
            </w:r>
          </w:p>
          <w:p>
            <w:pPr>
              <w:pStyle w:val="3"/>
              <w:ind w:firstLine="0" w:firstLineChars="0"/>
              <w:rPr>
                <w:color w:val="auto"/>
                <w:sz w:val="21"/>
                <w:szCs w:val="21"/>
                <w:highlight w:val="none"/>
              </w:rPr>
            </w:pPr>
            <w:r>
              <w:rPr>
                <w:color w:val="auto"/>
                <w:sz w:val="21"/>
                <w:szCs w:val="21"/>
                <w:highlight w:val="none"/>
              </w:rPr>
              <w:t>1.所有配送员需相对固定。配送人员本人必须持有卫生监督机构发放的(或医疗机构发放的)有效健康证(注:体检报告不能等同于健康证)，且工作期间身体健康，无身体不适、无传染疾病。</w:t>
            </w:r>
            <w:r>
              <w:rPr>
                <w:rFonts w:hint="eastAsia"/>
                <w:b/>
                <w:bCs/>
                <w:color w:val="auto"/>
                <w:sz w:val="21"/>
                <w:szCs w:val="21"/>
                <w:highlight w:val="none"/>
              </w:rPr>
              <w:t>（响应</w:t>
            </w:r>
            <w:r>
              <w:rPr>
                <w:b/>
                <w:bCs/>
                <w:color w:val="auto"/>
                <w:sz w:val="21"/>
                <w:szCs w:val="21"/>
                <w:highlight w:val="none"/>
              </w:rPr>
              <w:t>文件中提供2名或以上员工的健康证及</w:t>
            </w:r>
            <w:r>
              <w:rPr>
                <w:rFonts w:hint="eastAsia"/>
                <w:b/>
                <w:bCs/>
                <w:color w:val="auto"/>
                <w:sz w:val="21"/>
                <w:szCs w:val="21"/>
                <w:highlight w:val="none"/>
              </w:rPr>
              <w:t>响应文件递交</w:t>
            </w:r>
            <w:r>
              <w:rPr>
                <w:b/>
                <w:bCs/>
                <w:color w:val="auto"/>
                <w:sz w:val="21"/>
                <w:szCs w:val="21"/>
                <w:highlight w:val="none"/>
              </w:rPr>
              <w:t>截止时间前6个月内任意1个月</w:t>
            </w:r>
            <w:r>
              <w:rPr>
                <w:rFonts w:hint="eastAsia"/>
                <w:b/>
                <w:bCs/>
                <w:color w:val="auto"/>
                <w:sz w:val="21"/>
                <w:szCs w:val="21"/>
                <w:highlight w:val="none"/>
              </w:rPr>
              <w:t>竞标供应商</w:t>
            </w:r>
            <w:r>
              <w:rPr>
                <w:b/>
                <w:bCs/>
                <w:color w:val="auto"/>
                <w:sz w:val="21"/>
                <w:szCs w:val="21"/>
                <w:highlight w:val="none"/>
              </w:rPr>
              <w:t>为该人员缴纳的社保证明</w:t>
            </w:r>
            <w:r>
              <w:rPr>
                <w:rFonts w:hint="eastAsia"/>
                <w:b/>
                <w:bCs/>
                <w:color w:val="auto"/>
                <w:sz w:val="21"/>
                <w:szCs w:val="21"/>
                <w:highlight w:val="none"/>
              </w:rPr>
              <w:t>复印件</w:t>
            </w:r>
            <w:r>
              <w:rPr>
                <w:b/>
                <w:bCs/>
                <w:color w:val="auto"/>
                <w:sz w:val="21"/>
                <w:szCs w:val="21"/>
                <w:highlight w:val="none"/>
              </w:rPr>
              <w:t>。</w:t>
            </w:r>
            <w:r>
              <w:rPr>
                <w:rFonts w:hint="eastAsia"/>
                <w:b/>
                <w:bCs/>
                <w:color w:val="auto"/>
                <w:sz w:val="21"/>
                <w:szCs w:val="21"/>
                <w:highlight w:val="none"/>
              </w:rPr>
              <w:t>）</w:t>
            </w:r>
          </w:p>
          <w:p>
            <w:pPr>
              <w:pStyle w:val="3"/>
              <w:ind w:firstLine="0" w:firstLineChars="0"/>
              <w:rPr>
                <w:color w:val="auto"/>
                <w:highlight w:val="none"/>
              </w:rPr>
            </w:pPr>
            <w:r>
              <w:rPr>
                <w:color w:val="auto"/>
                <w:sz w:val="21"/>
                <w:szCs w:val="21"/>
                <w:highlight w:val="none"/>
              </w:rPr>
              <w:t>2.</w:t>
            </w:r>
            <w:r>
              <w:rPr>
                <w:rFonts w:hint="eastAsia"/>
                <w:color w:val="auto"/>
                <w:sz w:val="21"/>
                <w:szCs w:val="21"/>
                <w:highlight w:val="none"/>
              </w:rPr>
              <w:t>供应商</w:t>
            </w:r>
            <w:r>
              <w:rPr>
                <w:color w:val="auto"/>
                <w:sz w:val="21"/>
                <w:szCs w:val="21"/>
                <w:highlight w:val="none"/>
              </w:rPr>
              <w:t>具有</w:t>
            </w:r>
            <w:r>
              <w:rPr>
                <w:rFonts w:hint="eastAsia"/>
                <w:color w:val="auto"/>
                <w:sz w:val="21"/>
                <w:szCs w:val="21"/>
                <w:highlight w:val="none"/>
              </w:rPr>
              <w:t>≥1辆</w:t>
            </w:r>
            <w:r>
              <w:rPr>
                <w:color w:val="auto"/>
                <w:sz w:val="21"/>
                <w:szCs w:val="21"/>
                <w:highlight w:val="none"/>
              </w:rPr>
              <w:t>专用配送车辆用于配送</w:t>
            </w:r>
            <w:r>
              <w:rPr>
                <w:rFonts w:hint="eastAsia"/>
                <w:color w:val="auto"/>
                <w:sz w:val="21"/>
                <w:szCs w:val="21"/>
                <w:highlight w:val="none"/>
              </w:rPr>
              <w:t>，</w:t>
            </w:r>
            <w:r>
              <w:rPr>
                <w:color w:val="auto"/>
                <w:sz w:val="21"/>
                <w:szCs w:val="21"/>
                <w:highlight w:val="none"/>
              </w:rPr>
              <w:t>车辆必须干净、整洁，不得装运可能影响食品安全的有毒有害物质，且能按采购人规定的时间及地点</w:t>
            </w:r>
            <w:r>
              <w:rPr>
                <w:rFonts w:hint="eastAsia"/>
                <w:color w:val="auto"/>
                <w:sz w:val="21"/>
                <w:szCs w:val="21"/>
                <w:highlight w:val="none"/>
              </w:rPr>
              <w:t>一</w:t>
            </w:r>
            <w:r>
              <w:rPr>
                <w:color w:val="auto"/>
                <w:sz w:val="21"/>
                <w:szCs w:val="21"/>
                <w:highlight w:val="none"/>
              </w:rPr>
              <w:t>次完成该批次货物的供应。</w:t>
            </w:r>
            <w:r>
              <w:rPr>
                <w:b/>
                <w:bCs/>
                <w:color w:val="auto"/>
                <w:sz w:val="21"/>
                <w:szCs w:val="21"/>
                <w:highlight w:val="none"/>
              </w:rPr>
              <w:t>(</w:t>
            </w:r>
            <w:r>
              <w:rPr>
                <w:rFonts w:hint="eastAsia"/>
                <w:b/>
                <w:bCs/>
                <w:color w:val="auto"/>
                <w:sz w:val="21"/>
                <w:szCs w:val="21"/>
                <w:highlight w:val="none"/>
              </w:rPr>
              <w:t>竞标供应商自有车辆的，响应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车辆的行驶证、车辆照片</w:t>
            </w:r>
            <w:r>
              <w:rPr>
                <w:rFonts w:hint="eastAsia"/>
                <w:b/>
                <w:bCs/>
                <w:color w:val="auto"/>
                <w:sz w:val="21"/>
                <w:szCs w:val="21"/>
                <w:highlight w:val="none"/>
              </w:rPr>
              <w:t>；</w:t>
            </w:r>
            <w:r>
              <w:rPr>
                <w:b/>
                <w:bCs/>
                <w:color w:val="auto"/>
                <w:sz w:val="21"/>
                <w:szCs w:val="21"/>
                <w:highlight w:val="none"/>
              </w:rPr>
              <w:t>车辆为</w:t>
            </w:r>
            <w:r>
              <w:rPr>
                <w:rFonts w:hint="eastAsia"/>
                <w:b/>
                <w:bCs/>
                <w:color w:val="auto"/>
                <w:sz w:val="21"/>
                <w:szCs w:val="21"/>
                <w:highlight w:val="none"/>
              </w:rPr>
              <w:t>竞标供应商</w:t>
            </w:r>
            <w:r>
              <w:rPr>
                <w:b/>
                <w:bCs/>
                <w:color w:val="auto"/>
                <w:sz w:val="21"/>
                <w:szCs w:val="21"/>
                <w:highlight w:val="none"/>
              </w:rPr>
              <w:t>租赁的，</w:t>
            </w:r>
            <w:r>
              <w:rPr>
                <w:rFonts w:hint="eastAsia"/>
                <w:b/>
                <w:bCs/>
                <w:color w:val="auto"/>
                <w:sz w:val="21"/>
                <w:szCs w:val="21"/>
                <w:highlight w:val="none"/>
              </w:rPr>
              <w:t>响应</w:t>
            </w:r>
            <w:r>
              <w:rPr>
                <w:b/>
                <w:bCs/>
                <w:color w:val="auto"/>
                <w:sz w:val="21"/>
                <w:szCs w:val="21"/>
                <w:highlight w:val="none"/>
              </w:rPr>
              <w:t>文件中提供</w:t>
            </w:r>
            <w:r>
              <w:rPr>
                <w:rFonts w:hint="eastAsia"/>
                <w:b/>
                <w:bCs/>
                <w:color w:val="auto"/>
                <w:sz w:val="21"/>
                <w:szCs w:val="21"/>
                <w:highlight w:val="none"/>
              </w:rPr>
              <w:t>配送</w:t>
            </w:r>
            <w:r>
              <w:rPr>
                <w:b/>
                <w:bCs/>
                <w:color w:val="auto"/>
                <w:sz w:val="21"/>
                <w:szCs w:val="21"/>
                <w:highlight w:val="none"/>
              </w:rPr>
              <w:t>车辆行驶证、车辆照片及车辆租用合同)。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b/>
                <w:bCs/>
                <w:color w:val="auto"/>
                <w:sz w:val="24"/>
                <w:highlight w:val="none"/>
              </w:rPr>
            </w:pPr>
            <w:r>
              <w:rPr>
                <w:rFonts w:hint="eastAsia" w:ascii="宋体" w:hAnsi="宋体" w:cs="宋体"/>
                <w:bCs/>
                <w:color w:val="auto"/>
                <w:kern w:val="0"/>
                <w:highlight w:val="none"/>
              </w:rPr>
              <w:t>▲</w:t>
            </w:r>
            <w:r>
              <w:rPr>
                <w:rFonts w:hint="eastAsia" w:ascii="宋体" w:hAnsi="宋体" w:cs="宋体"/>
                <w:b/>
                <w:color w:val="auto"/>
                <w:sz w:val="24"/>
                <w:highlight w:val="none"/>
              </w:rPr>
              <w:t>商务要求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s="宋体"/>
                <w:color w:val="auto"/>
                <w:szCs w:val="21"/>
                <w:highlight w:val="none"/>
              </w:rPr>
              <w:t>一、合同签订期：自成交通知书发出之日起25日内。</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二、服务期限：自签订合同之日起2年。</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三、服务地点：南宁市内采购人指定地点。</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四、交付方式：现场交付。</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五、付款条件：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无预付款，当月采购的货款于次月结算。采购人按月进行公对公账户转账，以采购人实际购买的种类及数量据实核算。供应商必须提供详细的物品销售清单与采购人的收货单核对，无误后，由供应商按照采购人财务规定出具正式发票，采购人才予以付款。</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2.成交人应在签订合同前按成交分标预算金额的</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%（中小企业收取的履约保证金数额按成交分标预算金额的2%）向采购人指定账户提交履约保证金，合同履约期服务完毕并验收合格后，成交人提出退款申请，采购人20个工作日内无息返还。</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六、售后服务要求：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1.质保期：按国家有关产品“三包”规定执行“三包”，因产品质量问题发生的相关费用由成交供应商承担。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食品出现假冒或者严重质量、安全问题，采购人有权单方解除本项目合同，并有权扣罚成交供应商全部履约保证金。给采购人或使用人造成实际损失的，采购人有权要求成交供应商承担，同时采购人有权禁止成交供应商及其关联方与采购人进行合作。</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成交供应商接到采购单位供货通知，正常情况下24小时内送达，紧急情况下2小时内送达，不管需求量的多少，不得以任何理由拒绝供货、送货。免费送货上门，行政上班时间外、周末、节假日做好备货、送货供应。</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（1）成交供应商未能按采购人要求时间完成配送,每延迟半小时按照当笔订单总金额的千分之三向采购人支付违约金；迟延超过1小时的，采购人有权选择拒收；采购人不拒收的，按折价</w:t>
            </w:r>
            <w:r>
              <w:rPr>
                <w:rFonts w:hint="eastAsia" w:ascii="宋体" w:hAnsi="宋体" w:cs="宋体"/>
                <w:color w:val="auto"/>
                <w:szCs w:val="21"/>
                <w:highlight w:val="none"/>
                <w:u w:val="single"/>
              </w:rPr>
              <w:t xml:space="preserve"> 10 </w:t>
            </w:r>
            <w:r>
              <w:rPr>
                <w:rFonts w:hint="eastAsia" w:ascii="宋体" w:hAnsi="宋体" w:cs="宋体"/>
                <w:color w:val="auto"/>
                <w:szCs w:val="21"/>
                <w:highlight w:val="none"/>
              </w:rPr>
              <w:t>%收货，以赔偿给采购人造成的影响。</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（2）成交供应商提供医用食品与采购人要求种类、品质不符品种，成交供应商应在2小时内将不符品种予以替换，逾期未替换或替换后仍无法通过采购人验货的，或者逾期交货超过2 小时的，采购人有权拒收并要求成交供应商在采购人规定时间内支付相当于该批不符品种订货价款3倍的违约金。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（3）采购人有权从任一笔应付采购款中直接扣除成交供应商应支付的违约金或应承担的其他赔偿费用。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发生上述违约情形累计超过3次，或者成交供应商拒不支付违约金的，或者发生一次但情节严重的(如因成交供应商所提供的医用食品不合格导致发生群体性食品安全事故、被政府相关部门处罚等)，采购人有权单方解除本合同，给采购人造成损失的，采购人有权要求成交供应商承担。</w:t>
            </w:r>
          </w:p>
          <w:p>
            <w:pPr>
              <w:snapToGrid w:val="0"/>
              <w:spacing w:line="360" w:lineRule="auto"/>
              <w:ind w:left="210" w:hanging="210" w:hangingChars="100"/>
              <w:rPr>
                <w:rFonts w:ascii="宋体" w:hAnsi="宋体" w:cs="宋体"/>
                <w:color w:val="auto"/>
                <w:szCs w:val="21"/>
                <w:highlight w:val="none"/>
              </w:rPr>
            </w:pPr>
            <w:r>
              <w:rPr>
                <w:rFonts w:hint="eastAsia" w:ascii="宋体" w:hAnsi="宋体" w:cs="宋体"/>
                <w:color w:val="auto"/>
                <w:szCs w:val="21"/>
                <w:highlight w:val="none"/>
              </w:rPr>
              <w:t>（5）履约保证金在扣除了成交供应商应支付的违约金后，如有剩余采购人应退还成交供应商，不足部分，采购人有权从未支付的货款中扣除。</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成交供应商安排专人负责采购人采购事宜，提供全天候24小时服务。成交供应商指定联系人及联系方式发生变化的，应提前通知采购人，因怠于通知导致采购人与其联络不畅或者迟延履行合同的，属违约行为，如影响或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成交供应商每次配送前应对所提供的服务车辆使用情况及安全状况进行排查，确保采购人所采购的食品物资在规定时间正常交货，因成交供应商车辆情况导致逾期交货属成交供应商责任，采购人将按前第3项约定进行处罚。累计情形超过3次，或者发生一次但情节严重的，采购人有权单方解除本合同，给采购人造成损失的，采购人有权要求成交供应商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6.成交供应商不得以任何形式将本项目转包、分包，否则采购人有权单方终止合同，由此产生的一切经济损失由成交供应商自行承担。</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7.配送的产品必须是具备合法厂家渠道的全新产品。为确保配送的原装货品的正品性，成交供应商需配合采购人对相关货品进行电话或二维码查询等正品验证，通过验证方可验收。在验证过程中如发现有假货的，采购人将拒绝验收该产品并报相关采购监督管理部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8.合同期内，成交供应商不得恶意停供，造成的缺货损失全部由成交供应商承担。若遇可预见性的减产、停产或更换产品规格的，成交供应商应提前30个工作日书面通知采购人。</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八、其他要求：</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1.竞标报价包括但不限于：</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(1)配送的货物、服务的价格；</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(3)运输、搬运、样品检测、包装加工、售后服务等费用；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(4)检测部门产品检测费用；</w:t>
            </w:r>
          </w:p>
          <w:p>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(5)审核部门费用；</w:t>
            </w:r>
          </w:p>
          <w:p>
            <w:pPr>
              <w:pStyle w:val="2"/>
              <w:rPr>
                <w:rFonts w:ascii="宋体" w:hAnsi="宋体" w:cs="宋体"/>
                <w:b/>
                <w:bCs/>
                <w:color w:val="auto"/>
                <w:szCs w:val="21"/>
                <w:highlight w:val="none"/>
              </w:rPr>
            </w:pPr>
            <w:r>
              <w:rPr>
                <w:rFonts w:hint="eastAsia" w:ascii="宋体" w:hAnsi="宋体" w:cs="宋体"/>
                <w:b/>
                <w:bCs/>
                <w:color w:val="auto"/>
                <w:szCs w:val="21"/>
                <w:highlight w:val="none"/>
              </w:rPr>
              <w:t>2.报价说明</w:t>
            </w:r>
          </w:p>
          <w:p>
            <w:pPr>
              <w:pStyle w:val="2"/>
              <w:rPr>
                <w:rFonts w:ascii="宋体" w:hAnsi="宋体" w:cs="宋体"/>
                <w:b/>
                <w:bCs/>
                <w:color w:val="auto"/>
                <w:szCs w:val="21"/>
                <w:highlight w:val="none"/>
              </w:rPr>
            </w:pPr>
            <w:r>
              <w:rPr>
                <w:rFonts w:hint="eastAsia" w:ascii="宋体" w:hAnsi="宋体" w:cs="宋体"/>
                <w:b/>
                <w:bCs/>
                <w:color w:val="auto"/>
                <w:szCs w:val="21"/>
                <w:highlight w:val="none"/>
              </w:rPr>
              <w:t>(1)本分标以下浮系数进行报价，有限报价范围为：下浮系数≥3%</w:t>
            </w:r>
          </w:p>
          <w:p>
            <w:pPr>
              <w:pStyle w:val="2"/>
              <w:rPr>
                <w:rFonts w:ascii="宋体" w:hAnsi="宋体" w:cs="宋体"/>
                <w:b/>
                <w:bCs/>
                <w:color w:val="auto"/>
                <w:szCs w:val="21"/>
                <w:highlight w:val="none"/>
              </w:rPr>
            </w:pPr>
            <w:r>
              <w:rPr>
                <w:rFonts w:hint="eastAsia" w:ascii="宋体" w:hAnsi="宋体" w:cs="宋体"/>
                <w:b/>
                <w:bCs/>
                <w:color w:val="auto"/>
                <w:szCs w:val="21"/>
                <w:highlight w:val="none"/>
              </w:rPr>
              <w:t>(2)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p>
            <w:pPr>
              <w:pStyle w:val="3"/>
              <w:ind w:firstLine="0" w:firstLineChars="0"/>
              <w:rPr>
                <w:color w:val="auto"/>
                <w:sz w:val="21"/>
                <w:szCs w:val="21"/>
                <w:highlight w:val="none"/>
              </w:rPr>
            </w:pPr>
            <w:r>
              <w:rPr>
                <w:rFonts w:hint="eastAsia"/>
                <w:color w:val="auto"/>
                <w:sz w:val="21"/>
                <w:szCs w:val="21"/>
                <w:highlight w:val="none"/>
              </w:rPr>
              <w:t>3</w:t>
            </w:r>
            <w:r>
              <w:rPr>
                <w:color w:val="auto"/>
                <w:sz w:val="21"/>
                <w:szCs w:val="21"/>
                <w:highlight w:val="none"/>
              </w:rPr>
              <w:t>.验收条件及标准：每批次供货时，成交供应商须向采购人提供每批次质量自检报告单和检验合格证明，以供采购人验收。</w:t>
            </w:r>
          </w:p>
          <w:p>
            <w:pPr>
              <w:pStyle w:val="3"/>
              <w:ind w:firstLine="0" w:firstLineChars="0"/>
              <w:rPr>
                <w:color w:val="auto"/>
                <w:sz w:val="21"/>
                <w:szCs w:val="21"/>
                <w:highlight w:val="none"/>
              </w:rPr>
            </w:pPr>
            <w:r>
              <w:rPr>
                <w:rFonts w:hint="eastAsia" w:hAnsi="宋体" w:cs="宋体"/>
                <w:color w:val="auto"/>
                <w:sz w:val="21"/>
                <w:szCs w:val="21"/>
                <w:highlight w:val="none"/>
              </w:rPr>
              <w:t>4</w:t>
            </w:r>
            <w:r>
              <w:rPr>
                <w:rFonts w:hint="eastAsia"/>
                <w:color w:val="auto"/>
                <w:sz w:val="21"/>
                <w:szCs w:val="21"/>
                <w:highlight w:val="none"/>
              </w:rPr>
              <w:t>.</w:t>
            </w:r>
            <w:r>
              <w:rPr>
                <w:color w:val="auto"/>
                <w:sz w:val="21"/>
                <w:szCs w:val="21"/>
                <w:highlight w:val="none"/>
              </w:rPr>
              <w:t>验收方法：</w:t>
            </w:r>
          </w:p>
          <w:p>
            <w:pPr>
              <w:pStyle w:val="3"/>
              <w:ind w:firstLine="0" w:firstLineChars="0"/>
              <w:rPr>
                <w:color w:val="auto"/>
                <w:sz w:val="21"/>
                <w:szCs w:val="21"/>
                <w:highlight w:val="none"/>
              </w:rPr>
            </w:pPr>
            <w:r>
              <w:rPr>
                <w:color w:val="auto"/>
                <w:sz w:val="21"/>
                <w:szCs w:val="21"/>
                <w:highlight w:val="none"/>
              </w:rPr>
              <w:t>（</w:t>
            </w:r>
            <w:r>
              <w:rPr>
                <w:rFonts w:hint="eastAsia"/>
                <w:color w:val="auto"/>
                <w:sz w:val="21"/>
                <w:szCs w:val="21"/>
                <w:highlight w:val="none"/>
              </w:rPr>
              <w:t>1</w:t>
            </w:r>
            <w:r>
              <w:rPr>
                <w:color w:val="auto"/>
                <w:sz w:val="21"/>
                <w:szCs w:val="21"/>
                <w:highlight w:val="none"/>
              </w:rPr>
              <w:t>）验收时，采购人对符合要求的给予签收，如</w:t>
            </w:r>
            <w:r>
              <w:rPr>
                <w:rFonts w:hint="eastAsia"/>
                <w:color w:val="auto"/>
                <w:sz w:val="21"/>
                <w:szCs w:val="21"/>
                <w:highlight w:val="none"/>
              </w:rPr>
              <w:t>食品</w:t>
            </w:r>
            <w:r>
              <w:rPr>
                <w:color w:val="auto"/>
                <w:sz w:val="21"/>
                <w:szCs w:val="21"/>
                <w:highlight w:val="none"/>
              </w:rPr>
              <w:t>有质量不合格、品种规格不符、价格不符及数量不足等问题，采购人将不予签收；成交供应商应按采购人的要求及时补货，否则造成的损失由成交供应商负责。</w:t>
            </w:r>
          </w:p>
          <w:p>
            <w:pPr>
              <w:pStyle w:val="3"/>
              <w:ind w:firstLine="0" w:firstLineChars="0"/>
              <w:rPr>
                <w:rFonts w:hAnsi="宋体" w:cs="宋体"/>
                <w:color w:val="auto"/>
                <w:sz w:val="21"/>
                <w:szCs w:val="21"/>
                <w:highlight w:val="none"/>
              </w:rPr>
            </w:pPr>
            <w:r>
              <w:rPr>
                <w:color w:val="auto"/>
                <w:sz w:val="21"/>
                <w:szCs w:val="21"/>
                <w:highlight w:val="none"/>
              </w:rPr>
              <w:t>（</w:t>
            </w:r>
            <w:r>
              <w:rPr>
                <w:rFonts w:hint="eastAsia"/>
                <w:color w:val="auto"/>
                <w:sz w:val="21"/>
                <w:szCs w:val="21"/>
                <w:highlight w:val="none"/>
              </w:rPr>
              <w:t>2</w:t>
            </w:r>
            <w:r>
              <w:rPr>
                <w:color w:val="auto"/>
                <w:sz w:val="21"/>
                <w:szCs w:val="21"/>
                <w:highlight w:val="none"/>
              </w:rPr>
              <w:t>）验收后，采购人不免除成交供应商的质量责任，不能认为质量已完全合格，如在使用过程中发现</w:t>
            </w:r>
            <w:r>
              <w:rPr>
                <w:rFonts w:hint="eastAsia"/>
                <w:color w:val="auto"/>
                <w:sz w:val="21"/>
                <w:szCs w:val="21"/>
                <w:highlight w:val="none"/>
              </w:rPr>
              <w:t>食品</w:t>
            </w:r>
            <w:r>
              <w:rPr>
                <w:color w:val="auto"/>
                <w:sz w:val="21"/>
                <w:szCs w:val="21"/>
                <w:highlight w:val="none"/>
              </w:rPr>
              <w:t>存在其他问题的，成交供应商须及时到现场解决，并在规定时间内及时退换货，否则造成的损失由成交供应商负责。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785" w:type="dxa"/>
            <w:gridSpan w:val="4"/>
            <w:tcBorders>
              <w:top w:val="single" w:color="auto" w:sz="4" w:space="0"/>
              <w:bottom w:val="single" w:color="auto" w:sz="4" w:space="0"/>
            </w:tcBorders>
            <w:vAlign w:val="center"/>
          </w:tcPr>
          <w:p>
            <w:pPr>
              <w:pStyle w:val="76"/>
              <w:spacing w:line="360" w:lineRule="auto"/>
              <w:ind w:firstLine="0" w:firstLineChars="0"/>
              <w:rPr>
                <w:rFonts w:ascii="宋体" w:hAnsi="宋体" w:cs="宋体"/>
                <w:color w:val="auto"/>
                <w:sz w:val="24"/>
                <w:highlight w:val="none"/>
              </w:rPr>
            </w:pPr>
            <w:r>
              <w:rPr>
                <w:rFonts w:hint="eastAsia" w:ascii="宋体" w:hAnsi="宋体" w:cs="宋体"/>
                <w:color w:val="auto"/>
                <w:kern w:val="0"/>
                <w:sz w:val="24"/>
                <w:highlight w:val="none"/>
              </w:rPr>
              <w:t>其他要求和说明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说明</w:t>
            </w:r>
          </w:p>
        </w:tc>
        <w:tc>
          <w:tcPr>
            <w:tcW w:w="7089" w:type="dxa"/>
            <w:gridSpan w:val="2"/>
            <w:tcBorders>
              <w:top w:val="single" w:color="auto" w:sz="4" w:space="0"/>
              <w:left w:val="single" w:color="auto" w:sz="4" w:space="0"/>
              <w:bottom w:val="single" w:color="auto" w:sz="4" w:space="0"/>
            </w:tcBorders>
            <w:vAlign w:val="center"/>
          </w:tcPr>
          <w:p>
            <w:pPr>
              <w:pStyle w:val="76"/>
              <w:numPr>
                <w:ilvl w:val="255"/>
                <w:numId w:val="0"/>
              </w:numPr>
              <w:spacing w:line="360" w:lineRule="auto"/>
              <w:rPr>
                <w:rFonts w:ascii="宋体" w:hAnsi="宋体" w:cs="宋体"/>
                <w:b/>
                <w:color w:val="auto"/>
                <w:szCs w:val="21"/>
                <w:highlight w:val="none"/>
              </w:rPr>
            </w:pPr>
            <w:r>
              <w:rPr>
                <w:rFonts w:hint="eastAsia" w:ascii="宋体" w:hAnsi="宋体" w:cs="宋体"/>
                <w:color w:val="auto"/>
                <w:szCs w:val="21"/>
                <w:highlight w:val="none"/>
                <w:lang w:eastAsia="zh-CN"/>
              </w:rPr>
              <w:t>一</w:t>
            </w:r>
            <w:r>
              <w:rPr>
                <w:rFonts w:hint="eastAsia" w:ascii="宋体" w:hAnsi="宋体" w:cs="宋体"/>
                <w:color w:val="auto"/>
                <w:szCs w:val="21"/>
                <w:highlight w:val="none"/>
              </w:rPr>
              <w:t>、磋商小组认为供应商的磋商报价明显低于其他通过符合性审查供应商的磋商报价，有可能影响产品（服务）质量或者不能诚信履约的，应当要求其在磋商现场合理的时间内提供书面说明，必要时提交相关证明材料；磋商供应商不能证明其磋商报价合理性的，磋商小组应当将其作为无效磋商处理</w:t>
            </w:r>
            <w:r>
              <w:rPr>
                <w:rFonts w:hint="eastAsia" w:ascii="宋体" w:hAnsi="宋体" w:cs="宋体"/>
                <w:b/>
                <w:color w:val="auto"/>
                <w:szCs w:val="21"/>
                <w:highlight w:val="none"/>
              </w:rPr>
              <w:t>。</w:t>
            </w:r>
          </w:p>
          <w:p>
            <w:pPr>
              <w:pStyle w:val="76"/>
              <w:numPr>
                <w:ilvl w:val="255"/>
                <w:numId w:val="0"/>
              </w:numPr>
              <w:spacing w:line="360" w:lineRule="auto"/>
              <w:rPr>
                <w:rFonts w:ascii="宋体" w:hAnsi="宋体" w:cs="宋体"/>
                <w:b/>
                <w:color w:val="auto"/>
                <w:szCs w:val="21"/>
                <w:highlight w:val="none"/>
              </w:rPr>
            </w:pPr>
            <w:r>
              <w:rPr>
                <w:rFonts w:hint="eastAsia" w:ascii="宋体" w:hAnsi="宋体" w:cs="宋体"/>
                <w:b/>
                <w:color w:val="auto"/>
                <w:szCs w:val="21"/>
                <w:highlight w:val="none"/>
                <w:lang w:eastAsia="zh-CN"/>
              </w:rPr>
              <w:t>二</w:t>
            </w:r>
            <w:r>
              <w:rPr>
                <w:rFonts w:hint="eastAsia" w:ascii="宋体" w:hAnsi="宋体" w:cs="宋体"/>
                <w:b/>
                <w:color w:val="auto"/>
                <w:szCs w:val="21"/>
                <w:highlight w:val="none"/>
              </w:rPr>
              <w:t>、本次项目分为1分标营养科医用食品配送服务（二）、2分标营养科医用食品配送服务（三）两个标段，一个竞标供应商可同时竞标多个分标，但一个竞标供应商最多只能成交一个分标。评审时按1分标营养科医用食品配送服务（二）→2分标营养科医用食品配送服务（三）的先后顺序进行评审。营养科医用食品配送服务（一）的成交供应商不再参与营养科医用食品配送服务（二）、营养科医用食品配送服务（三）的成交候选人排名推荐，营养科医用食品配送服务（二）排名第一的成交候选人不再参与营养科医用食品配送服务（三）的成交候选人排名推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696" w:type="dxa"/>
            <w:gridSpan w:val="2"/>
            <w:tcBorders>
              <w:top w:val="single" w:color="auto" w:sz="4" w:space="0"/>
              <w:bottom w:val="single" w:color="auto" w:sz="4" w:space="0"/>
              <w:right w:val="single" w:color="auto" w:sz="4" w:space="0"/>
            </w:tcBorders>
            <w:vAlign w:val="center"/>
          </w:tcPr>
          <w:p>
            <w:pPr>
              <w:pStyle w:val="76"/>
              <w:spacing w:line="360" w:lineRule="auto"/>
              <w:ind w:firstLine="0" w:firstLineChars="0"/>
              <w:jc w:val="center"/>
              <w:rPr>
                <w:rFonts w:ascii="宋体" w:hAnsi="宋体" w:cs="宋体"/>
                <w:color w:val="auto"/>
                <w:sz w:val="24"/>
                <w:highlight w:val="none"/>
              </w:rPr>
            </w:pPr>
            <w:r>
              <w:rPr>
                <w:rFonts w:hint="eastAsia" w:ascii="宋体" w:hAnsi="宋体" w:cs="宋体"/>
                <w:color w:val="auto"/>
                <w:sz w:val="24"/>
                <w:highlight w:val="none"/>
              </w:rPr>
              <w:t>资料要求</w:t>
            </w:r>
          </w:p>
        </w:tc>
        <w:tc>
          <w:tcPr>
            <w:tcW w:w="7089" w:type="dxa"/>
            <w:gridSpan w:val="2"/>
            <w:tcBorders>
              <w:top w:val="single" w:color="auto" w:sz="4" w:space="0"/>
              <w:left w:val="single" w:color="auto" w:sz="4" w:space="0"/>
              <w:bottom w:val="single" w:color="auto" w:sz="4" w:space="0"/>
            </w:tcBorders>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供应商可根据评分标准在响应文件提供技术方案、售后服务方案、信誉业绩证明。</w:t>
            </w:r>
          </w:p>
        </w:tc>
      </w:tr>
    </w:tbl>
    <w:p/>
    <w:p>
      <w:pPr>
        <w:rPr>
          <w:rFonts w:hAnsi="宋体" w:cs="宋体"/>
          <w:bCs/>
          <w:sz w:val="24"/>
          <w:u w:val="single"/>
        </w:rPr>
      </w:pPr>
      <w:r>
        <w:rPr>
          <w:rFonts w:hint="eastAsia" w:hAnsi="宋体" w:cs="宋体"/>
          <w:bCs/>
          <w:sz w:val="24"/>
          <w:u w:val="single"/>
        </w:rPr>
        <w:br w:type="page"/>
      </w:r>
    </w:p>
    <w:p>
      <w:pPr>
        <w:spacing w:line="428" w:lineRule="exact"/>
        <w:rPr>
          <w:rFonts w:ascii="Arial Unicode MS" w:hAnsi="Arial Unicode MS" w:eastAsia="Arial Unicode MS" w:cs="Arial Unicode MS"/>
          <w:sz w:val="17"/>
          <w:szCs w:val="17"/>
        </w:rPr>
      </w:pPr>
      <w:r>
        <w:rPr>
          <w:rFonts w:hint="eastAsia" w:ascii="微软雅黑" w:hAnsi="微软雅黑" w:eastAsia="微软雅黑" w:cs="微软雅黑"/>
          <w:sz w:val="32"/>
          <w:szCs w:val="32"/>
        </w:rPr>
        <w:t>附件</w:t>
      </w:r>
      <w:r>
        <w:rPr>
          <w:rFonts w:ascii="Arial Unicode MS" w:hAnsi="Arial Unicode MS" w:eastAsia="Arial Unicode MS" w:cs="Arial Unicode MS"/>
          <w:sz w:val="32"/>
          <w:szCs w:val="32"/>
        </w:rPr>
        <w:t>1</w:t>
      </w:r>
      <w:r>
        <w:rPr>
          <w:rFonts w:hint="eastAsia" w:ascii="微软雅黑" w:hAnsi="微软雅黑" w:eastAsia="微软雅黑" w:cs="微软雅黑"/>
          <w:sz w:val="32"/>
          <w:szCs w:val="32"/>
        </w:rPr>
        <w:t>：</w:t>
      </w:r>
    </w:p>
    <w:p>
      <w:pPr>
        <w:spacing w:line="528" w:lineRule="exact"/>
        <w:ind w:left="1871"/>
        <w:rPr>
          <w:rFonts w:ascii="Arial Unicode MS" w:hAnsi="Arial Unicode MS" w:eastAsia="Arial Unicode MS" w:cs="Arial Unicode MS"/>
          <w:sz w:val="40"/>
          <w:szCs w:val="40"/>
        </w:rPr>
      </w:pPr>
      <w:r>
        <w:rPr>
          <w:rFonts w:hint="eastAsia" w:ascii="微软雅黑" w:hAnsi="微软雅黑" w:eastAsia="微软雅黑" w:cs="微软雅黑"/>
          <w:sz w:val="40"/>
          <w:szCs w:val="40"/>
        </w:rPr>
        <w:t>节能产品政府采购品目清单</w:t>
      </w:r>
    </w:p>
    <w:tbl>
      <w:tblPr>
        <w:tblStyle w:val="32"/>
        <w:tblW w:w="9220" w:type="dxa"/>
        <w:tblInd w:w="93" w:type="dxa"/>
        <w:tblLayout w:type="autofit"/>
        <w:tblCellMar>
          <w:top w:w="0" w:type="dxa"/>
          <w:left w:w="108" w:type="dxa"/>
          <w:bottom w:w="0" w:type="dxa"/>
          <w:right w:w="108" w:type="dxa"/>
        </w:tblCellMar>
      </w:tblPr>
      <w:tblGrid>
        <w:gridCol w:w="660"/>
        <w:gridCol w:w="1116"/>
        <w:gridCol w:w="1516"/>
        <w:gridCol w:w="1620"/>
        <w:gridCol w:w="4540"/>
      </w:tblGrid>
      <w:tr>
        <w:tblPrEx>
          <w:tblCellMar>
            <w:top w:w="0" w:type="dxa"/>
            <w:left w:w="108" w:type="dxa"/>
            <w:bottom w:w="0" w:type="dxa"/>
            <w:right w:w="108" w:type="dxa"/>
          </w:tblCellMar>
        </w:tblPrEx>
        <w:trPr>
          <w:trHeight w:val="555" w:hRule="atLeast"/>
        </w:trPr>
        <w:tc>
          <w:tcPr>
            <w:tcW w:w="660" w:type="dxa"/>
            <w:tcBorders>
              <w:top w:val="single" w:color="000000" w:sz="8" w:space="0"/>
              <w:left w:val="single" w:color="000000" w:sz="8" w:space="0"/>
              <w:bottom w:val="single" w:color="000000" w:sz="8" w:space="0"/>
              <w:right w:val="single" w:color="000000" w:sz="8" w:space="0"/>
            </w:tcBorders>
            <w:noWrap/>
          </w:tcPr>
          <w:p>
            <w:pPr>
              <w:widowControl/>
              <w:jc w:val="center"/>
              <w:rPr>
                <w:rFonts w:ascii="宋体" w:hAnsi="宋体" w:cs="宋体"/>
                <w:b/>
                <w:bCs/>
                <w:kern w:val="0"/>
                <w:sz w:val="22"/>
                <w:szCs w:val="22"/>
              </w:rPr>
            </w:pPr>
            <w:r>
              <w:rPr>
                <w:rFonts w:hint="eastAsia" w:ascii="宋体" w:hAnsi="宋体" w:cs="宋体"/>
                <w:b/>
                <w:bCs/>
                <w:kern w:val="0"/>
                <w:sz w:val="22"/>
                <w:szCs w:val="22"/>
              </w:rPr>
              <w:t>品目序号</w:t>
            </w:r>
          </w:p>
        </w:tc>
        <w:tc>
          <w:tcPr>
            <w:tcW w:w="4020" w:type="dxa"/>
            <w:gridSpan w:val="3"/>
            <w:tcBorders>
              <w:top w:val="single" w:color="000000" w:sz="8" w:space="0"/>
              <w:left w:val="nil"/>
              <w:bottom w:val="single" w:color="000000" w:sz="8" w:space="0"/>
              <w:right w:val="single" w:color="000000" w:sz="8" w:space="0"/>
            </w:tcBorders>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名称</w:t>
            </w:r>
          </w:p>
        </w:tc>
        <w:tc>
          <w:tcPr>
            <w:tcW w:w="4540" w:type="dxa"/>
            <w:tcBorders>
              <w:top w:val="single" w:color="000000" w:sz="8" w:space="0"/>
              <w:left w:val="nil"/>
              <w:bottom w:val="single" w:color="000000" w:sz="8" w:space="0"/>
              <w:right w:val="single" w:color="000000" w:sz="8" w:space="0"/>
            </w:tcBorders>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依据的标准</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A020101计算机设备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★A02010104台式计算机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《微型计算机能效限定值及能效等级》（GB28380）</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★A02010105便携式计算机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《微型计算机能效限定值及能效等级》（GB28380）</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★A02010107平板式微型计算机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《微型计算机能效限定值及能效等级》（GB28380）</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A020106输入输出设备</w:t>
            </w: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A02010601打印设备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A0201060101喷墨打印机</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★A0201060102激光打印机</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★A0201060104针式打印机</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A02010604显示设备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★A0201060401液晶显示器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《计算机显示器能效限定值及能效等级》（GB21520）</w:t>
            </w:r>
          </w:p>
        </w:tc>
      </w:tr>
      <w:tr>
        <w:tblPrEx>
          <w:tblCellMar>
            <w:top w:w="0" w:type="dxa"/>
            <w:left w:w="108" w:type="dxa"/>
            <w:bottom w:w="0" w:type="dxa"/>
            <w:right w:w="108" w:type="dxa"/>
          </w:tblCellMar>
        </w:tblPrEx>
        <w:trPr>
          <w:trHeight w:val="97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A02010609图形图像输入设备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A0201060901扫描仪</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参照《复印机、打印机和传真机能效限定值及能效等级》（GB21521中打印速度为15页/分的针式打印机相关要求中打印速度为15页/分的针式打印机相关要求</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A020202投影仪</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《投影机能效限定值及能效等级》（GB32028）</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A020204多功能一体机</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《复印机、打印机和传真机能效限定值及能效等级》（GB21521）</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A020519泵</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A02051901离心泵</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《清水离心泵能效限定值及节能评价值》（GB19762）</w:t>
            </w:r>
          </w:p>
        </w:tc>
      </w:tr>
      <w:tr>
        <w:tblPrEx>
          <w:tblCellMar>
            <w:top w:w="0" w:type="dxa"/>
            <w:left w:w="108" w:type="dxa"/>
            <w:bottom w:w="0" w:type="dxa"/>
            <w:right w:w="108" w:type="dxa"/>
          </w:tblCellMar>
        </w:tblPrEx>
        <w:trPr>
          <w:trHeight w:val="73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A020523制冷空调设备</w:t>
            </w: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★A02052301制冷压缩机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冷水机组</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《冷水机组能效限定值及能效等级》（GB19577），《低环境温度空气源热泵（冷水）机组能效限定值及能效等级》（GB37480）</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水源热泵机组</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《水（地）源热泵机组能效限定值及能效等级》（GB30721）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溴化锂吸收式冷水机组</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《溴化锂吸收式冷水机组能效限定值及能效等级》（GB29540）</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★A02052305空调机组</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多联式空调（热泵）机组(制冷量&gt;14000W)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《多联式空调（热泵）机组能效限定值及能源效率等级》（GB21454）</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单元式空气调节机(制冷量&gt;14000W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《单元式空气调节机能效限定值及能效等级》（GB19576）《风管送风式空调机组能效限定值及能效等级》（GB37479）</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★A02052309专用制冷、空调设备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机房空调</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《单元式空气调节机能效限定值及能效等级》（GB19576）</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A02052399其他制冷空调设备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冷却塔</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《机械通风冷却塔第1部分：中小型开式冷却塔》（GB/T7190.1）；《机械通风冷却塔第2部分：大型开式冷却塔》（GB/T7190.2）</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7</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A020601电机</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《中小型三相异步电动机能效限定值及能效等级》（GB18613）</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A020602变压器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配电变压器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《三相配电变压器能效限定值及能效等级》（GB20052）</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9</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★A020609镇流器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管型荧光灯镇流器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《管形荧光灯镇流器能效限定值及能效等级》（GB17896）</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A020618生活用电器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A0206180101电冰箱</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《家用电冰箱耗电量限定值及能效等级》（GB 12021.2）</w:t>
            </w:r>
          </w:p>
        </w:tc>
      </w:tr>
      <w:tr>
        <w:tblPrEx>
          <w:tblCellMar>
            <w:top w:w="0" w:type="dxa"/>
            <w:left w:w="108" w:type="dxa"/>
            <w:bottom w:w="0" w:type="dxa"/>
            <w:right w:w="108" w:type="dxa"/>
          </w:tblCellMar>
        </w:tblPrEx>
        <w:trPr>
          <w:trHeight w:val="97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★A0206180203空调机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房间空气调节器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《转速可控型房间空气调节器能效限定值及能效等级》（GB21455-2013），待2019年修订发布后，按《房间空气调节器能效限定值及能效等级》（GB21455-2019实施。</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多联式空调（热泵）机组（制冷量≤ 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《多联式空调（热泵）机组能效限定值及能源效率等级》（GB21454）</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单元式空气调节机(制冷量≤14000W)</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《单元式空气调节机能效限定值及能源效率等级》（GB19576）《风管送风式空调机组能效限定值及能效等级》（GB37479）</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A0206180301洗衣机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《电动洗衣机能效水效限定值及等级》（GB12021.4）</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A02061808热水器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★电热水器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《储水式电热水器能效限定值及能效等级》（GB21519）</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燃气热水器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《家用燃气快速热水器和燃气采暖热水炉能效限定值及能效等级》（GB20665）</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热泵热水器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《热泵热水机（器）能效限定值及能效等级》（GB29541）</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太阳能热水系统</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《家用太阳能热水系统能效限定值及能效等级》（GB26969）</w:t>
            </w:r>
          </w:p>
        </w:tc>
      </w:tr>
      <w:tr>
        <w:tblPrEx>
          <w:tblCellMar>
            <w:top w:w="0" w:type="dxa"/>
            <w:left w:w="108" w:type="dxa"/>
            <w:bottom w:w="0" w:type="dxa"/>
            <w:right w:w="108" w:type="dxa"/>
          </w:tblCellMar>
        </w:tblPrEx>
        <w:trPr>
          <w:trHeight w:val="49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A020619照明设备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★普通照明用双端荧光灯</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《普通照明用双端荧光灯能效限定值及能效等级》（GB19043）</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LED道路/隧道照明产品</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《道路和隧道照明用LED灯具能效限定值及能效等级》（GB37478）</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LED筒灯</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《室内照明用LED产品能效限定值及能效等级》（GB30255）</w:t>
            </w:r>
          </w:p>
        </w:tc>
      </w:tr>
      <w:tr>
        <w:tblPrEx>
          <w:tblCellMar>
            <w:top w:w="0" w:type="dxa"/>
            <w:left w:w="108" w:type="dxa"/>
            <w:bottom w:w="0" w:type="dxa"/>
            <w:right w:w="108" w:type="dxa"/>
          </w:tblCellMar>
        </w:tblPrEx>
        <w:trPr>
          <w:trHeight w:val="73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普通照明用非定向自镇流LED灯</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《室内照明用LED产品能效限定值及能效等级》（GB30255）</w:t>
            </w:r>
          </w:p>
        </w:tc>
      </w:tr>
      <w:tr>
        <w:tblPrEx>
          <w:tblCellMar>
            <w:top w:w="0" w:type="dxa"/>
            <w:left w:w="108" w:type="dxa"/>
            <w:bottom w:w="0" w:type="dxa"/>
            <w:right w:w="108" w:type="dxa"/>
          </w:tblCellMar>
        </w:tblPrEx>
        <w:trPr>
          <w:trHeight w:val="73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★A020910电视设备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A02091001普通电视设备（电视机）</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《平板电视能效限定值及能效等级》（GB24850）</w:t>
            </w:r>
          </w:p>
        </w:tc>
      </w:tr>
      <w:tr>
        <w:tblPrEx>
          <w:tblCellMar>
            <w:top w:w="0" w:type="dxa"/>
            <w:left w:w="108" w:type="dxa"/>
            <w:bottom w:w="0" w:type="dxa"/>
            <w:right w:w="108" w:type="dxa"/>
          </w:tblCellMar>
        </w:tblPrEx>
        <w:trPr>
          <w:trHeight w:val="97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★A020911视频设备</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A02091107视频监控设备</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监视器</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以射频信号为主要信号输入的监视器应符合《平板电视能效限定值及能效等级》（GB24850），以数字信号为主要信号输入的监视器应符合《计算机显示器能效限定值及能效等级》（GB21520）</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14</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A031210饮食炊事机械</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商用燃气灶具</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《商用燃气灶具能效限定值及能效等级》（GB30531）</w:t>
            </w:r>
          </w:p>
        </w:tc>
      </w:tr>
      <w:tr>
        <w:tblPrEx>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1080" w:type="dxa"/>
            <w:vMerge w:val="restart"/>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★A060805便器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坐便器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《坐便器水效限定值及水效等级》（GB25502）</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蹲便器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《蹲便器用水效率限定值及用水效率等级》（GB30717）</w:t>
            </w:r>
          </w:p>
        </w:tc>
      </w:tr>
      <w:tr>
        <w:tblPrEx>
          <w:tblCellMar>
            <w:top w:w="0" w:type="dxa"/>
            <w:left w:w="108" w:type="dxa"/>
            <w:bottom w:w="0" w:type="dxa"/>
            <w:right w:w="108" w:type="dxa"/>
          </w:tblCellMar>
        </w:tblPrEx>
        <w:trPr>
          <w:trHeight w:val="495" w:hRule="atLeast"/>
        </w:trPr>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0" w:type="auto"/>
            <w:vMerge w:val="continue"/>
            <w:tcBorders>
              <w:top w:val="nil"/>
              <w:left w:val="single" w:color="000000" w:sz="8" w:space="0"/>
              <w:bottom w:val="single" w:color="000000" w:sz="8" w:space="0"/>
              <w:right w:val="single" w:color="000000" w:sz="8" w:space="0"/>
            </w:tcBorders>
            <w:noWrap/>
            <w:vAlign w:val="center"/>
          </w:tcPr>
          <w:p>
            <w:pPr>
              <w:widowControl/>
              <w:jc w:val="left"/>
              <w:rPr>
                <w:rFonts w:ascii="宋体" w:hAnsi="宋体" w:cs="宋体"/>
                <w:kern w:val="0"/>
                <w:sz w:val="20"/>
                <w:szCs w:val="20"/>
              </w:rPr>
            </w:pP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小便器</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《小便器用水效率限定值及用水效率等级》（GB28377）</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★A060806水嘴</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《水嘴用水效率限定值及用水效率等级》（GB 25501）</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17</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A060807便器冲洗阀</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《便器冲洗阀用水效率限定值及用水效率等级》（GB28379）</w:t>
            </w:r>
          </w:p>
        </w:tc>
      </w:tr>
      <w:tr>
        <w:tblPrEx>
          <w:tblCellMar>
            <w:top w:w="0" w:type="dxa"/>
            <w:left w:w="108" w:type="dxa"/>
            <w:bottom w:w="0" w:type="dxa"/>
            <w:right w:w="108" w:type="dxa"/>
          </w:tblCellMar>
        </w:tblPrEx>
        <w:trPr>
          <w:trHeight w:val="495" w:hRule="atLeast"/>
        </w:trPr>
        <w:tc>
          <w:tcPr>
            <w:tcW w:w="660" w:type="dxa"/>
            <w:tcBorders>
              <w:top w:val="nil"/>
              <w:left w:val="single" w:color="000000" w:sz="8" w:space="0"/>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18</w:t>
            </w:r>
          </w:p>
        </w:tc>
        <w:tc>
          <w:tcPr>
            <w:tcW w:w="108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A060810淋浴器</w:t>
            </w:r>
          </w:p>
        </w:tc>
        <w:tc>
          <w:tcPr>
            <w:tcW w:w="13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620" w:type="dxa"/>
            <w:tcBorders>
              <w:top w:val="nil"/>
              <w:left w:val="nil"/>
              <w:bottom w:val="single" w:color="000000" w:sz="8" w:space="0"/>
              <w:right w:val="single" w:color="000000" w:sz="8"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40" w:type="dxa"/>
            <w:tcBorders>
              <w:top w:val="nil"/>
              <w:left w:val="nil"/>
              <w:bottom w:val="single" w:color="000000" w:sz="8" w:space="0"/>
              <w:right w:val="single" w:color="000000" w:sz="8"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《淋浴器用水效率限定值及用水效率等级》（GB28378）</w:t>
            </w:r>
          </w:p>
        </w:tc>
      </w:tr>
    </w:tbl>
    <w:p>
      <w:pPr>
        <w:spacing w:after="120" w:line="360" w:lineRule="auto"/>
        <w:rPr>
          <w:rFonts w:ascii="宋体" w:hAnsi="宋体"/>
          <w:szCs w:val="21"/>
        </w:rPr>
      </w:pPr>
      <w:r>
        <w:rPr>
          <w:rFonts w:hint="eastAsia"/>
          <w:spacing w:val="-3"/>
          <w:szCs w:val="21"/>
        </w:rPr>
        <w:t>注：</w:t>
      </w:r>
      <w:r>
        <w:rPr>
          <w:spacing w:val="-3"/>
          <w:szCs w:val="21"/>
        </w:rPr>
        <w:t>1.</w:t>
      </w:r>
      <w:r>
        <w:rPr>
          <w:rFonts w:hint="eastAsia"/>
          <w:spacing w:val="-3"/>
          <w:szCs w:val="21"/>
        </w:rPr>
        <w:t>节能产品认证应依据相关国家标准的最新版本，依据国家标准中二级能效（水效）</w:t>
      </w:r>
      <w:r>
        <w:rPr>
          <w:rFonts w:hint="eastAsia"/>
          <w:szCs w:val="21"/>
        </w:rPr>
        <w:t>指标。</w:t>
      </w:r>
    </w:p>
    <w:p>
      <w:pPr>
        <w:spacing w:line="428" w:lineRule="exact"/>
        <w:rPr>
          <w:rFonts w:ascii="微软雅黑" w:hAnsi="微软雅黑" w:eastAsia="微软雅黑" w:cs="微软雅黑"/>
          <w:sz w:val="32"/>
          <w:szCs w:val="32"/>
        </w:rPr>
      </w:pPr>
      <w:r>
        <w:rPr>
          <w:rFonts w:hint="eastAsia" w:ascii="宋体" w:hAnsi="Courier New"/>
          <w:kern w:val="0"/>
          <w:sz w:val="20"/>
          <w:szCs w:val="21"/>
        </w:rPr>
        <w:t>2.以</w:t>
      </w:r>
      <w:r>
        <w:rPr>
          <w:rFonts w:ascii="宋体" w:hAnsi="Courier New"/>
          <w:kern w:val="0"/>
          <w:sz w:val="20"/>
          <w:szCs w:val="21"/>
        </w:rPr>
        <w:t>“</w:t>
      </w:r>
      <w:r>
        <w:rPr>
          <w:rFonts w:hint="eastAsia" w:ascii="宋体" w:hAnsi="Courier New"/>
          <w:kern w:val="0"/>
          <w:sz w:val="20"/>
          <w:szCs w:val="21"/>
        </w:rPr>
        <w:t>★</w:t>
      </w:r>
      <w:r>
        <w:rPr>
          <w:rFonts w:ascii="宋体" w:hAnsi="Courier New"/>
          <w:kern w:val="0"/>
          <w:sz w:val="20"/>
          <w:szCs w:val="21"/>
        </w:rPr>
        <w:t>”</w:t>
      </w:r>
      <w:r>
        <w:rPr>
          <w:rFonts w:hint="eastAsia" w:ascii="宋体" w:hAnsi="Courier New"/>
          <w:kern w:val="0"/>
          <w:sz w:val="20"/>
          <w:szCs w:val="21"/>
        </w:rPr>
        <w:t>标注的为政府强制采购产品。</w:t>
      </w:r>
      <w:r>
        <w:rPr>
          <w:rFonts w:hint="eastAsia" w:ascii="宋体" w:hAnsi="Courier New"/>
          <w:kern w:val="0"/>
          <w:sz w:val="20"/>
          <w:szCs w:val="21"/>
        </w:rPr>
        <w:br w:type="page"/>
      </w:r>
    </w:p>
    <w:p>
      <w:pPr>
        <w:jc w:val="left"/>
        <w:rPr>
          <w:rFonts w:ascii="Arial Unicode MS" w:hAnsi="Arial Unicode MS" w:eastAsia="Arial Unicode MS" w:cs="Arial Unicode MS"/>
          <w:kern w:val="0"/>
          <w:sz w:val="32"/>
          <w:szCs w:val="32"/>
        </w:rPr>
      </w:pPr>
      <w:r>
        <w:rPr>
          <w:rFonts w:hint="eastAsia" w:ascii="Arial Unicode MS" w:hAnsi="Arial Unicode MS" w:eastAsia="Arial Unicode MS" w:cs="Arial Unicode MS"/>
          <w:kern w:val="0"/>
          <w:sz w:val="32"/>
          <w:szCs w:val="32"/>
        </w:rPr>
        <w:t>附件2：</w:t>
      </w:r>
    </w:p>
    <w:p>
      <w:pPr>
        <w:spacing w:line="528" w:lineRule="exact"/>
        <w:jc w:val="center"/>
        <w:rPr>
          <w:rFonts w:ascii="Arial Unicode MS" w:hAnsi="Arial Unicode MS" w:eastAsia="Arial Unicode MS" w:cs="Arial Unicode MS"/>
          <w:sz w:val="40"/>
          <w:szCs w:val="40"/>
        </w:rPr>
      </w:pPr>
      <w:r>
        <w:rPr>
          <w:rFonts w:hint="eastAsia" w:ascii="微软雅黑" w:hAnsi="微软雅黑" w:eastAsia="微软雅黑" w:cs="微软雅黑"/>
          <w:sz w:val="40"/>
          <w:szCs w:val="40"/>
        </w:rPr>
        <w:t>中小微企业划型标准</w:t>
      </w:r>
    </w:p>
    <w:tbl>
      <w:tblPr>
        <w:tblStyle w:val="32"/>
        <w:tblW w:w="0" w:type="auto"/>
        <w:tblInd w:w="250" w:type="dxa"/>
        <w:tblLayout w:type="fixed"/>
        <w:tblCellMar>
          <w:top w:w="0" w:type="dxa"/>
          <w:left w:w="108" w:type="dxa"/>
          <w:bottom w:w="0" w:type="dxa"/>
          <w:right w:w="108" w:type="dxa"/>
        </w:tblCellMar>
      </w:tblPr>
      <w:tblGrid>
        <w:gridCol w:w="1985"/>
        <w:gridCol w:w="1984"/>
        <w:gridCol w:w="851"/>
        <w:gridCol w:w="1842"/>
        <w:gridCol w:w="1701"/>
        <w:gridCol w:w="1134"/>
      </w:tblGrid>
      <w:tr>
        <w:tblPrEx>
          <w:tblCellMar>
            <w:top w:w="0" w:type="dxa"/>
            <w:left w:w="108" w:type="dxa"/>
            <w:bottom w:w="0" w:type="dxa"/>
            <w:right w:w="108" w:type="dxa"/>
          </w:tblCellMar>
        </w:tblPrEx>
        <w:trPr>
          <w:trHeight w:val="285" w:hRule="atLeast"/>
        </w:trPr>
        <w:tc>
          <w:tcPr>
            <w:tcW w:w="1985"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行业名称</w:t>
            </w:r>
          </w:p>
        </w:tc>
        <w:tc>
          <w:tcPr>
            <w:tcW w:w="1984"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指标名称</w:t>
            </w:r>
          </w:p>
        </w:tc>
        <w:tc>
          <w:tcPr>
            <w:tcW w:w="851"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计量单位</w:t>
            </w:r>
          </w:p>
        </w:tc>
        <w:tc>
          <w:tcPr>
            <w:tcW w:w="1842"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中型</w:t>
            </w:r>
          </w:p>
        </w:tc>
        <w:tc>
          <w:tcPr>
            <w:tcW w:w="1701"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小型</w:t>
            </w:r>
          </w:p>
        </w:tc>
        <w:tc>
          <w:tcPr>
            <w:tcW w:w="1134" w:type="dxa"/>
            <w:tcBorders>
              <w:top w:val="single" w:color="auto" w:sz="4" w:space="0"/>
              <w:left w:val="nil"/>
              <w:bottom w:val="single" w:color="auto" w:sz="4" w:space="0"/>
              <w:right w:val="single" w:color="auto" w:sz="4" w:space="0"/>
            </w:tcBorders>
            <w:noWrap/>
            <w:vAlign w:val="center"/>
          </w:tcPr>
          <w:p>
            <w:pPr>
              <w:widowControl/>
              <w:jc w:val="left"/>
              <w:rPr>
                <w:rFonts w:ascii="仿宋_GB2312" w:hAnsi="仿宋" w:eastAsia="仿宋_GB2312" w:cs="宋体"/>
                <w:b/>
                <w:kern w:val="0"/>
                <w:sz w:val="24"/>
              </w:rPr>
            </w:pPr>
            <w:r>
              <w:rPr>
                <w:rFonts w:hint="eastAsia" w:ascii="仿宋_GB2312" w:hAnsi="仿宋" w:eastAsia="仿宋_GB2312" w:cs="宋体"/>
                <w:b/>
                <w:kern w:val="0"/>
                <w:sz w:val="24"/>
              </w:rPr>
              <w:t>微型</w:t>
            </w:r>
          </w:p>
        </w:tc>
      </w:tr>
      <w:tr>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农、林、牧、渔</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500≤Y＜20000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50≤Y＜500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Y＜50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工业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2000≤Y＜40000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Y＜300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建筑业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6000≤Y＜80000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300≤Y＜6000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Y＜300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5000≤Z＜80000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300≤Z＜5000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Z＜300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批发业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20≤X＜200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5≤X＜20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X＜5</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5000≤Y＜40000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1000≤Y＜5000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零售业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10≤X＜50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500≤Y＜20000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100≤Y＜500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交通运输业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3000≤Y＜30000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200≤Y＜3000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Y＜200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仓储业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100≤X＜200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1000≤Y＜30000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邮政业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2000≤Y＜30000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住宿业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餐饮业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100≤Y＜2000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信息传输业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100≤X＜2000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1000≤Y＜100000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软件和信息技术服务业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Y＜50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房地产开发经营</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1000≤Y＜200000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5000≤Z＜10000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2000≤Y＜5000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Y＜2000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物业管理</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300≤X＜1000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营业收入（Y）</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1000≤Y＜5000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500≤Y＜1000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Y＜500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租赁和商务服务业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_GB2312" w:hAnsi="仿宋" w:eastAsia="仿宋_GB2312" w:cs="宋体"/>
                <w:b/>
                <w:bCs/>
                <w:kern w:val="0"/>
                <w:sz w:val="18"/>
                <w:szCs w:val="18"/>
              </w:rPr>
            </w:pP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资产总额（Z）</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万元</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8000≤Z＜120000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100≤Z＜8000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Y＜100</w:t>
            </w:r>
          </w:p>
        </w:tc>
      </w:tr>
      <w:tr>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noWrap/>
            <w:vAlign w:val="bottom"/>
          </w:tcPr>
          <w:p>
            <w:pPr>
              <w:widowControl/>
              <w:jc w:val="center"/>
              <w:rPr>
                <w:rFonts w:ascii="仿宋_GB2312" w:hAnsi="仿宋" w:eastAsia="仿宋_GB2312" w:cs="宋体"/>
                <w:b/>
                <w:bCs/>
                <w:kern w:val="0"/>
                <w:sz w:val="18"/>
                <w:szCs w:val="18"/>
              </w:rPr>
            </w:pPr>
            <w:r>
              <w:rPr>
                <w:rFonts w:hint="eastAsia" w:ascii="仿宋_GB2312" w:hAnsi="仿宋" w:eastAsia="仿宋_GB2312" w:cs="宋体"/>
                <w:b/>
                <w:bCs/>
                <w:kern w:val="0"/>
                <w:sz w:val="18"/>
                <w:szCs w:val="18"/>
              </w:rPr>
              <w:t>其他未列明行业</w:t>
            </w:r>
          </w:p>
        </w:tc>
        <w:tc>
          <w:tcPr>
            <w:tcW w:w="198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从业人员（X）</w:t>
            </w:r>
          </w:p>
        </w:tc>
        <w:tc>
          <w:tcPr>
            <w:tcW w:w="85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人</w:t>
            </w:r>
          </w:p>
        </w:tc>
        <w:tc>
          <w:tcPr>
            <w:tcW w:w="1842"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100≤X＜300</w:t>
            </w:r>
          </w:p>
        </w:tc>
        <w:tc>
          <w:tcPr>
            <w:tcW w:w="1701"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10≤X＜100</w:t>
            </w:r>
          </w:p>
        </w:tc>
        <w:tc>
          <w:tcPr>
            <w:tcW w:w="1134" w:type="dxa"/>
            <w:tcBorders>
              <w:top w:val="nil"/>
              <w:left w:val="nil"/>
              <w:bottom w:val="single" w:color="auto" w:sz="4" w:space="0"/>
              <w:right w:val="single" w:color="auto" w:sz="4" w:space="0"/>
            </w:tcBorders>
            <w:noWrap/>
            <w:vAlign w:val="center"/>
          </w:tcPr>
          <w:p>
            <w:pPr>
              <w:widowControl/>
              <w:jc w:val="left"/>
              <w:rPr>
                <w:rFonts w:ascii="仿宋_GB2312" w:hAnsi="仿宋" w:eastAsia="仿宋_GB2312" w:cs="宋体"/>
                <w:kern w:val="0"/>
                <w:sz w:val="18"/>
                <w:szCs w:val="18"/>
              </w:rPr>
            </w:pPr>
            <w:r>
              <w:rPr>
                <w:rFonts w:hint="eastAsia" w:ascii="仿宋_GB2312" w:hAnsi="仿宋" w:eastAsia="仿宋_GB2312" w:cs="宋体"/>
                <w:kern w:val="0"/>
                <w:sz w:val="18"/>
                <w:szCs w:val="18"/>
              </w:rPr>
              <w:t>X＜10</w:t>
            </w:r>
          </w:p>
        </w:tc>
      </w:tr>
    </w:tbl>
    <w:p>
      <w:pPr>
        <w:pStyle w:val="27"/>
        <w:ind w:left="0" w:leftChars="0" w:firstLine="560" w:firstLineChars="200"/>
      </w:pPr>
      <w:r>
        <w:rPr>
          <w:rFonts w:hint="eastAsia" w:ascii="仿宋_GB2312" w:hAnsi="仿宋" w:eastAsia="仿宋_GB2312"/>
          <w:szCs w:val="21"/>
        </w:rPr>
        <w:t>说明：上述标准参照《关于印发中小企业划型标准规定的通知》（工信部联企业[2011]300号），大型、中型和小型企业须同时满足所列指标的下限，否则下划一档；微型企业只须满足所列指标中的一项即可。</w:t>
      </w:r>
    </w:p>
    <w:p>
      <w:pPr>
        <w:pStyle w:val="5"/>
        <w:jc w:val="center"/>
        <w:rPr>
          <w:rFonts w:ascii="宋体" w:hAnsi="宋体" w:cs="宋体"/>
        </w:rPr>
      </w:pPr>
      <w:r>
        <w:rPr>
          <w:rFonts w:hint="eastAsia" w:hAnsi="宋体" w:cs="宋体"/>
          <w:sz w:val="24"/>
          <w:u w:val="single"/>
        </w:rPr>
        <w:br w:type="page"/>
      </w:r>
      <w:bookmarkStart w:id="29" w:name="_Toc21957"/>
      <w:bookmarkStart w:id="30" w:name="_Toc2953"/>
      <w:bookmarkStart w:id="31" w:name="_Toc11630"/>
      <w:bookmarkStart w:id="32" w:name="_Toc28944"/>
      <w:bookmarkStart w:id="33" w:name="_Toc3574"/>
      <w:r>
        <w:rPr>
          <w:rFonts w:hint="eastAsia" w:ascii="宋体" w:hAnsi="宋体" w:cs="宋体"/>
        </w:rPr>
        <w:t>第三章 供应商须知</w:t>
      </w:r>
      <w:bookmarkEnd w:id="29"/>
      <w:bookmarkEnd w:id="30"/>
      <w:bookmarkEnd w:id="31"/>
      <w:bookmarkEnd w:id="32"/>
      <w:bookmarkEnd w:id="33"/>
    </w:p>
    <w:p>
      <w:pPr>
        <w:spacing w:line="400" w:lineRule="exact"/>
        <w:jc w:val="center"/>
        <w:rPr>
          <w:rFonts w:ascii="宋体" w:hAnsi="宋体" w:cs="宋体"/>
          <w:b/>
          <w:sz w:val="32"/>
          <w:szCs w:val="32"/>
        </w:rPr>
      </w:pPr>
      <w:r>
        <w:rPr>
          <w:rFonts w:hint="eastAsia" w:ascii="宋体" w:hAnsi="宋体" w:cs="宋体"/>
          <w:b/>
          <w:sz w:val="32"/>
          <w:szCs w:val="32"/>
        </w:rPr>
        <w:t>供应商须知前附表</w:t>
      </w:r>
    </w:p>
    <w:p>
      <w:pPr>
        <w:spacing w:line="400" w:lineRule="exact"/>
        <w:jc w:val="center"/>
        <w:rPr>
          <w:rFonts w:ascii="宋体" w:hAnsi="宋体" w:cs="宋体"/>
          <w:b/>
          <w:sz w:val="32"/>
          <w:szCs w:val="32"/>
        </w:rPr>
      </w:pPr>
    </w:p>
    <w:tbl>
      <w:tblPr>
        <w:tblStyle w:val="32"/>
        <w:tblW w:w="10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5"/>
        <w:gridCol w:w="2785"/>
        <w:gridCol w:w="6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725" w:type="dxa"/>
            <w:tcBorders>
              <w:top w:val="single" w:color="000000" w:sz="4" w:space="0"/>
              <w:left w:val="single" w:color="000000" w:sz="4" w:space="0"/>
              <w:bottom w:val="single" w:color="000000" w:sz="4" w:space="0"/>
              <w:right w:val="single" w:color="000000" w:sz="4" w:space="0"/>
            </w:tcBorders>
            <w:noWrap/>
          </w:tcPr>
          <w:p>
            <w:pPr>
              <w:spacing w:line="360" w:lineRule="auto"/>
              <w:jc w:val="center"/>
              <w:rPr>
                <w:rFonts w:ascii="宋体" w:hAnsi="宋体" w:cs="宋体"/>
                <w:b/>
                <w:szCs w:val="21"/>
              </w:rPr>
            </w:pPr>
            <w:r>
              <w:rPr>
                <w:rFonts w:hint="eastAsia" w:ascii="宋体" w:hAnsi="宋体" w:cs="宋体"/>
                <w:b/>
                <w:szCs w:val="21"/>
              </w:rPr>
              <w:t>条款号</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b/>
                <w:szCs w:val="21"/>
              </w:rPr>
            </w:pPr>
            <w:r>
              <w:rPr>
                <w:rFonts w:hint="eastAsia" w:ascii="宋体" w:hAnsi="宋体" w:cs="宋体"/>
                <w:b/>
                <w:szCs w:val="21"/>
              </w:rPr>
              <w:t>条款内容</w:t>
            </w:r>
          </w:p>
        </w:tc>
        <w:tc>
          <w:tcPr>
            <w:tcW w:w="6850" w:type="dxa"/>
            <w:tcBorders>
              <w:top w:val="single" w:color="000000" w:sz="4" w:space="0"/>
              <w:left w:val="single" w:color="000000" w:sz="4" w:space="0"/>
              <w:bottom w:val="single" w:color="000000" w:sz="4" w:space="0"/>
              <w:right w:val="single" w:color="000000" w:sz="4" w:space="0"/>
            </w:tcBorders>
            <w:noWrap/>
          </w:tcPr>
          <w:p>
            <w:pPr>
              <w:spacing w:line="360" w:lineRule="auto"/>
              <w:jc w:val="center"/>
              <w:rPr>
                <w:rFonts w:ascii="宋体" w:hAnsi="宋体" w:cs="宋体"/>
                <w:b/>
                <w:szCs w:val="21"/>
              </w:rPr>
            </w:pPr>
            <w:r>
              <w:rPr>
                <w:rFonts w:hint="eastAsia" w:ascii="宋体" w:hAnsi="宋体" w:cs="宋体"/>
                <w:b/>
                <w:szCs w:val="21"/>
              </w:rPr>
              <w:t>具体要求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供应商资格条件</w:t>
            </w:r>
          </w:p>
        </w:tc>
        <w:tc>
          <w:tcPr>
            <w:tcW w:w="6850" w:type="dxa"/>
            <w:tcBorders>
              <w:top w:val="single" w:color="000000" w:sz="4" w:space="0"/>
              <w:left w:val="single" w:color="000000" w:sz="4" w:space="0"/>
              <w:bottom w:val="single" w:color="000000" w:sz="4" w:space="0"/>
              <w:right w:val="single" w:color="000000" w:sz="4" w:space="0"/>
            </w:tcBorders>
            <w:noWrap/>
          </w:tcPr>
          <w:p>
            <w:pPr>
              <w:adjustRightInd w:val="0"/>
              <w:snapToGrid w:val="0"/>
              <w:spacing w:line="360" w:lineRule="auto"/>
              <w:rPr>
                <w:rFonts w:ascii="宋体" w:hAnsi="宋体"/>
                <w:szCs w:val="21"/>
              </w:rPr>
            </w:pPr>
            <w:r>
              <w:rPr>
                <w:rFonts w:hint="eastAsia" w:ascii="宋体" w:hAnsi="宋体"/>
                <w:szCs w:val="21"/>
              </w:rPr>
              <w:t>供应商资格条件要求详见公告。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5.1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是否接受联合体竞标</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szCs w:val="21"/>
              </w:rPr>
            </w:pPr>
            <w:r>
              <w:rPr>
                <w:rFonts w:hint="eastAsia" w:ascii="宋体" w:hAnsi="宋体"/>
                <w:szCs w:val="21"/>
              </w:rPr>
              <w:t>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5.2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szCs w:val="21"/>
              </w:rPr>
              <w:t>联合体竞标要求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szCs w:val="21"/>
              </w:rPr>
            </w:pPr>
            <w:r>
              <w:rPr>
                <w:rFonts w:hint="eastAsia" w:ascii="宋体" w:hAnsi="宋体" w:cs="宋体"/>
                <w:szCs w:val="21"/>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zCs w:val="21"/>
              </w:rPr>
            </w:pPr>
            <w:r>
              <w:rPr>
                <w:rFonts w:hint="eastAsia" w:ascii="宋体" w:hAnsi="宋体" w:cs="宋体"/>
                <w:szCs w:val="21"/>
              </w:rPr>
              <w:t>6.1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是否允许分包</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16"/>
              <w:spacing w:line="360" w:lineRule="auto"/>
              <w:rPr>
                <w:rFonts w:ascii="宋体" w:hAnsi="宋体" w:cs="宋体"/>
                <w:b/>
                <w:szCs w:val="21"/>
              </w:rPr>
            </w:pPr>
            <w:r>
              <w:rPr>
                <w:rFonts w:ascii="宋体" w:hAnsi="宋体" w:cs="宋体"/>
                <w:b/>
                <w:szCs w:val="21"/>
              </w:rPr>
              <w:sym w:font="Wingdings" w:char="00FE"/>
            </w:r>
            <w:r>
              <w:rPr>
                <w:rFonts w:hint="eastAsia" w:ascii="宋体" w:hAnsi="宋体" w:cs="宋体"/>
                <w:b/>
                <w:szCs w:val="21"/>
              </w:rPr>
              <w:t>本项目不允许分包。</w:t>
            </w:r>
          </w:p>
          <w:p>
            <w:pPr>
              <w:pStyle w:val="16"/>
              <w:spacing w:line="360" w:lineRule="auto"/>
              <w:rPr>
                <w:rFonts w:ascii="宋体" w:hAnsi="宋体" w:cs="宋体"/>
                <w:szCs w:val="21"/>
              </w:rPr>
            </w:pPr>
            <w:r>
              <w:rPr>
                <w:rFonts w:hint="eastAsia" w:ascii="宋体" w:hAnsi="宋体" w:cs="宋体"/>
                <w:szCs w:val="21"/>
              </w:rPr>
              <w:sym w:font="Wingdings" w:char="00A8"/>
            </w:r>
            <w:r>
              <w:rPr>
                <w:rFonts w:hint="eastAsia" w:ascii="宋体" w:hAnsi="宋体" w:cs="宋体"/>
                <w:szCs w:val="21"/>
              </w:rPr>
              <w:t>本项目允许分包：</w:t>
            </w:r>
          </w:p>
          <w:p>
            <w:pPr>
              <w:pStyle w:val="16"/>
              <w:spacing w:line="360" w:lineRule="auto"/>
              <w:rPr>
                <w:rFonts w:ascii="宋体" w:hAnsi="宋体" w:cs="宋体"/>
                <w:szCs w:val="21"/>
                <w:u w:val="single"/>
              </w:rPr>
            </w:pPr>
            <w:r>
              <w:rPr>
                <w:rFonts w:hint="eastAsia" w:ascii="宋体" w:hAnsi="宋体" w:cs="宋体"/>
                <w:szCs w:val="21"/>
              </w:rPr>
              <w:t>分包内容：</w:t>
            </w:r>
            <w:r>
              <w:rPr>
                <w:rFonts w:hint="eastAsia" w:ascii="宋体" w:hAnsi="宋体" w:cs="宋体"/>
                <w:szCs w:val="21"/>
                <w:u w:val="single"/>
              </w:rPr>
              <w:t>/ 。</w:t>
            </w:r>
          </w:p>
          <w:p>
            <w:pPr>
              <w:pStyle w:val="16"/>
              <w:spacing w:line="360" w:lineRule="auto"/>
              <w:rPr>
                <w:rFonts w:ascii="宋体" w:hAnsi="宋体" w:cs="宋体"/>
                <w:szCs w:val="21"/>
              </w:rPr>
            </w:pPr>
            <w:r>
              <w:rPr>
                <w:rFonts w:hint="eastAsia" w:ascii="宋体" w:hAnsi="宋体" w:cs="宋体"/>
                <w:szCs w:val="21"/>
              </w:rPr>
              <w:t>分包金额或者比例：</w:t>
            </w:r>
            <w:r>
              <w:rPr>
                <w:rFonts w:hint="eastAsia" w:ascii="宋体" w:hAnsi="宋体" w:cs="宋体"/>
                <w:szCs w:val="21"/>
                <w:u w:val="single"/>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12.1.1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b/>
                <w:szCs w:val="21"/>
              </w:rPr>
            </w:pPr>
            <w:r>
              <w:rPr>
                <w:rFonts w:hint="eastAsia" w:ascii="宋体" w:hAnsi="宋体" w:cs="宋体"/>
                <w:b/>
                <w:szCs w:val="21"/>
              </w:rPr>
              <w:t>资格证明文件组成</w:t>
            </w:r>
          </w:p>
          <w:p>
            <w:pPr>
              <w:snapToGrid w:val="0"/>
              <w:spacing w:line="360" w:lineRule="auto"/>
              <w:jc w:val="center"/>
              <w:rPr>
                <w:rFonts w:ascii="宋体" w:hAnsi="宋体" w:cs="宋体"/>
                <w:szCs w:val="21"/>
              </w:rPr>
            </w:pP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szCs w:val="21"/>
              </w:rPr>
            </w:pPr>
            <w:r>
              <w:rPr>
                <w:rFonts w:hint="eastAsia" w:ascii="宋体" w:hAnsi="宋体" w:cs="宋体"/>
                <w:szCs w:val="21"/>
              </w:rPr>
              <w:t>1.供应商为法人或者其他组织的提供其营业执照等证明文件（如营业执照或者事业单位法人证书或者执业许可证等），供应商为自然人的提供其身份证复印件；（</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szCs w:val="21"/>
              </w:rPr>
            </w:pPr>
            <w:r>
              <w:rPr>
                <w:rFonts w:hint="eastAsia" w:ascii="宋体" w:hAnsi="宋体" w:cs="宋体"/>
                <w:szCs w:val="21"/>
              </w:rPr>
              <w:t>2.供应商依法缴纳税收的相关材料（</w:t>
            </w:r>
            <w:r>
              <w:rPr>
                <w:rFonts w:hint="eastAsia" w:ascii="宋体" w:hAnsi="宋体" w:cs="宋体"/>
                <w:szCs w:val="21"/>
                <w:u w:val="single"/>
              </w:rPr>
              <w:t>响应文件提交截止之日前半年内连续三个月</w:t>
            </w:r>
            <w:r>
              <w:rPr>
                <w:rFonts w:hint="eastAsia" w:ascii="宋体" w:hAnsi="宋体" w:cs="宋体"/>
                <w:szCs w:val="21"/>
              </w:rPr>
              <w:t>的依法缴纳税收的凭据复印件；依法免税的，必须提供相应文件证明。从成立之日起到响应文件提交截止时间为止不足要求月数的，只需提供从成立之日起的依法缴纳税收相应证明文件）；</w:t>
            </w:r>
            <w:r>
              <w:rPr>
                <w:rFonts w:hint="eastAsia" w:ascii="宋体" w:hAnsi="宋体"/>
                <w:szCs w:val="21"/>
              </w:rPr>
              <w:t>（</w:t>
            </w:r>
            <w:r>
              <w:rPr>
                <w:rFonts w:hint="eastAsia" w:ascii="宋体" w:hAnsi="宋体"/>
                <w:b/>
                <w:szCs w:val="21"/>
              </w:rPr>
              <w:t>必须提供，</w:t>
            </w:r>
            <w:r>
              <w:rPr>
                <w:rFonts w:hint="eastAsia" w:ascii="宋体" w:hAnsi="宋体" w:cs="宋体"/>
                <w:b/>
                <w:szCs w:val="21"/>
              </w:rPr>
              <w:t>否则响应文件按无效响应处理</w:t>
            </w:r>
            <w:r>
              <w:rPr>
                <w:rFonts w:hint="eastAsia" w:ascii="宋体" w:hAnsi="宋体"/>
                <w:szCs w:val="21"/>
              </w:rPr>
              <w:t>）</w:t>
            </w:r>
          </w:p>
          <w:p>
            <w:pPr>
              <w:snapToGrid w:val="0"/>
              <w:spacing w:line="360" w:lineRule="auto"/>
              <w:jc w:val="left"/>
              <w:rPr>
                <w:rFonts w:ascii="宋体" w:hAnsi="宋体"/>
                <w:szCs w:val="21"/>
              </w:rPr>
            </w:pPr>
            <w:r>
              <w:rPr>
                <w:rFonts w:hint="eastAsia" w:ascii="宋体" w:hAnsi="宋体" w:cs="宋体"/>
                <w:szCs w:val="21"/>
              </w:rPr>
              <w:t>3.供应商依法缴纳社会保障资金的相关材料</w:t>
            </w:r>
            <w:r>
              <w:rPr>
                <w:rFonts w:ascii="宋体" w:hAnsi="宋体" w:cs="宋体"/>
                <w:szCs w:val="21"/>
              </w:rPr>
              <w:t>[</w:t>
            </w:r>
            <w:r>
              <w:rPr>
                <w:rFonts w:hint="eastAsia" w:ascii="宋体" w:hAnsi="宋体" w:cs="宋体"/>
                <w:szCs w:val="21"/>
                <w:u w:val="single"/>
              </w:rPr>
              <w:t>响应文件提交截止之日前半年内连续三个月</w:t>
            </w:r>
            <w:r>
              <w:rPr>
                <w:rFonts w:hint="eastAsia" w:ascii="宋体" w:hAnsi="宋体" w:cs="宋体"/>
                <w:szCs w:val="21"/>
              </w:rPr>
              <w:t>的依法缴纳社会保障资金的缴费凭证（专用收据或者社会保险缴纳清单）复印件；依法不需要缴纳社会保障资金的，必须提供相应文件证明。从成立之日起到响应文件提交截止时间为止不足要求月数的只需提供从成立之日起一个月的依法缴纳社会保障资金的相应证明文件]</w:t>
            </w:r>
            <w:r>
              <w:rPr>
                <w:rFonts w:hint="eastAsia" w:ascii="宋体" w:hAnsi="宋体"/>
                <w:szCs w:val="21"/>
              </w:rPr>
              <w:t>；（</w:t>
            </w:r>
            <w:r>
              <w:rPr>
                <w:rFonts w:hint="eastAsia" w:ascii="宋体" w:hAnsi="宋体"/>
                <w:b/>
                <w:szCs w:val="21"/>
              </w:rPr>
              <w:t>必须提供，</w:t>
            </w:r>
            <w:r>
              <w:rPr>
                <w:rFonts w:hint="eastAsia" w:ascii="宋体" w:hAnsi="宋体" w:cs="宋体"/>
                <w:b/>
                <w:szCs w:val="21"/>
              </w:rPr>
              <w:t>否则响应文件按无效响应处理</w:t>
            </w:r>
            <w:r>
              <w:rPr>
                <w:rFonts w:hint="eastAsia" w:ascii="宋体" w:hAnsi="宋体"/>
                <w:szCs w:val="21"/>
              </w:rPr>
              <w:t>）</w:t>
            </w:r>
          </w:p>
          <w:p>
            <w:pPr>
              <w:snapToGrid w:val="0"/>
              <w:spacing w:line="360" w:lineRule="auto"/>
              <w:jc w:val="left"/>
              <w:rPr>
                <w:rFonts w:ascii="宋体" w:hAnsi="宋体"/>
                <w:szCs w:val="21"/>
              </w:rPr>
            </w:pPr>
            <w:r>
              <w:rPr>
                <w:rFonts w:hint="eastAsia" w:ascii="宋体" w:hAnsi="宋体" w:cs="宋体"/>
                <w:szCs w:val="21"/>
              </w:rPr>
              <w:t>4.供应商财务状况报告</w:t>
            </w:r>
            <w:r>
              <w:rPr>
                <w:rFonts w:ascii="宋体" w:hAnsi="宋体" w:cs="宋体"/>
                <w:szCs w:val="21"/>
              </w:rPr>
              <w:t>[</w:t>
            </w:r>
            <w:r>
              <w:rPr>
                <w:rFonts w:hint="eastAsia" w:ascii="宋体" w:hAnsi="宋体" w:cs="宋体"/>
                <w:szCs w:val="21"/>
              </w:rPr>
              <w:t>提供</w:t>
            </w:r>
            <w:r>
              <w:rPr>
                <w:rFonts w:hint="eastAsia" w:ascii="宋体" w:hAnsi="宋体" w:cs="宋体"/>
                <w:color w:val="auto"/>
                <w:szCs w:val="21"/>
                <w:highlight w:val="none"/>
              </w:rPr>
              <w:t>2023年</w:t>
            </w:r>
            <w:r>
              <w:rPr>
                <w:rFonts w:hint="eastAsia" w:ascii="宋体" w:hAnsi="宋体" w:cs="宋体"/>
                <w:szCs w:val="21"/>
              </w:rPr>
              <w:t>财务状况报告复印件，或者银行出具的资信证明，或者中国人民银行征信中心出具的信用报告；供应商属于成立时间在规定年度之后的法人或其他组织，需提供成立之日起至响应文件提交截止时间上一个月的财务状况报告或银行出具的资信证明或中国人民银行征信中心出具的信用报告（</w:t>
            </w:r>
            <w:r>
              <w:rPr>
                <w:rFonts w:hint="eastAsia" w:ascii="宋体" w:hAnsi="宋体" w:cs="宋体"/>
                <w:b/>
                <w:bCs/>
                <w:szCs w:val="21"/>
              </w:rPr>
              <w:t>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供应商执行《政府会计制度》的，提供资产负债表、收入费用表和净资产变动表及其附注。资信证明应在有效期内，未注明有效期的，银行出具时间至响应文件提交截止时间不超过一年</w:t>
            </w:r>
            <w:r>
              <w:rPr>
                <w:rFonts w:hint="eastAsia" w:ascii="宋体" w:hAnsi="宋体" w:cs="宋体"/>
                <w:szCs w:val="21"/>
              </w:rPr>
              <w:t>)]；</w:t>
            </w:r>
            <w:r>
              <w:rPr>
                <w:rFonts w:hint="eastAsia" w:ascii="宋体" w:hAnsi="宋体"/>
                <w:szCs w:val="21"/>
              </w:rPr>
              <w:t>（</w:t>
            </w:r>
            <w:r>
              <w:rPr>
                <w:rFonts w:hint="eastAsia" w:ascii="宋体" w:hAnsi="宋体"/>
                <w:b/>
                <w:bCs/>
                <w:szCs w:val="21"/>
              </w:rPr>
              <w:t>格式自拟，</w:t>
            </w:r>
            <w:r>
              <w:rPr>
                <w:rFonts w:hint="eastAsia" w:ascii="宋体" w:hAnsi="宋体"/>
                <w:b/>
                <w:szCs w:val="21"/>
              </w:rPr>
              <w:t>必须提供，</w:t>
            </w:r>
            <w:r>
              <w:rPr>
                <w:rFonts w:hint="eastAsia" w:ascii="宋体" w:hAnsi="宋体" w:cs="宋体"/>
                <w:b/>
                <w:szCs w:val="21"/>
              </w:rPr>
              <w:t>否则响应文件按无效响应处理</w:t>
            </w:r>
            <w:r>
              <w:rPr>
                <w:rFonts w:hint="eastAsia" w:ascii="宋体" w:hAnsi="宋体"/>
                <w:szCs w:val="21"/>
              </w:rPr>
              <w:t>）</w:t>
            </w:r>
          </w:p>
          <w:p>
            <w:pPr>
              <w:snapToGrid w:val="0"/>
              <w:spacing w:line="360" w:lineRule="auto"/>
              <w:jc w:val="left"/>
              <w:rPr>
                <w:rFonts w:ascii="宋体" w:hAnsi="宋体" w:cs="宋体"/>
                <w:szCs w:val="21"/>
              </w:rPr>
            </w:pPr>
            <w:r>
              <w:rPr>
                <w:rFonts w:hint="eastAsia" w:ascii="宋体" w:hAnsi="宋体" w:cs="宋体"/>
                <w:szCs w:val="21"/>
              </w:rPr>
              <w:t>5.供应商直接控股、管理关系信息表；（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6.竞标声明函；（</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7.特定资格要求及特定条件设置供应商提供的资格证明材料：供应商有效的《食品经营许可证》或供应商按市场监督管理部门规定完成备案的证明文件</w:t>
            </w:r>
            <w:r>
              <w:rPr>
                <w:rFonts w:hint="eastAsia" w:ascii="宋体" w:hAnsi="宋体" w:cs="宋体"/>
                <w:b/>
                <w:bCs/>
                <w:szCs w:val="21"/>
              </w:rPr>
              <w:t>（必须提供，</w:t>
            </w:r>
            <w:r>
              <w:rPr>
                <w:rFonts w:hint="eastAsia" w:ascii="宋体" w:hAnsi="宋体" w:cs="宋体"/>
                <w:b/>
                <w:szCs w:val="21"/>
              </w:rPr>
              <w:t>否则响应文件按无效响应处理</w:t>
            </w:r>
            <w:r>
              <w:rPr>
                <w:rFonts w:hint="eastAsia" w:ascii="宋体" w:hAnsi="宋体" w:cs="宋体"/>
                <w:b/>
                <w:bCs/>
                <w:szCs w:val="21"/>
              </w:rPr>
              <w:t>）</w:t>
            </w:r>
          </w:p>
          <w:p>
            <w:pPr>
              <w:snapToGrid w:val="0"/>
              <w:spacing w:line="360" w:lineRule="auto"/>
              <w:jc w:val="left"/>
              <w:rPr>
                <w:rFonts w:hint="eastAsia" w:ascii="宋体" w:hAnsi="宋体" w:cs="宋体"/>
                <w:b/>
                <w:bCs/>
                <w:szCs w:val="21"/>
              </w:rPr>
            </w:pPr>
            <w:r>
              <w:rPr>
                <w:rFonts w:hint="eastAsia" w:ascii="宋体" w:hAnsi="宋体" w:cs="宋体"/>
                <w:szCs w:val="21"/>
                <w:lang w:val="en-US" w:eastAsia="zh-CN"/>
              </w:rPr>
              <w:t>8.</w:t>
            </w:r>
            <w:r>
              <w:rPr>
                <w:rFonts w:hint="eastAsia" w:ascii="宋体" w:hAnsi="宋体" w:cs="宋体"/>
                <w:szCs w:val="21"/>
              </w:rPr>
              <w:t>《中小企业声明函》或《残疾人福利性单位声明函》、由省级或以上监狱管理局、戒毒管理局（含新疆生产建设兵团）出具的属于监狱企业的证明文件复印件，供应商应符合以上其中一项，并根据情况提供材料。</w:t>
            </w:r>
            <w:r>
              <w:rPr>
                <w:rFonts w:hint="eastAsia" w:ascii="宋体" w:hAnsi="宋体" w:cs="宋体"/>
                <w:b/>
                <w:bCs/>
                <w:szCs w:val="21"/>
              </w:rPr>
              <w:t>（必须提供，否则响应文件按无效响应处理）</w:t>
            </w:r>
          </w:p>
          <w:p>
            <w:pPr>
              <w:snapToGrid w:val="0"/>
              <w:spacing w:line="360" w:lineRule="auto"/>
              <w:jc w:val="left"/>
              <w:rPr>
                <w:rFonts w:ascii="宋体" w:hAnsi="宋体" w:cs="宋体"/>
                <w:szCs w:val="21"/>
              </w:rPr>
            </w:pPr>
            <w:r>
              <w:rPr>
                <w:rFonts w:hint="eastAsia" w:ascii="宋体" w:hAnsi="宋体" w:cs="宋体"/>
                <w:szCs w:val="21"/>
                <w:lang w:val="en-US" w:eastAsia="zh-CN"/>
              </w:rPr>
              <w:t>9</w:t>
            </w:r>
            <w:r>
              <w:rPr>
                <w:rFonts w:hint="eastAsia" w:ascii="宋体" w:hAnsi="宋体" w:cs="宋体"/>
                <w:szCs w:val="21"/>
              </w:rPr>
              <w:t>.除磋商文件规定必须提供以外，供应商认为需要提供的其他证明材料；（如有请提供）</w:t>
            </w:r>
          </w:p>
          <w:p>
            <w:pPr>
              <w:snapToGrid w:val="0"/>
              <w:spacing w:line="360" w:lineRule="auto"/>
              <w:jc w:val="left"/>
              <w:rPr>
                <w:rFonts w:ascii="宋体" w:hAnsi="宋体" w:cs="宋体"/>
                <w:b/>
                <w:szCs w:val="21"/>
              </w:rPr>
            </w:pPr>
            <w:r>
              <w:rPr>
                <w:rFonts w:hint="eastAsia" w:ascii="宋体" w:hAnsi="宋体" w:cs="宋体"/>
                <w:b/>
                <w:szCs w:val="21"/>
              </w:rPr>
              <w:t>注：</w:t>
            </w:r>
          </w:p>
          <w:p>
            <w:pPr>
              <w:snapToGrid w:val="0"/>
              <w:spacing w:line="360" w:lineRule="auto"/>
              <w:ind w:firstLine="413" w:firstLineChars="196"/>
              <w:jc w:val="left"/>
              <w:rPr>
                <w:rFonts w:ascii="宋体" w:hAnsi="宋体" w:cs="宋体"/>
                <w:b/>
                <w:szCs w:val="21"/>
              </w:rPr>
            </w:pPr>
            <w:r>
              <w:rPr>
                <w:rFonts w:hint="eastAsia" w:ascii="宋体" w:hAnsi="宋体" w:cs="宋体"/>
                <w:b/>
                <w:szCs w:val="21"/>
              </w:rPr>
              <w:t>1.以上标明“必须提供”的材料属于复印件的扫描件的，必须加盖供应商电子公章，否则响应文件按无效响应处理。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12.1.2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b/>
                <w:bCs/>
                <w:szCs w:val="21"/>
              </w:rPr>
            </w:pPr>
            <w:r>
              <w:rPr>
                <w:rFonts w:hint="eastAsia" w:ascii="宋体" w:hAnsi="宋体" w:cs="宋体"/>
                <w:b/>
                <w:bCs/>
                <w:szCs w:val="21"/>
              </w:rPr>
              <w:t>商务文件组成</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rPr>
                <w:rFonts w:ascii="宋体" w:hAnsi="宋体" w:cs="宋体"/>
                <w:szCs w:val="21"/>
              </w:rPr>
            </w:pPr>
            <w:r>
              <w:rPr>
                <w:rFonts w:hint="eastAsia" w:ascii="宋体" w:hAnsi="宋体" w:cs="宋体"/>
                <w:szCs w:val="21"/>
              </w:rPr>
              <w:t>1.无串通竞标行为的承诺函；（</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2.法定代表人身份证明书及法定代表人有效身份证正反面复印件；（</w:t>
            </w:r>
            <w:r>
              <w:rPr>
                <w:rFonts w:hint="eastAsia" w:ascii="宋体" w:hAnsi="宋体" w:cs="宋体"/>
                <w:b/>
                <w:bCs/>
                <w:szCs w:val="21"/>
              </w:rPr>
              <w:t>除自然人竞标外</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b/>
                <w:szCs w:val="21"/>
              </w:rPr>
            </w:pPr>
            <w:r>
              <w:rPr>
                <w:rFonts w:hint="eastAsia" w:ascii="宋体" w:hAnsi="宋体" w:cs="宋体"/>
                <w:szCs w:val="21"/>
              </w:rPr>
              <w:t>3.法定代表人授权委托书及委托代理人有效身份证正反面复印件；（</w:t>
            </w:r>
            <w:r>
              <w:rPr>
                <w:rFonts w:hint="eastAsia" w:ascii="宋体" w:hAnsi="宋体" w:cs="宋体"/>
                <w:b/>
                <w:szCs w:val="21"/>
              </w:rPr>
              <w:t>委托时必须提供，否则响应文件按无效响应处理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4.商务要求偏离表；（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5.竞标人情况介绍；</w:t>
            </w:r>
          </w:p>
          <w:p>
            <w:pPr>
              <w:pStyle w:val="2"/>
              <w:snapToGrid w:val="0"/>
              <w:spacing w:line="360" w:lineRule="auto"/>
              <w:rPr>
                <w:rFonts w:ascii="宋体" w:hAnsi="宋体" w:cs="宋体"/>
                <w:szCs w:val="21"/>
              </w:rPr>
            </w:pPr>
            <w:r>
              <w:rPr>
                <w:rFonts w:hint="eastAsia" w:ascii="宋体" w:hAnsi="宋体" w:cs="宋体"/>
                <w:szCs w:val="21"/>
              </w:rPr>
              <w:t>6.供应商类似业绩一览表；（如有，请提供）</w:t>
            </w:r>
          </w:p>
          <w:p>
            <w:pPr>
              <w:pStyle w:val="2"/>
              <w:snapToGrid w:val="0"/>
              <w:spacing w:line="360" w:lineRule="auto"/>
              <w:rPr>
                <w:b/>
                <w:bCs/>
              </w:rPr>
            </w:pPr>
            <w:r>
              <w:rPr>
                <w:rFonts w:hint="eastAsia"/>
              </w:rPr>
              <w:t>7.竞标保证金提交凭证；</w:t>
            </w:r>
            <w:r>
              <w:rPr>
                <w:rFonts w:hint="eastAsia"/>
                <w:b/>
                <w:bCs/>
              </w:rPr>
              <w:t>（必须提供，否则响应文件按无效响应处理）</w:t>
            </w:r>
          </w:p>
          <w:p>
            <w:pPr>
              <w:snapToGrid w:val="0"/>
              <w:spacing w:line="360" w:lineRule="auto"/>
              <w:rPr>
                <w:rFonts w:ascii="宋体" w:hAnsi="宋体" w:cs="宋体"/>
                <w:szCs w:val="21"/>
              </w:rPr>
            </w:pPr>
            <w:r>
              <w:rPr>
                <w:rFonts w:hint="eastAsia" w:ascii="宋体" w:hAnsi="宋体" w:cs="宋体"/>
                <w:szCs w:val="21"/>
              </w:rPr>
              <w:t>8.供应商认为需要提供的其他有关资料。</w:t>
            </w:r>
          </w:p>
          <w:p>
            <w:pPr>
              <w:snapToGrid w:val="0"/>
              <w:spacing w:line="360" w:lineRule="auto"/>
              <w:jc w:val="left"/>
              <w:rPr>
                <w:rFonts w:ascii="宋体" w:hAnsi="宋体" w:cs="宋体"/>
                <w:b/>
                <w:szCs w:val="21"/>
              </w:rPr>
            </w:pPr>
            <w:r>
              <w:rPr>
                <w:rFonts w:hint="eastAsia" w:ascii="宋体" w:hAnsi="宋体" w:cs="宋体"/>
                <w:b/>
                <w:szCs w:val="21"/>
              </w:rPr>
              <w:t>注：</w:t>
            </w:r>
          </w:p>
          <w:p>
            <w:pPr>
              <w:snapToGrid w:val="0"/>
              <w:spacing w:line="360" w:lineRule="auto"/>
              <w:ind w:firstLine="413" w:firstLineChars="196"/>
              <w:jc w:val="left"/>
              <w:rPr>
                <w:rFonts w:ascii="宋体" w:hAnsi="宋体" w:cs="宋体"/>
                <w:b/>
                <w:szCs w:val="21"/>
              </w:rPr>
            </w:pPr>
            <w:r>
              <w:rPr>
                <w:rFonts w:hint="eastAsia" w:ascii="宋体" w:hAnsi="宋体" w:cs="宋体"/>
                <w:b/>
                <w:szCs w:val="21"/>
              </w:rPr>
              <w:t>1.法定代表人授权委托书必须由法定代表人及委托代理人签字，并加盖供应商公章，否则响应文件按无效响应处理。</w:t>
            </w:r>
          </w:p>
          <w:p>
            <w:pPr>
              <w:snapToGrid w:val="0"/>
              <w:spacing w:line="360" w:lineRule="auto"/>
              <w:ind w:firstLine="413" w:firstLineChars="196"/>
              <w:rPr>
                <w:rFonts w:ascii="宋体" w:hAnsi="宋体" w:cs="宋体"/>
                <w:b/>
                <w:szCs w:val="21"/>
              </w:rPr>
            </w:pPr>
            <w:r>
              <w:rPr>
                <w:rFonts w:hint="eastAsia" w:ascii="宋体" w:hAnsi="宋体" w:cs="宋体"/>
                <w:b/>
                <w:szCs w:val="21"/>
              </w:rPr>
              <w:t>2.以上标明“必须提供”的材料属于复印件的扫描件的，必须加盖供应商电子公章，否则响应文件按无效响应处理。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b/>
                <w:bCs/>
                <w:szCs w:val="21"/>
              </w:rPr>
            </w:pPr>
            <w:r>
              <w:rPr>
                <w:rFonts w:hint="eastAsia" w:ascii="宋体" w:hAnsi="宋体" w:cs="宋体"/>
                <w:b/>
                <w:bCs/>
                <w:szCs w:val="21"/>
              </w:rPr>
              <w:t>技术文件组成</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lang w:eastAsia="zh-CN"/>
              </w:rPr>
              <w:t>技术要求</w:t>
            </w:r>
            <w:r>
              <w:rPr>
                <w:rFonts w:hint="eastAsia" w:ascii="宋体" w:hAnsi="宋体" w:cs="宋体"/>
                <w:szCs w:val="21"/>
              </w:rPr>
              <w:t>偏离表；（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2.项目实施方案；（</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售后服务方案；（</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4</w:t>
            </w:r>
            <w:r>
              <w:rPr>
                <w:rFonts w:ascii="宋体" w:hAnsi="宋体" w:cs="宋体"/>
                <w:szCs w:val="21"/>
              </w:rPr>
              <w:t>.</w:t>
            </w:r>
            <w:r>
              <w:rPr>
                <w:rFonts w:hint="eastAsia" w:ascii="宋体" w:hAnsi="宋体" w:cs="宋体"/>
                <w:szCs w:val="21"/>
              </w:rPr>
              <w:t>项目实施人员一览表；</w:t>
            </w:r>
          </w:p>
          <w:p>
            <w:pPr>
              <w:pStyle w:val="2"/>
              <w:snapToGrid w:val="0"/>
              <w:spacing w:line="360" w:lineRule="auto"/>
            </w:pPr>
            <w:r>
              <w:rPr>
                <w:rFonts w:hint="eastAsia" w:ascii="宋体" w:hAnsi="宋体" w:cs="宋体"/>
                <w:szCs w:val="21"/>
              </w:rPr>
              <w:t>5.对应采购需求的服务需求、商务要求提供的其他文件资料；</w:t>
            </w:r>
          </w:p>
          <w:p>
            <w:pPr>
              <w:snapToGrid w:val="0"/>
              <w:spacing w:line="360" w:lineRule="auto"/>
            </w:pPr>
            <w:r>
              <w:rPr>
                <w:rFonts w:hint="eastAsia" w:ascii="宋体" w:hAnsi="宋体" w:cs="宋体"/>
                <w:szCs w:val="21"/>
              </w:rPr>
              <w:t>6.</w:t>
            </w:r>
            <w:r>
              <w:rPr>
                <w:rFonts w:hint="eastAsia" w:hAnsi="Courier New"/>
              </w:rPr>
              <w:t>按本竞争性磋商文件规定提交的其它资料。</w:t>
            </w:r>
          </w:p>
          <w:p>
            <w:pPr>
              <w:snapToGrid w:val="0"/>
              <w:spacing w:line="360" w:lineRule="auto"/>
              <w:rPr>
                <w:rFonts w:ascii="宋体" w:hAnsi="宋体" w:cs="宋体"/>
                <w:szCs w:val="21"/>
              </w:rPr>
            </w:pPr>
            <w:r>
              <w:rPr>
                <w:rFonts w:hint="eastAsia" w:ascii="宋体" w:hAnsi="宋体" w:cs="宋体"/>
                <w:b/>
                <w:szCs w:val="21"/>
              </w:rPr>
              <w:t>注：1.以上标明“必须提供”的材料属于复印件的扫描件的，必须加盖供应商电子公章，否则响应文件按无效响应处理。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12.1.3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b/>
                <w:bCs/>
                <w:szCs w:val="21"/>
              </w:rPr>
              <w:t>报价文件组成</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tabs>
                <w:tab w:val="left" w:pos="459"/>
              </w:tabs>
              <w:snapToGrid w:val="0"/>
              <w:spacing w:line="360" w:lineRule="auto"/>
              <w:jc w:val="left"/>
              <w:rPr>
                <w:rFonts w:ascii="宋体" w:hAnsi="宋体"/>
                <w:szCs w:val="21"/>
              </w:rPr>
            </w:pPr>
            <w:r>
              <w:rPr>
                <w:rFonts w:hint="eastAsia" w:ascii="宋体" w:hAnsi="宋体"/>
                <w:szCs w:val="21"/>
              </w:rPr>
              <w:t>1.响应函；</w:t>
            </w:r>
            <w:r>
              <w:rPr>
                <w:rFonts w:hint="eastAsia" w:ascii="宋体" w:hAnsi="宋体"/>
                <w:b/>
                <w:szCs w:val="21"/>
              </w:rPr>
              <w:t>（必须提供，否则作无效响应处理）</w:t>
            </w:r>
          </w:p>
          <w:p>
            <w:pPr>
              <w:snapToGrid w:val="0"/>
              <w:spacing w:line="360" w:lineRule="auto"/>
              <w:rPr>
                <w:rFonts w:ascii="宋体" w:hAnsi="宋体" w:cs="宋体"/>
                <w:szCs w:val="21"/>
              </w:rPr>
            </w:pPr>
            <w:r>
              <w:rPr>
                <w:rFonts w:hint="eastAsia" w:ascii="宋体" w:hAnsi="宋体" w:cs="宋体"/>
                <w:szCs w:val="21"/>
              </w:rPr>
              <w:t>2.响应报价表；（</w:t>
            </w:r>
            <w:r>
              <w:rPr>
                <w:rFonts w:hint="eastAsia" w:ascii="宋体" w:hAnsi="宋体" w:cs="宋体"/>
                <w:b/>
                <w:szCs w:val="21"/>
              </w:rPr>
              <w:t>必须提供，否则响应文件按无效响应处理</w:t>
            </w:r>
            <w:r>
              <w:rPr>
                <w:rFonts w:hint="eastAsia" w:ascii="宋体" w:hAnsi="宋体" w:cs="宋体"/>
                <w:szCs w:val="21"/>
              </w:rPr>
              <w:t>）</w:t>
            </w:r>
          </w:p>
          <w:p>
            <w:pPr>
              <w:snapToGrid w:val="0"/>
              <w:spacing w:line="360" w:lineRule="auto"/>
              <w:rPr>
                <w:rFonts w:ascii="宋体" w:hAnsi="宋体" w:cs="宋体"/>
                <w:szCs w:val="21"/>
              </w:rPr>
            </w:pPr>
            <w:r>
              <w:rPr>
                <w:rFonts w:hint="eastAsia" w:ascii="宋体" w:hAnsi="宋体" w:cs="宋体"/>
                <w:szCs w:val="21"/>
              </w:rPr>
              <w:t>3.响应报价明细表</w:t>
            </w:r>
          </w:p>
          <w:p>
            <w:pPr>
              <w:snapToGrid w:val="0"/>
              <w:spacing w:line="360" w:lineRule="auto"/>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.供应商针对报价需要提供的其他文件和说明（如有请提供）。</w:t>
            </w:r>
          </w:p>
          <w:p>
            <w:pPr>
              <w:snapToGrid w:val="0"/>
              <w:spacing w:line="360" w:lineRule="auto"/>
              <w:rPr>
                <w:rFonts w:ascii="宋体" w:hAnsi="宋体" w:cs="宋体"/>
                <w:szCs w:val="21"/>
              </w:rPr>
            </w:pPr>
            <w:r>
              <w:rPr>
                <w:rFonts w:hint="eastAsia" w:ascii="宋体" w:hAnsi="宋体" w:cs="宋体"/>
                <w:b/>
                <w:bCs/>
                <w:szCs w:val="21"/>
              </w:rPr>
              <w:t>注：1.上述材料必须在规定盖章处加盖供应商电子公章，否则作无效响应处理。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12.2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响应文件电子版要求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cs="宋体"/>
                <w:szCs w:val="21"/>
              </w:rPr>
            </w:pPr>
            <w:r>
              <w:rPr>
                <w:rFonts w:hint="eastAsia" w:ascii="宋体" w:hAnsi="宋体" w:cs="宋体"/>
                <w:szCs w:val="21"/>
              </w:rPr>
              <w:t>1.响应文件电子版要求：按照本采购文件“</w:t>
            </w:r>
            <w:r>
              <w:rPr>
                <w:rFonts w:hint="eastAsia" w:ascii="宋体" w:hAnsi="宋体"/>
                <w:szCs w:val="21"/>
              </w:rPr>
              <w:t>第五章 响应文件格式</w:t>
            </w:r>
            <w:r>
              <w:rPr>
                <w:rFonts w:hint="eastAsia" w:ascii="宋体" w:hAnsi="宋体" w:cs="宋体"/>
                <w:szCs w:val="21"/>
              </w:rPr>
              <w:t>”编写（第五章未附格式的，由供应商自行拟定），不可涂改并在规定加盖公章处加盖电子公章，</w:t>
            </w:r>
            <w:r>
              <w:rPr>
                <w:rFonts w:hint="eastAsia" w:ascii="宋体" w:hAnsi="宋体" w:cs="宋体"/>
                <w:b/>
                <w:szCs w:val="21"/>
              </w:rPr>
              <w:t>否则响应文件按无效响应处理</w:t>
            </w:r>
            <w:r>
              <w:rPr>
                <w:rFonts w:hint="eastAsia" w:ascii="宋体" w:hAnsi="宋体" w:cs="宋体"/>
                <w:szCs w:val="21"/>
              </w:rPr>
              <w:t>。</w:t>
            </w:r>
          </w:p>
          <w:p>
            <w:pPr>
              <w:snapToGrid w:val="0"/>
              <w:spacing w:line="360" w:lineRule="auto"/>
              <w:jc w:val="left"/>
              <w:rPr>
                <w:rFonts w:ascii="宋体" w:hAnsi="宋体" w:cs="宋体"/>
                <w:szCs w:val="21"/>
              </w:rPr>
            </w:pPr>
            <w:r>
              <w:rPr>
                <w:rFonts w:hint="eastAsia" w:ascii="宋体" w:hAnsi="宋体" w:cs="宋体"/>
                <w:szCs w:val="21"/>
              </w:rPr>
              <w:t>2</w:t>
            </w:r>
            <w:r>
              <w:rPr>
                <w:rFonts w:hint="eastAsia" w:ascii="宋体" w:hAnsi="宋体" w:cs="Courier New"/>
                <w:szCs w:val="21"/>
              </w:rPr>
              <w:t>.响应文件电子版密封方式：电子响应文件通过平台有效CA加密后在“广西政采云”平台投送。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15.2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响应报价要求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cs="宋体"/>
                <w:szCs w:val="21"/>
              </w:rPr>
            </w:pPr>
            <w:r>
              <w:rPr>
                <w:rFonts w:hint="eastAsia" w:ascii="宋体" w:hAnsi="宋体" w:cs="宋体"/>
                <w:szCs w:val="21"/>
              </w:rPr>
              <w:t>响应报价必须包含完成所有服务内容所需的费用。如提供服务过程中因采购人增加需求而产生的额外费用，由采购人另外结算；或通过双方协商对服务内容进行调整。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16.2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竞标有效期</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tabs>
                <w:tab w:val="left" w:pos="720"/>
                <w:tab w:val="left" w:pos="840"/>
              </w:tabs>
              <w:adjustRightInd w:val="0"/>
              <w:snapToGrid w:val="0"/>
              <w:spacing w:line="360" w:lineRule="auto"/>
              <w:jc w:val="left"/>
              <w:rPr>
                <w:rFonts w:ascii="宋体" w:hAnsi="宋体" w:cs="宋体"/>
                <w:szCs w:val="21"/>
              </w:rPr>
            </w:pPr>
            <w:r>
              <w:rPr>
                <w:rFonts w:hint="eastAsia" w:ascii="宋体" w:hAnsi="宋体" w:cs="宋体"/>
                <w:szCs w:val="21"/>
              </w:rPr>
              <w:t>自首次响应文件提交截止之日起</w:t>
            </w:r>
            <w:r>
              <w:rPr>
                <w:rFonts w:hint="eastAsia" w:ascii="宋体" w:hAnsi="宋体" w:cs="宋体"/>
                <w:szCs w:val="21"/>
                <w:u w:val="single"/>
              </w:rPr>
              <w:t>60</w:t>
            </w:r>
            <w:r>
              <w:rPr>
                <w:rFonts w:hint="eastAsia" w:ascii="宋体" w:hAnsi="宋体" w:cs="宋体"/>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17</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磋商保证金</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utoSpaceDE w:val="0"/>
              <w:autoSpaceDN w:val="0"/>
              <w:snapToGrid w:val="0"/>
              <w:spacing w:line="312" w:lineRule="auto"/>
              <w:textAlignment w:val="bottom"/>
              <w:rPr>
                <w:rFonts w:ascii="宋体" w:hAnsi="宋体"/>
                <w:szCs w:val="21"/>
              </w:rPr>
            </w:pPr>
            <w:r>
              <w:rPr>
                <w:rFonts w:hint="eastAsia" w:ascii="宋体" w:hAnsi="宋体"/>
                <w:szCs w:val="21"/>
              </w:rPr>
              <w:t>□本项目不收取竞标保证金。</w:t>
            </w:r>
          </w:p>
          <w:p>
            <w:pPr>
              <w:pStyle w:val="2"/>
              <w:snapToGrid w:val="0"/>
              <w:spacing w:after="0" w:line="312" w:lineRule="auto"/>
            </w:pPr>
            <w:r>
              <w:rPr>
                <w:rFonts w:hint="eastAsia" w:ascii="宋体" w:hAnsi="宋体" w:cs="宋体"/>
                <w:szCs w:val="21"/>
              </w:rPr>
              <w:t>☑</w:t>
            </w:r>
            <w:r>
              <w:rPr>
                <w:rFonts w:hint="eastAsia"/>
              </w:rPr>
              <w:t>本项目收取竞标保证金，具体规定如下：</w:t>
            </w:r>
          </w:p>
          <w:p>
            <w:pPr>
              <w:autoSpaceDE w:val="0"/>
              <w:autoSpaceDN w:val="0"/>
              <w:snapToGrid w:val="0"/>
              <w:spacing w:line="312" w:lineRule="auto"/>
              <w:textAlignment w:val="bottom"/>
            </w:pPr>
            <w:r>
              <w:rPr>
                <w:rFonts w:hint="eastAsia"/>
              </w:rPr>
              <w:t>磋商保证金（人民币）：</w:t>
            </w:r>
            <w:r>
              <w:rPr>
                <w:rFonts w:hint="eastAsia"/>
                <w:lang w:val="en-US" w:eastAsia="zh-CN"/>
              </w:rPr>
              <w:t>1</w:t>
            </w:r>
            <w:r>
              <w:rPr>
                <w:rFonts w:hint="eastAsia"/>
              </w:rPr>
              <w:t>分标陆仟伍佰元整（¥6500.00），</w:t>
            </w:r>
            <w:r>
              <w:rPr>
                <w:rFonts w:hint="eastAsia"/>
                <w:lang w:val="en-US" w:eastAsia="zh-CN"/>
              </w:rPr>
              <w:t>2</w:t>
            </w:r>
            <w:r>
              <w:rPr>
                <w:rFonts w:hint="eastAsia"/>
              </w:rPr>
              <w:t>分标伍仟肆佰元整（¥5400.00）(必须按分标足额交纳)</w:t>
            </w:r>
          </w:p>
          <w:p>
            <w:pPr>
              <w:snapToGrid w:val="0"/>
              <w:spacing w:line="360" w:lineRule="auto"/>
              <w:rPr>
                <w:rFonts w:ascii="宋体" w:hAnsi="宋体" w:cs="宋体"/>
                <w:kern w:val="0"/>
                <w:szCs w:val="21"/>
              </w:rPr>
            </w:pPr>
            <w:r>
              <w:rPr>
                <w:rFonts w:hint="eastAsia" w:ascii="宋体" w:hAnsi="宋体" w:cs="宋体"/>
                <w:kern w:val="0"/>
                <w:szCs w:val="21"/>
              </w:rPr>
              <w:t>磋商保证金交纳形式：银行转账、支票、汇票、本票或者金融机构、担保机构出具的保函等非现金形式提交。</w:t>
            </w:r>
          </w:p>
          <w:p>
            <w:pPr>
              <w:snapToGrid w:val="0"/>
              <w:spacing w:line="360" w:lineRule="auto"/>
              <w:rPr>
                <w:rFonts w:ascii="宋体" w:hAnsi="宋体" w:cs="宋体"/>
                <w:kern w:val="0"/>
                <w:szCs w:val="21"/>
              </w:rPr>
            </w:pPr>
            <w:r>
              <w:rPr>
                <w:rFonts w:hint="eastAsia" w:ascii="宋体" w:hAnsi="宋体" w:cs="宋体"/>
                <w:kern w:val="0"/>
                <w:szCs w:val="21"/>
              </w:rPr>
              <w:t>采用银行转账方式的，在首次响应文件提交截止时间前交至采购代理机构指定账户并且到账；缴纳磋商保证金指定账户的信息：</w:t>
            </w:r>
          </w:p>
          <w:p>
            <w:pPr>
              <w:snapToGrid w:val="0"/>
              <w:spacing w:line="360" w:lineRule="auto"/>
              <w:rPr>
                <w:rFonts w:ascii="宋体" w:hAnsi="宋体" w:cs="宋体"/>
                <w:kern w:val="0"/>
                <w:szCs w:val="21"/>
              </w:rPr>
            </w:pPr>
            <w:r>
              <w:rPr>
                <w:rFonts w:hint="eastAsia" w:ascii="宋体" w:hAnsi="宋体" w:cs="宋体"/>
                <w:kern w:val="0"/>
                <w:szCs w:val="21"/>
              </w:rPr>
              <w:t>开户名称：华夏城投项目管理有限公司广西分公司</w:t>
            </w:r>
          </w:p>
          <w:p>
            <w:pPr>
              <w:snapToGrid w:val="0"/>
              <w:spacing w:line="360" w:lineRule="auto"/>
              <w:rPr>
                <w:rFonts w:ascii="宋体" w:hAnsi="宋体" w:cs="宋体"/>
                <w:kern w:val="0"/>
                <w:szCs w:val="21"/>
              </w:rPr>
            </w:pPr>
            <w:r>
              <w:rPr>
                <w:rFonts w:hint="eastAsia" w:ascii="宋体" w:hAnsi="宋体" w:cs="宋体"/>
                <w:kern w:val="0"/>
                <w:szCs w:val="21"/>
              </w:rPr>
              <w:t>开户银行：中国建设银行股份有限公司南宁五象支行</w:t>
            </w:r>
          </w:p>
          <w:p>
            <w:pPr>
              <w:snapToGrid w:val="0"/>
              <w:spacing w:line="360" w:lineRule="auto"/>
              <w:rPr>
                <w:rFonts w:ascii="宋体" w:hAnsi="宋体" w:cs="宋体"/>
                <w:kern w:val="0"/>
                <w:szCs w:val="21"/>
              </w:rPr>
            </w:pPr>
            <w:r>
              <w:rPr>
                <w:rFonts w:hint="eastAsia" w:ascii="宋体" w:hAnsi="宋体" w:cs="宋体"/>
                <w:kern w:val="0"/>
                <w:szCs w:val="21"/>
              </w:rPr>
              <w:t>银行账号：4505 0160 5001 0000 0030；</w:t>
            </w:r>
          </w:p>
          <w:p>
            <w:pPr>
              <w:snapToGrid w:val="0"/>
              <w:spacing w:line="360" w:lineRule="auto"/>
              <w:rPr>
                <w:rFonts w:ascii="宋体" w:hAnsi="宋体" w:cs="宋体"/>
                <w:kern w:val="0"/>
                <w:szCs w:val="21"/>
              </w:rPr>
            </w:pPr>
            <w:r>
              <w:rPr>
                <w:rFonts w:hint="eastAsia" w:ascii="宋体" w:hAnsi="宋体" w:cs="宋体"/>
                <w:kern w:val="0"/>
                <w:szCs w:val="21"/>
              </w:rPr>
              <w:t>采用支票、汇票、本票或者保函等形式的，供应商应将支票、汇票、本票或者银行、保险机构出具的保函的复印件作为磋商保证金提交凭证，放置于商务技术文件中，否则响应文件按无效处理，并在响应文件提交截止时间前将单独密封的支票、汇票、本票或者银行、保险机构出具的保函原件提交给采购代理机构（采用现场递交或邮寄方式，提交地址：南宁市东葛路118号青秀万达写字楼银座8楼808室；邮寄地址：南宁市东葛路118号青秀万达写字楼银座8楼808室，收件人：潘玉婷，联系方式：0771-5382528），由采购代理机构妥善保管。</w:t>
            </w:r>
          </w:p>
          <w:p>
            <w:pPr>
              <w:snapToGrid w:val="0"/>
              <w:spacing w:line="360" w:lineRule="auto"/>
              <w:rPr>
                <w:rFonts w:ascii="宋体" w:hAnsi="宋体" w:cs="宋体"/>
                <w:kern w:val="0"/>
                <w:szCs w:val="21"/>
              </w:rPr>
            </w:pPr>
            <w:r>
              <w:rPr>
                <w:rFonts w:hint="eastAsia" w:ascii="宋体" w:hAnsi="宋体" w:cs="宋体"/>
                <w:kern w:val="0"/>
                <w:szCs w:val="21"/>
              </w:rPr>
              <w:t xml:space="preserve">备注： </w:t>
            </w:r>
          </w:p>
          <w:p>
            <w:pPr>
              <w:snapToGrid w:val="0"/>
              <w:spacing w:line="360" w:lineRule="auto"/>
              <w:rPr>
                <w:rFonts w:ascii="宋体" w:hAnsi="宋体" w:cs="宋体"/>
                <w:kern w:val="0"/>
                <w:szCs w:val="21"/>
              </w:rPr>
            </w:pPr>
            <w:r>
              <w:rPr>
                <w:rFonts w:hint="eastAsia" w:ascii="宋体" w:hAnsi="宋体" w:cs="宋体"/>
                <w:kern w:val="0"/>
                <w:szCs w:val="21"/>
              </w:rPr>
              <w:t>1.磋商保证金在响应文件提交截止时间后提交的，或者不按规定交纳方式交纳的，或者未足额交纳的（包含保函额度不足的），视为无效磋商保证金。</w:t>
            </w:r>
          </w:p>
          <w:p>
            <w:pPr>
              <w:snapToGrid w:val="0"/>
              <w:spacing w:line="360" w:lineRule="auto"/>
              <w:rPr>
                <w:rFonts w:ascii="宋体" w:hAnsi="宋体" w:cs="宋体"/>
                <w:kern w:val="0"/>
                <w:szCs w:val="21"/>
              </w:rPr>
            </w:pPr>
            <w:r>
              <w:rPr>
                <w:rFonts w:hint="eastAsia" w:ascii="宋体" w:hAnsi="宋体" w:cs="宋体"/>
                <w:kern w:val="0"/>
                <w:szCs w:val="21"/>
              </w:rPr>
              <w:t>2.供应商采用现钞方式或者从个人账户（自然人竞标除外）转出的磋商保证金，视为无效磋商保证金。</w:t>
            </w:r>
          </w:p>
          <w:p>
            <w:pPr>
              <w:snapToGrid w:val="0"/>
              <w:spacing w:line="360" w:lineRule="auto"/>
              <w:rPr>
                <w:rFonts w:ascii="宋体" w:hAnsi="宋体" w:cs="宋体"/>
                <w:kern w:val="0"/>
                <w:szCs w:val="21"/>
              </w:rPr>
            </w:pPr>
            <w:r>
              <w:rPr>
                <w:rFonts w:hint="eastAsia" w:ascii="宋体" w:hAnsi="宋体" w:cs="宋体"/>
                <w:kern w:val="0"/>
                <w:szCs w:val="21"/>
              </w:rPr>
              <w:t>3.支票、汇票或者本票出现无效或者背书情形的，视为无效磋商保证金。</w:t>
            </w:r>
          </w:p>
          <w:p>
            <w:pPr>
              <w:snapToGrid w:val="0"/>
              <w:spacing w:line="360" w:lineRule="auto"/>
              <w:rPr>
                <w:rFonts w:ascii="宋体" w:hAnsi="宋体" w:cs="宋体"/>
                <w:kern w:val="0"/>
                <w:szCs w:val="21"/>
              </w:rPr>
            </w:pPr>
            <w:r>
              <w:rPr>
                <w:rFonts w:hint="eastAsia" w:ascii="宋体" w:hAnsi="宋体" w:cs="宋体"/>
                <w:kern w:val="0"/>
                <w:szCs w:val="21"/>
              </w:rPr>
              <w:t>4.保函有效期低于竞标有效期的，视为无效磋商保证金。</w:t>
            </w:r>
          </w:p>
          <w:p>
            <w:pPr>
              <w:autoSpaceDE w:val="0"/>
              <w:autoSpaceDN w:val="0"/>
              <w:snapToGrid w:val="0"/>
              <w:spacing w:line="312" w:lineRule="auto"/>
              <w:textAlignment w:val="bottom"/>
            </w:pPr>
            <w:r>
              <w:rPr>
                <w:rFonts w:hint="eastAsia" w:ascii="宋体" w:hAnsi="宋体" w:cs="宋体"/>
                <w:kern w:val="0"/>
                <w:szCs w:val="21"/>
              </w:rPr>
              <w:t>5.采用银行、保险机构出具保函的，必须为无条件保函，否则视为无效磋商保证金。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20.1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首次响应文件提交起止时间</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cs="宋体"/>
                <w:szCs w:val="21"/>
                <w:u w:val="single"/>
              </w:rPr>
            </w:pPr>
            <w:r>
              <w:rPr>
                <w:rFonts w:hint="eastAsia" w:ascii="宋体" w:hAnsi="宋体" w:cs="宋体"/>
                <w:szCs w:val="21"/>
              </w:rPr>
              <w:t>详见竞争性磋商公告。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首次响应文件提交地点</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cs="宋体"/>
                <w:szCs w:val="21"/>
                <w:u w:val="single"/>
              </w:rPr>
            </w:pPr>
            <w:r>
              <w:rPr>
                <w:rFonts w:hint="eastAsia" w:ascii="宋体" w:hAnsi="宋体" w:cs="宋体"/>
                <w:szCs w:val="21"/>
              </w:rPr>
              <w:t>详见竞争性磋商公告。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20.6</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备份响应文件</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cs="宋体"/>
                <w:szCs w:val="21"/>
              </w:rPr>
            </w:pPr>
            <w:r>
              <w:rPr>
                <w:rFonts w:hint="eastAsia" w:ascii="宋体" w:hAnsi="宋体"/>
                <w:szCs w:val="21"/>
              </w:rPr>
              <w:t>本项目不接受备份响应文件。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宋体" w:hAnsi="宋体" w:cs="宋体"/>
                <w:szCs w:val="21"/>
              </w:rPr>
            </w:pPr>
            <w:r>
              <w:rPr>
                <w:rFonts w:hint="eastAsia" w:ascii="宋体" w:hAnsi="宋体" w:cs="宋体"/>
                <w:szCs w:val="21"/>
              </w:rPr>
              <w:t>21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首次响应文件的撤回</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left"/>
              <w:rPr>
                <w:rFonts w:ascii="宋体" w:hAnsi="宋体"/>
                <w:szCs w:val="21"/>
              </w:rPr>
            </w:pPr>
            <w:r>
              <w:rPr>
                <w:rFonts w:hint="eastAsia" w:ascii="宋体" w:hAnsi="宋体" w:cs="宋体"/>
                <w:szCs w:val="21"/>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26.3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负偏离要求</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b/>
                <w:bCs/>
                <w:color w:val="auto"/>
                <w:szCs w:val="21"/>
              </w:rPr>
            </w:pPr>
            <w:r>
              <w:rPr>
                <w:rFonts w:hint="eastAsia" w:ascii="宋体" w:hAnsi="宋体" w:cs="宋体"/>
                <w:b/>
                <w:bCs/>
                <w:color w:val="auto"/>
                <w:szCs w:val="21"/>
              </w:rPr>
              <w:t>各分标商务要求评审中允许负偏离的条款数为</w:t>
            </w:r>
            <w:r>
              <w:rPr>
                <w:rFonts w:hint="eastAsia" w:ascii="宋体" w:hAnsi="宋体" w:cs="宋体"/>
                <w:b/>
                <w:bCs/>
                <w:color w:val="auto"/>
                <w:szCs w:val="21"/>
                <w:u w:val="single"/>
              </w:rPr>
              <w:t xml:space="preserve"> 0 </w:t>
            </w:r>
            <w:r>
              <w:rPr>
                <w:rFonts w:hint="eastAsia" w:ascii="宋体" w:hAnsi="宋体" w:cs="宋体"/>
                <w:b/>
                <w:bCs/>
                <w:color w:val="auto"/>
                <w:szCs w:val="21"/>
              </w:rPr>
              <w:t>项。</w:t>
            </w:r>
          </w:p>
          <w:p>
            <w:pPr>
              <w:adjustRightInd w:val="0"/>
              <w:snapToGrid w:val="0"/>
              <w:spacing w:line="360" w:lineRule="auto"/>
              <w:rPr>
                <w:rFonts w:ascii="宋体" w:hAnsi="宋体" w:cs="宋体"/>
                <w:color w:val="auto"/>
                <w:szCs w:val="21"/>
              </w:rPr>
            </w:pPr>
            <w:r>
              <w:rPr>
                <w:rFonts w:hint="eastAsia" w:ascii="宋体" w:hAnsi="宋体" w:cs="宋体"/>
                <w:b/>
                <w:bCs/>
                <w:color w:val="auto"/>
                <w:szCs w:val="21"/>
              </w:rPr>
              <w:t>各分标技术要求评审中允许负偏离的条款数为</w:t>
            </w:r>
            <w:r>
              <w:rPr>
                <w:rFonts w:hint="eastAsia" w:ascii="宋体" w:hAnsi="宋体" w:cs="宋体"/>
                <w:b/>
                <w:bCs/>
                <w:color w:val="auto"/>
                <w:szCs w:val="21"/>
                <w:u w:val="single"/>
              </w:rPr>
              <w:t>2</w:t>
            </w:r>
            <w:r>
              <w:rPr>
                <w:rFonts w:hint="eastAsia" w:ascii="宋体" w:hAnsi="宋体" w:cs="宋体"/>
                <w:b/>
                <w:bCs/>
                <w:color w:val="auto"/>
                <w:szCs w:val="21"/>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磋商的顺序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left"/>
              <w:rPr>
                <w:rFonts w:ascii="宋体" w:hAnsi="宋体"/>
                <w:szCs w:val="21"/>
              </w:rPr>
            </w:pPr>
            <w:r>
              <w:rPr>
                <w:rFonts w:hint="eastAsia" w:ascii="MS Mincho" w:hAnsi="MS Mincho" w:cs="MS Mincho"/>
                <w:szCs w:val="21"/>
              </w:rPr>
              <w:sym w:font="Wingdings 2" w:char="0052"/>
            </w:r>
            <w:r>
              <w:rPr>
                <w:rFonts w:hint="eastAsia" w:ascii="宋体" w:hAnsi="宋体"/>
                <w:szCs w:val="21"/>
              </w:rPr>
              <w:t>按照</w:t>
            </w:r>
            <w:r>
              <w:rPr>
                <w:rFonts w:hint="eastAsia" w:ascii="宋体" w:hAnsi="宋体" w:cs="宋体"/>
                <w:szCs w:val="21"/>
              </w:rPr>
              <w:t>提交首次响应文件的顺序，通知磋商时，若某供应商不在通知现场时，该供应商排序到最后磋商，按照签到的顺序由其下一位供应商先参与磋商。</w:t>
            </w:r>
          </w:p>
          <w:p>
            <w:pPr>
              <w:snapToGrid w:val="0"/>
              <w:spacing w:line="360" w:lineRule="auto"/>
              <w:rPr>
                <w:rFonts w:ascii="宋体" w:hAnsi="宋体" w:cs="宋体"/>
                <w:szCs w:val="21"/>
              </w:rPr>
            </w:pPr>
            <w:r>
              <w:rPr>
                <w:rFonts w:hint="eastAsia" w:ascii="宋体" w:hAnsi="宋体" w:cs="宋体"/>
                <w:szCs w:val="21"/>
              </w:rPr>
              <w:t>□随机排序。</w:t>
            </w:r>
          </w:p>
          <w:p>
            <w:pPr>
              <w:snapToGrid w:val="0"/>
              <w:spacing w:line="360" w:lineRule="auto"/>
              <w:jc w:val="left"/>
              <w:rPr>
                <w:rFonts w:ascii="宋体" w:hAnsi="宋体" w:cs="宋体"/>
                <w:b/>
                <w:szCs w:val="21"/>
              </w:rPr>
            </w:pPr>
            <w:r>
              <w:rPr>
                <w:rFonts w:hint="eastAsia" w:ascii="宋体" w:hAnsi="宋体" w:cs="宋体"/>
                <w:b/>
                <w:szCs w:val="21"/>
              </w:rPr>
              <w:t>参与磋商前，供应商法定代表人或者委托代理人必须向磋商小组出示本人有效证件原件[有效证件可以是身份证（含临时身份证明）、机动车驾驶证、社会保障卡或者护照的其中一项]，若参与磋商的委托代理人不是响应文件中授权的委托代理人时，必须同时出示有效的法定代表人授权委托书原件，否则磋商小组将拒绝其参与磋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28</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cs="宋体"/>
                <w:szCs w:val="21"/>
              </w:rPr>
              <w:t>履约保证金</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12" w:lineRule="auto"/>
              <w:rPr>
                <w:rFonts w:ascii="宋体" w:hAnsi="宋体" w:cs="宋体"/>
                <w:szCs w:val="21"/>
              </w:rPr>
            </w:pPr>
            <w:r>
              <w:rPr>
                <w:rFonts w:hint="eastAsia" w:ascii="宋体" w:hAnsi="宋体" w:cs="宋体"/>
                <w:szCs w:val="21"/>
              </w:rPr>
              <w:t xml:space="preserve">□本项目不收取履约保证金 </w:t>
            </w:r>
          </w:p>
          <w:p>
            <w:pPr>
              <w:pStyle w:val="2"/>
              <w:snapToGrid w:val="0"/>
              <w:spacing w:after="0" w:line="312" w:lineRule="auto"/>
              <w:rPr>
                <w:color w:val="auto"/>
                <w:highlight w:val="none"/>
              </w:rPr>
            </w:pPr>
            <w:r>
              <w:rPr>
                <w:rFonts w:hint="eastAsia" w:ascii="宋体" w:hAnsi="宋体" w:cs="宋体"/>
                <w:color w:val="auto"/>
                <w:szCs w:val="21"/>
                <w:highlight w:val="none"/>
              </w:rPr>
              <w:t>☑</w:t>
            </w:r>
            <w:r>
              <w:rPr>
                <w:rFonts w:hint="eastAsia"/>
                <w:color w:val="auto"/>
                <w:highlight w:val="none"/>
              </w:rPr>
              <w:t>本项目收取履约保证金，具体规定如下：</w:t>
            </w:r>
          </w:p>
          <w:p>
            <w:pPr>
              <w:pStyle w:val="2"/>
              <w:snapToGrid w:val="0"/>
              <w:spacing w:after="0" w:line="312" w:lineRule="auto"/>
            </w:pPr>
            <w:r>
              <w:rPr>
                <w:rFonts w:hint="eastAsia"/>
                <w:color w:val="auto"/>
                <w:highlight w:val="none"/>
              </w:rPr>
              <w:t>履约保证金金额：按成交分标预算金额的</w:t>
            </w:r>
            <w:r>
              <w:rPr>
                <w:rFonts w:hint="eastAsia"/>
                <w:color w:val="auto"/>
                <w:highlight w:val="none"/>
                <w:u w:val="single"/>
              </w:rPr>
              <w:t xml:space="preserve"> </w:t>
            </w:r>
            <w:r>
              <w:rPr>
                <w:rFonts w:hint="eastAsia"/>
                <w:color w:val="auto"/>
                <w:highlight w:val="none"/>
                <w:u w:val="single"/>
                <w:lang w:val="en-US" w:eastAsia="zh-CN"/>
              </w:rPr>
              <w:t>2</w:t>
            </w:r>
            <w:r>
              <w:rPr>
                <w:rFonts w:hint="eastAsia"/>
                <w:color w:val="auto"/>
                <w:highlight w:val="none"/>
              </w:rPr>
              <w:t>%（中小企业收取的履约保证金数额按成交分标预算金额的2%）。</w:t>
            </w:r>
            <w:r>
              <w:rPr>
                <w:rFonts w:hint="eastAsia"/>
              </w:rPr>
              <w:t xml:space="preserve"> </w:t>
            </w:r>
          </w:p>
          <w:p>
            <w:pPr>
              <w:pStyle w:val="2"/>
              <w:snapToGrid w:val="0"/>
              <w:spacing w:after="0" w:line="312" w:lineRule="auto"/>
            </w:pPr>
            <w:r>
              <w:rPr>
                <w:rFonts w:hint="eastAsia"/>
              </w:rPr>
              <w:t>履约保证金提交方式：银行转账、支票、汇票、本票或者银行、保险机构出具的保函等非现金方式（参照竞标保证金）。</w:t>
            </w:r>
          </w:p>
          <w:p>
            <w:pPr>
              <w:pStyle w:val="2"/>
              <w:snapToGrid w:val="0"/>
              <w:spacing w:after="0" w:line="312" w:lineRule="auto"/>
            </w:pPr>
            <w:r>
              <w:rPr>
                <w:rFonts w:hint="eastAsia"/>
              </w:rPr>
              <w:t>履约保证金退付方式、时间及条件：由成交供应商向履约保证金收取单位提供《广西壮族自治区政府采购项目合同验收书》（详见桂财采〔2015〕22 号），保证金收取单位在收到合格材料后 5个工作日内办理退还手续（不计利息）（若采购文件第二章另有约定的从其规定）。</w:t>
            </w:r>
          </w:p>
          <w:p>
            <w:pPr>
              <w:pStyle w:val="2"/>
              <w:snapToGrid w:val="0"/>
              <w:spacing w:after="0" w:line="312" w:lineRule="auto"/>
            </w:pPr>
            <w:r>
              <w:rPr>
                <w:rFonts w:hint="eastAsia"/>
              </w:rPr>
              <w:t xml:space="preserve">指定账户： </w:t>
            </w:r>
          </w:p>
          <w:p>
            <w:pPr>
              <w:pStyle w:val="2"/>
              <w:snapToGrid w:val="0"/>
              <w:spacing w:after="0" w:line="312" w:lineRule="auto"/>
            </w:pPr>
            <w:r>
              <w:rPr>
                <w:rFonts w:hint="eastAsia"/>
              </w:rPr>
              <w:t>开户名称：广西中医药大学第一附属医院</w:t>
            </w:r>
          </w:p>
          <w:p>
            <w:pPr>
              <w:pStyle w:val="2"/>
              <w:snapToGrid w:val="0"/>
              <w:spacing w:after="0" w:line="312" w:lineRule="auto"/>
            </w:pPr>
            <w:r>
              <w:rPr>
                <w:rFonts w:hint="eastAsia"/>
              </w:rPr>
              <w:t>开户银行：建行南宁园湖南路支行</w:t>
            </w:r>
          </w:p>
          <w:p>
            <w:pPr>
              <w:pStyle w:val="2"/>
              <w:snapToGrid w:val="0"/>
              <w:spacing w:after="0" w:line="312" w:lineRule="auto"/>
            </w:pPr>
            <w:r>
              <w:rPr>
                <w:rFonts w:hint="eastAsia"/>
              </w:rPr>
              <w:t>银行账号：45001604652050502742</w:t>
            </w:r>
          </w:p>
          <w:p>
            <w:pPr>
              <w:pStyle w:val="2"/>
              <w:snapToGrid w:val="0"/>
              <w:spacing w:after="0" w:line="312" w:lineRule="auto"/>
            </w:pPr>
            <w:r>
              <w:rPr>
                <w:rFonts w:hint="eastAsia"/>
              </w:rPr>
              <w:t xml:space="preserve">履约保证金备注： </w:t>
            </w:r>
          </w:p>
          <w:p>
            <w:pPr>
              <w:pStyle w:val="2"/>
              <w:snapToGrid w:val="0"/>
              <w:spacing w:after="0" w:line="312" w:lineRule="auto"/>
            </w:pPr>
            <w:r>
              <w:rPr>
                <w:rFonts w:hint="eastAsia"/>
              </w:rPr>
              <w:t xml:space="preserve">1. 根据《广西壮族自治区财政厅关于贯彻落实政府采购优化营商环境百日攻坚行动方案的通知》（桂财采〔2020〕49 号）及广西壮族自治区财政厅关于进一步发挥政府采购政策功能促进企业发展的通知（桂财采〔2022〕30 号）规定，鼓励采购人在与中小微企业签订政府采购合同时，减少或免于收取履约保证金，有必要收取履约保证金的，收取的履约保证金不得超过政府采购合同金额的 5%，对中小企业收取的履约保证金数额不得超过政府采购合同金额的2%。 </w:t>
            </w:r>
          </w:p>
          <w:p>
            <w:pPr>
              <w:pStyle w:val="2"/>
              <w:snapToGrid w:val="0"/>
              <w:spacing w:after="0" w:line="312" w:lineRule="auto"/>
            </w:pPr>
            <w:r>
              <w:rPr>
                <w:rFonts w:hint="eastAsia"/>
              </w:rPr>
              <w:t xml:space="preserve">2.履约保证金不足额缴纳的，或者银行、保险机构出具的保函额度不足的或者保函有效期低于合同履行期限（即签订采购合同之日起至履行完合同约定的权利及义务之日止）的，不予签订合同。 </w:t>
            </w:r>
          </w:p>
          <w:p>
            <w:pPr>
              <w:pStyle w:val="2"/>
              <w:snapToGrid w:val="0"/>
              <w:spacing w:after="0" w:line="312" w:lineRule="auto"/>
            </w:pPr>
            <w:r>
              <w:rPr>
                <w:rFonts w:hint="eastAsia"/>
              </w:rPr>
              <w:t>3.采用银行、保险机构出具的保函的，必须为无条件保函，否则不予签订合同。</w:t>
            </w:r>
          </w:p>
          <w:p>
            <w:pPr>
              <w:pStyle w:val="2"/>
              <w:snapToGrid w:val="0"/>
              <w:spacing w:after="0" w:line="312" w:lineRule="auto"/>
              <w:rPr>
                <w:rFonts w:ascii="宋体" w:hAnsi="宋体" w:cs="宋体"/>
                <w:szCs w:val="21"/>
              </w:rPr>
            </w:pPr>
            <w:r>
              <w:rPr>
                <w:rFonts w:hint="eastAsia"/>
              </w:rPr>
              <w:t>4.供应商为联合体的，由联合体任意一方按规定提交的履约保证金，视为有效履约保证金。（本项目不接受联合体，此项不适用）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29.5</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cs="宋体"/>
                <w:szCs w:val="21"/>
              </w:rPr>
            </w:pPr>
            <w:r>
              <w:rPr>
                <w:rFonts w:hint="eastAsia" w:ascii="宋体" w:hAnsi="宋体"/>
                <w:szCs w:val="21"/>
              </w:rPr>
              <w:t>签订合同携带的材料</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cs="宋体"/>
                <w:szCs w:val="21"/>
              </w:rPr>
            </w:pPr>
            <w:r>
              <w:rPr>
                <w:rFonts w:hint="eastAsia" w:ascii="宋体" w:hAnsi="宋体"/>
                <w:szCs w:val="21"/>
              </w:rPr>
              <w:t>使用的有效CA证书加盖单位电子公章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restar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31.2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jc w:val="center"/>
              <w:rPr>
                <w:rFonts w:ascii="宋体" w:hAnsi="宋体"/>
                <w:szCs w:val="21"/>
              </w:rPr>
            </w:pPr>
            <w:r>
              <w:rPr>
                <w:rFonts w:hint="eastAsia" w:ascii="宋体" w:hAnsi="宋体"/>
                <w:szCs w:val="21"/>
              </w:rPr>
              <w:t>接收质疑函方式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auto"/>
              <w:rPr>
                <w:rFonts w:ascii="宋体" w:hAnsi="宋体"/>
                <w:szCs w:val="21"/>
              </w:rPr>
            </w:pPr>
            <w:r>
              <w:rPr>
                <w:rFonts w:hint="eastAsia" w:ascii="宋体" w:hAnsi="宋体"/>
                <w:szCs w:val="21"/>
              </w:rPr>
              <w:t>以书面形式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szCs w:val="21"/>
              </w:rPr>
            </w:pPr>
            <w:r>
              <w:rPr>
                <w:rFonts w:hint="eastAsia" w:ascii="宋体" w:hAnsi="宋体"/>
                <w:szCs w:val="21"/>
              </w:rPr>
              <w:t>质疑联系部门及联系方式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400" w:lineRule="exact"/>
              <w:rPr>
                <w:rFonts w:ascii="宋体" w:hAnsi="宋体"/>
                <w:szCs w:val="21"/>
              </w:rPr>
            </w:pPr>
            <w:r>
              <w:rPr>
                <w:rFonts w:hint="eastAsia" w:ascii="宋体" w:hAnsi="宋体"/>
                <w:szCs w:val="21"/>
                <w:u w:val="single"/>
              </w:rPr>
              <w:t>（1）华夏城投项目管理有限公司</w:t>
            </w:r>
            <w:r>
              <w:rPr>
                <w:rFonts w:hint="eastAsia" w:ascii="宋体" w:hAnsi="宋体"/>
                <w:szCs w:val="21"/>
              </w:rPr>
              <w:t>部门；</w:t>
            </w:r>
          </w:p>
          <w:p>
            <w:pPr>
              <w:snapToGrid w:val="0"/>
              <w:spacing w:line="400" w:lineRule="exact"/>
              <w:rPr>
                <w:rFonts w:ascii="宋体" w:hAnsi="宋体"/>
                <w:szCs w:val="21"/>
              </w:rPr>
            </w:pPr>
            <w:r>
              <w:rPr>
                <w:rFonts w:hint="eastAsia" w:ascii="宋体" w:hAnsi="宋体"/>
                <w:szCs w:val="21"/>
              </w:rPr>
              <w:t>联系电话：0771-5382528，</w:t>
            </w:r>
          </w:p>
          <w:p>
            <w:pPr>
              <w:snapToGrid w:val="0"/>
              <w:spacing w:line="400" w:lineRule="exact"/>
              <w:rPr>
                <w:rFonts w:ascii="宋体" w:hAnsi="宋体"/>
                <w:szCs w:val="21"/>
              </w:rPr>
            </w:pPr>
            <w:r>
              <w:rPr>
                <w:rFonts w:hint="eastAsia" w:ascii="宋体" w:hAnsi="宋体"/>
                <w:szCs w:val="21"/>
              </w:rPr>
              <w:t>通讯地址</w:t>
            </w:r>
            <w:r>
              <w:rPr>
                <w:rFonts w:hint="eastAsia" w:ascii="宋体" w:hAnsi="宋体" w:cs="Helvetica"/>
                <w:szCs w:val="21"/>
              </w:rPr>
              <w:t>：</w:t>
            </w:r>
            <w:r>
              <w:rPr>
                <w:rFonts w:hint="eastAsia" w:ascii="宋体" w:hAnsi="宋体"/>
                <w:szCs w:val="21"/>
                <w:u w:val="single"/>
              </w:rPr>
              <w:t xml:space="preserve"> 南宁市东葛路118号青秀万达写字楼银座8楼808室</w:t>
            </w:r>
          </w:p>
          <w:p>
            <w:pPr>
              <w:snapToGrid w:val="0"/>
              <w:spacing w:line="400" w:lineRule="exact"/>
              <w:rPr>
                <w:rFonts w:ascii="宋体" w:hAnsi="宋体"/>
                <w:szCs w:val="21"/>
              </w:rPr>
            </w:pPr>
            <w:r>
              <w:rPr>
                <w:rFonts w:hint="eastAsia" w:ascii="宋体" w:hAnsi="宋体"/>
                <w:szCs w:val="21"/>
                <w:u w:val="single"/>
              </w:rPr>
              <w:t>（2）广西中医药大学第一附属医院</w:t>
            </w:r>
            <w:r>
              <w:rPr>
                <w:rFonts w:hint="eastAsia" w:ascii="宋体" w:hAnsi="宋体"/>
                <w:szCs w:val="21"/>
              </w:rPr>
              <w:t>部门；</w:t>
            </w:r>
          </w:p>
          <w:p>
            <w:pPr>
              <w:snapToGrid w:val="0"/>
              <w:spacing w:line="400" w:lineRule="exact"/>
              <w:rPr>
                <w:rFonts w:ascii="宋体" w:hAnsi="宋体"/>
                <w:szCs w:val="21"/>
              </w:rPr>
            </w:pPr>
            <w:r>
              <w:rPr>
                <w:rFonts w:hint="eastAsia" w:ascii="宋体" w:hAnsi="宋体"/>
                <w:szCs w:val="21"/>
              </w:rPr>
              <w:t>联系电话：</w:t>
            </w:r>
            <w:r>
              <w:rPr>
                <w:rFonts w:hint="eastAsia" w:ascii="宋体" w:hAnsi="宋体"/>
                <w:szCs w:val="21"/>
                <w:u w:val="single"/>
              </w:rPr>
              <w:t>0771-5602026</w:t>
            </w:r>
            <w:r>
              <w:rPr>
                <w:rFonts w:hint="eastAsia" w:ascii="宋体" w:hAnsi="宋体"/>
                <w:szCs w:val="21"/>
              </w:rPr>
              <w:t>，</w:t>
            </w:r>
          </w:p>
          <w:p>
            <w:pPr>
              <w:snapToGrid w:val="0"/>
              <w:spacing w:line="400" w:lineRule="exact"/>
              <w:rPr>
                <w:rFonts w:ascii="宋体" w:hAnsi="宋体"/>
                <w:szCs w:val="21"/>
              </w:rPr>
            </w:pPr>
            <w:r>
              <w:rPr>
                <w:rFonts w:hint="eastAsia" w:ascii="宋体" w:hAnsi="宋体"/>
                <w:szCs w:val="21"/>
              </w:rPr>
              <w:t>通讯地址</w:t>
            </w:r>
            <w:r>
              <w:rPr>
                <w:rFonts w:hint="eastAsia" w:ascii="宋体" w:hAnsi="宋体" w:cs="Helvetica"/>
                <w:szCs w:val="21"/>
              </w:rPr>
              <w:t>：</w:t>
            </w:r>
            <w:r>
              <w:rPr>
                <w:rFonts w:hint="eastAsia" w:ascii="宋体" w:hAnsi="宋体"/>
                <w:szCs w:val="21"/>
                <w:u w:val="single"/>
              </w:rPr>
              <w:t xml:space="preserve">南宁市东葛路89-9号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vMerge w:val="continue"/>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szCs w:val="21"/>
              </w:rPr>
            </w:pP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szCs w:val="21"/>
              </w:rPr>
            </w:pPr>
            <w:r>
              <w:rPr>
                <w:rFonts w:hint="eastAsia" w:hAnsi="宋体"/>
              </w:rPr>
              <w:t>现场提交质疑办理业务时间</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80" w:lineRule="exact"/>
              <w:rPr>
                <w:rFonts w:ascii="宋体" w:hAnsi="宋体"/>
                <w:szCs w:val="21"/>
              </w:rPr>
            </w:pPr>
            <w:r>
              <w:rPr>
                <w:rFonts w:hint="eastAsia" w:hAnsi="宋体"/>
              </w:rPr>
              <w:t>质疑期内每个工作日</w:t>
            </w:r>
            <w:r>
              <w:rPr>
                <w:rFonts w:hint="eastAsia" w:hAnsi="宋体"/>
                <w:u w:val="single"/>
              </w:rPr>
              <w:t xml:space="preserve"> 08 </w:t>
            </w:r>
            <w:r>
              <w:rPr>
                <w:rFonts w:hint="eastAsia" w:hAnsi="宋体"/>
              </w:rPr>
              <w:t>时</w:t>
            </w:r>
            <w:r>
              <w:rPr>
                <w:rFonts w:hint="eastAsia" w:hAnsi="宋体"/>
                <w:u w:val="single"/>
              </w:rPr>
              <w:t xml:space="preserve"> 00 </w:t>
            </w:r>
            <w:r>
              <w:rPr>
                <w:rFonts w:hint="eastAsia" w:hAnsi="宋体"/>
              </w:rPr>
              <w:t>分到</w:t>
            </w:r>
            <w:r>
              <w:rPr>
                <w:rFonts w:hint="eastAsia" w:hAnsi="宋体"/>
                <w:u w:val="single"/>
              </w:rPr>
              <w:t xml:space="preserve"> 12 </w:t>
            </w:r>
            <w:r>
              <w:rPr>
                <w:rFonts w:hint="eastAsia" w:hAnsi="宋体"/>
              </w:rPr>
              <w:t>时</w:t>
            </w:r>
            <w:r>
              <w:rPr>
                <w:rFonts w:hint="eastAsia" w:hAnsi="宋体"/>
                <w:u w:val="single"/>
              </w:rPr>
              <w:t xml:space="preserve"> 00 </w:t>
            </w:r>
            <w:r>
              <w:rPr>
                <w:rFonts w:hint="eastAsia" w:hAnsi="宋体"/>
              </w:rPr>
              <w:t>分，</w:t>
            </w:r>
            <w:r>
              <w:rPr>
                <w:rFonts w:hint="eastAsia" w:hAnsi="宋体"/>
                <w:u w:val="single"/>
              </w:rPr>
              <w:t xml:space="preserve"> 15 </w:t>
            </w:r>
            <w:r>
              <w:rPr>
                <w:rFonts w:hint="eastAsia" w:hAnsi="宋体"/>
              </w:rPr>
              <w:t>时</w:t>
            </w:r>
            <w:r>
              <w:rPr>
                <w:rFonts w:hint="eastAsia" w:hAnsi="宋体"/>
                <w:u w:val="single"/>
              </w:rPr>
              <w:t xml:space="preserve"> 00 </w:t>
            </w:r>
            <w:r>
              <w:rPr>
                <w:rFonts w:hint="eastAsia" w:hAnsi="宋体"/>
              </w:rPr>
              <w:t>分到</w:t>
            </w:r>
            <w:r>
              <w:rPr>
                <w:rFonts w:hint="eastAsia" w:hAnsi="宋体"/>
                <w:u w:val="single"/>
              </w:rPr>
              <w:t xml:space="preserve"> 18 </w:t>
            </w:r>
            <w:r>
              <w:rPr>
                <w:rFonts w:hint="eastAsia" w:hAnsi="宋体"/>
              </w:rPr>
              <w:t>时</w:t>
            </w:r>
            <w:r>
              <w:rPr>
                <w:rFonts w:hint="eastAsia" w:hAnsi="宋体"/>
                <w:u w:val="single"/>
              </w:rPr>
              <w:t xml:space="preserve"> 00 </w:t>
            </w:r>
            <w:r>
              <w:rPr>
                <w:rFonts w:hint="eastAsia" w:hAnsi="宋体"/>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31.6</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受理投诉方式</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snapToGrid w:val="0"/>
              <w:spacing w:line="400" w:lineRule="exact"/>
              <w:rPr>
                <w:rFonts w:hAnsi="宋体"/>
              </w:rPr>
            </w:pPr>
            <w:r>
              <w:rPr>
                <w:rFonts w:hAnsi="宋体"/>
              </w:rPr>
              <w:t>1</w:t>
            </w:r>
            <w:r>
              <w:rPr>
                <w:rFonts w:hint="eastAsia" w:hAnsi="宋体"/>
              </w:rPr>
              <w:t>、受理方式：纸质方式受理，投诉书正、副本（经过质疑的事项才可投诉）。</w:t>
            </w:r>
          </w:p>
          <w:p>
            <w:pPr>
              <w:snapToGrid w:val="0"/>
              <w:spacing w:line="400" w:lineRule="exact"/>
              <w:rPr>
                <w:rFonts w:hAnsi="宋体"/>
              </w:rPr>
            </w:pPr>
            <w:r>
              <w:rPr>
                <w:rFonts w:hAnsi="宋体"/>
              </w:rPr>
              <w:t>2</w:t>
            </w:r>
            <w:r>
              <w:rPr>
                <w:rFonts w:hint="eastAsia" w:hAnsi="宋体"/>
              </w:rPr>
              <w:t>、邮寄地址：</w:t>
            </w:r>
          </w:p>
          <w:p>
            <w:pPr>
              <w:snapToGrid w:val="0"/>
              <w:spacing w:line="400" w:lineRule="exact"/>
              <w:rPr>
                <w:rFonts w:hAnsi="宋体"/>
              </w:rPr>
            </w:pPr>
            <w:r>
              <w:rPr>
                <w:rFonts w:hint="eastAsia" w:hAnsi="宋体"/>
              </w:rPr>
              <w:t>名称：广西壮族自治区财政厅政府采购监督管理处</w:t>
            </w:r>
          </w:p>
          <w:p>
            <w:pPr>
              <w:snapToGrid w:val="0"/>
              <w:spacing w:line="400" w:lineRule="exact"/>
              <w:rPr>
                <w:rFonts w:hAnsi="宋体"/>
              </w:rPr>
            </w:pPr>
            <w:r>
              <w:rPr>
                <w:rFonts w:hint="eastAsia" w:hAnsi="宋体"/>
              </w:rPr>
              <w:t>地址：南宁市桃源路69号</w:t>
            </w:r>
          </w:p>
          <w:p>
            <w:pPr>
              <w:snapToGrid w:val="0"/>
              <w:spacing w:line="400" w:lineRule="exact"/>
              <w:rPr>
                <w:rFonts w:hAnsi="宋体" w:cs="宋体"/>
              </w:rPr>
            </w:pPr>
            <w:r>
              <w:rPr>
                <w:rFonts w:hint="eastAsia" w:hAnsi="宋体"/>
              </w:rPr>
              <w:t>联系电话：</w:t>
            </w:r>
            <w:r>
              <w:rPr>
                <w:rFonts w:hint="eastAsia" w:ascii="宋体" w:hAnsi="宋体" w:cs="宋体"/>
                <w:szCs w:val="21"/>
              </w:rPr>
              <w:t>0771-5331544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33</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采购代理费</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20"/>
              <w:snapToGrid w:val="0"/>
              <w:spacing w:line="400" w:lineRule="exact"/>
              <w:ind w:firstLine="420" w:firstLineChars="200"/>
              <w:rPr>
                <w:rFonts w:hAnsi="宋体" w:cs="宋体"/>
                <w:sz w:val="21"/>
              </w:rPr>
            </w:pPr>
            <w:r>
              <w:rPr>
                <w:rFonts w:hint="eastAsia" w:hAnsi="宋体" w:cs="宋体"/>
                <w:sz w:val="21"/>
              </w:rPr>
              <w:t>按照国家发展计划委员会《招标代理服务费管理暂行办法》(计价格(2002) 1980号收费标准、《国家发展改革委关于降低部分建设项目收费标准规范收费行为等有关问题的通知》(发改价[2011]534号)规定的基础上下浮25%收取，下浮后的代理服务费不足6000元的按6000元计取。</w:t>
            </w:r>
          </w:p>
          <w:p>
            <w:pPr>
              <w:pStyle w:val="20"/>
              <w:snapToGrid w:val="0"/>
              <w:spacing w:line="400" w:lineRule="exact"/>
              <w:ind w:firstLine="420" w:firstLineChars="200"/>
            </w:pPr>
            <w:r>
              <w:rPr>
                <w:rFonts w:hint="eastAsia" w:hAnsi="宋体" w:cs="宋体"/>
                <w:sz w:val="21"/>
              </w:rPr>
              <w:t>成交人应向采购代理机构一次付清代理服务费，否则采购代理机构有权不予以办理。</w:t>
            </w:r>
          </w:p>
          <w:p>
            <w:pPr>
              <w:pStyle w:val="20"/>
              <w:snapToGrid w:val="0"/>
              <w:spacing w:line="400" w:lineRule="exact"/>
              <w:rPr>
                <w:rFonts w:hAnsi="宋体" w:cs="宋体"/>
                <w:sz w:val="21"/>
              </w:rPr>
            </w:pPr>
            <w:r>
              <w:rPr>
                <w:rFonts w:hint="eastAsia" w:hAnsi="宋体" w:cs="宋体"/>
                <w:sz w:val="21"/>
              </w:rPr>
              <w:t>《招标代理服务费管理暂行办法》(计价格(2002) 1980号收费标准、《国家发展改革委关于降低部分建设项目收费标准规范收费行为等有关问题的通知》(发改价[2011]534号)规定的招标代理服务费收费标准：</w:t>
            </w:r>
          </w:p>
          <w:tbl>
            <w:tblPr>
              <w:tblStyle w:val="32"/>
              <w:tblW w:w="6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8"/>
              <w:gridCol w:w="1433"/>
              <w:gridCol w:w="142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158" w:type="dxa"/>
                  <w:noWrap/>
                </w:tcPr>
                <w:p>
                  <w:pPr>
                    <w:snapToGrid w:val="0"/>
                    <w:spacing w:line="360" w:lineRule="auto"/>
                    <w:rPr>
                      <w:rFonts w:ascii="宋体" w:hAnsi="宋体" w:cs="宋体"/>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-15875</wp:posOffset>
                            </wp:positionH>
                            <wp:positionV relativeFrom="paragraph">
                              <wp:posOffset>46355</wp:posOffset>
                            </wp:positionV>
                            <wp:extent cx="1316990" cy="443230"/>
                            <wp:effectExtent l="1270" t="4445" r="15240" b="9525"/>
                            <wp:wrapNone/>
                            <wp:docPr id="1" name="直接连接符 1"/>
                            <wp:cNvGraphicFramePr/>
                            <a:graphic xmlns:a="http://schemas.openxmlformats.org/drawingml/2006/main">
                              <a:graphicData uri="http://schemas.microsoft.com/office/word/2010/wordprocessingShape">
                                <wps:wsp>
                                  <wps:cNvCnPr/>
                                  <wps:spPr>
                                    <a:xfrm>
                                      <a:off x="0" y="0"/>
                                      <a:ext cx="1803400" cy="480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25pt;margin-top:3.65pt;height:34.9pt;width:103.7pt;z-index:251659264;mso-width-relative:page;mso-height-relative:page;" filled="f" stroked="t" coordsize="21600,21600" o:gfxdata="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M5V/VAAAABwEAAA8AAAAAAAAAAQAgAAAAIgAAAGRycy9kb3ducmV2LnhtbFBLAQIU&#10;ABQAAAAIAIdO4kBnUHdJ9gEAAOsDAAAOAAAAAAAAAAEAIAAAACQBAABkcnMvZTJvRG9jLnhtbFBL&#10;BQYAAAAABgAGAFkBAACMBQAAAAA=&#10;">
                            <v:fill on="f" focussize="0,0"/>
                            <v:stroke color="#000000" joinstyle="round"/>
                            <v:imagedata o:title=""/>
                            <o:lock v:ext="edit" aspectratio="f"/>
                          </v:line>
                        </w:pict>
                      </mc:Fallback>
                    </mc:AlternateContent>
                  </w:r>
                  <w:r>
                    <w:rPr>
                      <w:rFonts w:hint="eastAsia" w:ascii="宋体" w:hAnsi="宋体" w:cs="宋体"/>
                    </w:rPr>
                    <w:t xml:space="preserve">          费率</w:t>
                  </w:r>
                </w:p>
                <w:p>
                  <w:pPr>
                    <w:snapToGrid w:val="0"/>
                    <w:spacing w:line="360" w:lineRule="auto"/>
                    <w:rPr>
                      <w:rFonts w:ascii="宋体" w:hAnsi="宋体" w:cs="宋体"/>
                    </w:rPr>
                  </w:pPr>
                  <w:r>
                    <w:rPr>
                      <w:rFonts w:hint="eastAsia" w:ascii="宋体" w:hAnsi="宋体" w:cs="宋体"/>
                    </w:rPr>
                    <w:t>中标金额</w:t>
                  </w:r>
                </w:p>
              </w:tc>
              <w:tc>
                <w:tcPr>
                  <w:tcW w:w="1433" w:type="dxa"/>
                  <w:noWrap/>
                  <w:vAlign w:val="center"/>
                </w:tcPr>
                <w:p>
                  <w:pPr>
                    <w:snapToGrid w:val="0"/>
                    <w:spacing w:line="360" w:lineRule="auto"/>
                    <w:ind w:firstLine="105" w:firstLineChars="50"/>
                    <w:jc w:val="center"/>
                    <w:rPr>
                      <w:rFonts w:ascii="宋体" w:hAnsi="宋体" w:cs="宋体"/>
                    </w:rPr>
                  </w:pPr>
                  <w:r>
                    <w:rPr>
                      <w:rFonts w:hint="eastAsia" w:ascii="宋体" w:hAnsi="宋体" w:cs="宋体"/>
                    </w:rPr>
                    <w:t>货物招标</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服务招标</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100万元以下</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1.5%</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1.5%</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100～500万元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1.1%</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0.8%</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500～1000万元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0.8%</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0.45%</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1000～5000万元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0.5%</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0.25%</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5000万元～1亿元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kern w:val="0"/>
                    </w:rPr>
                    <w:t>0.25%</w:t>
                  </w:r>
                </w:p>
              </w:tc>
              <w:tc>
                <w:tcPr>
                  <w:tcW w:w="1425" w:type="dxa"/>
                  <w:noWrap/>
                  <w:vAlign w:val="center"/>
                </w:tcPr>
                <w:p>
                  <w:pPr>
                    <w:snapToGrid w:val="0"/>
                    <w:spacing w:line="360" w:lineRule="auto"/>
                    <w:jc w:val="center"/>
                    <w:rPr>
                      <w:rFonts w:ascii="宋体" w:hAnsi="宋体" w:cs="宋体"/>
                    </w:rPr>
                  </w:pPr>
                  <w:r>
                    <w:rPr>
                      <w:rFonts w:hint="eastAsia" w:ascii="宋体" w:hAnsi="宋体" w:cs="宋体"/>
                      <w:kern w:val="0"/>
                    </w:rPr>
                    <w:t>0.1%</w:t>
                  </w:r>
                </w:p>
              </w:tc>
              <w:tc>
                <w:tcPr>
                  <w:tcW w:w="1302" w:type="dxa"/>
                  <w:noWrap/>
                  <w:vAlign w:val="center"/>
                </w:tcPr>
                <w:p>
                  <w:pPr>
                    <w:snapToGrid w:val="0"/>
                    <w:spacing w:line="360" w:lineRule="auto"/>
                    <w:jc w:val="center"/>
                    <w:rPr>
                      <w:rFonts w:ascii="宋体" w:hAnsi="宋体" w:cs="宋体"/>
                    </w:rPr>
                  </w:pPr>
                  <w:r>
                    <w:rPr>
                      <w:rFonts w:hint="eastAsia" w:ascii="宋体" w:hAnsi="宋体" w:cs="宋体"/>
                      <w:kern w:val="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1～5亿元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0.05%</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0.05%</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5～10亿元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0.035%</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0.035%</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10～50亿元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0.008%</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0.008%</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50～100亿元</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0.006%</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0.006%</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158" w:type="dxa"/>
                  <w:noWrap/>
                  <w:vAlign w:val="center"/>
                </w:tcPr>
                <w:p>
                  <w:pPr>
                    <w:snapToGrid w:val="0"/>
                    <w:spacing w:line="360" w:lineRule="auto"/>
                    <w:rPr>
                      <w:rFonts w:ascii="宋体" w:hAnsi="宋体" w:cs="宋体"/>
                    </w:rPr>
                  </w:pPr>
                  <w:r>
                    <w:rPr>
                      <w:rFonts w:hint="eastAsia" w:ascii="宋体" w:hAnsi="宋体" w:cs="宋体"/>
                    </w:rPr>
                    <w:t>100亿以上</w:t>
                  </w:r>
                </w:p>
              </w:tc>
              <w:tc>
                <w:tcPr>
                  <w:tcW w:w="1433" w:type="dxa"/>
                  <w:noWrap/>
                  <w:vAlign w:val="center"/>
                </w:tcPr>
                <w:p>
                  <w:pPr>
                    <w:snapToGrid w:val="0"/>
                    <w:spacing w:line="360" w:lineRule="auto"/>
                    <w:jc w:val="center"/>
                    <w:rPr>
                      <w:rFonts w:ascii="宋体" w:hAnsi="宋体" w:cs="宋体"/>
                    </w:rPr>
                  </w:pPr>
                  <w:r>
                    <w:rPr>
                      <w:rFonts w:hint="eastAsia" w:ascii="宋体" w:hAnsi="宋体" w:cs="宋体"/>
                    </w:rPr>
                    <w:t>0.004%</w:t>
                  </w:r>
                </w:p>
              </w:tc>
              <w:tc>
                <w:tcPr>
                  <w:tcW w:w="1425" w:type="dxa"/>
                  <w:noWrap/>
                  <w:vAlign w:val="center"/>
                </w:tcPr>
                <w:p>
                  <w:pPr>
                    <w:snapToGrid w:val="0"/>
                    <w:spacing w:line="360" w:lineRule="auto"/>
                    <w:jc w:val="center"/>
                    <w:rPr>
                      <w:rFonts w:ascii="宋体" w:hAnsi="宋体" w:cs="宋体"/>
                    </w:rPr>
                  </w:pPr>
                  <w:r>
                    <w:rPr>
                      <w:rFonts w:hint="eastAsia" w:ascii="宋体" w:hAnsi="宋体" w:cs="宋体"/>
                    </w:rPr>
                    <w:t>0.004%</w:t>
                  </w:r>
                </w:p>
              </w:tc>
              <w:tc>
                <w:tcPr>
                  <w:tcW w:w="1302" w:type="dxa"/>
                  <w:noWrap/>
                  <w:vAlign w:val="center"/>
                </w:tcPr>
                <w:p>
                  <w:pPr>
                    <w:snapToGrid w:val="0"/>
                    <w:spacing w:line="360" w:lineRule="auto"/>
                    <w:jc w:val="center"/>
                    <w:rPr>
                      <w:rFonts w:ascii="宋体" w:hAnsi="宋体" w:cs="宋体"/>
                    </w:rPr>
                  </w:pPr>
                  <w:r>
                    <w:rPr>
                      <w:rFonts w:hint="eastAsia" w:ascii="宋体" w:hAnsi="宋体" w:cs="宋体"/>
                    </w:rPr>
                    <w:t>0.004%</w:t>
                  </w:r>
                </w:p>
              </w:tc>
            </w:tr>
          </w:tbl>
          <w:p>
            <w:pPr>
              <w:pStyle w:val="20"/>
              <w:snapToGrid w:val="0"/>
              <w:spacing w:line="400" w:lineRule="exact"/>
              <w:rPr>
                <w:rFonts w:hAnsi="宋体" w:cs="宋体"/>
                <w:sz w:val="21"/>
              </w:rPr>
            </w:pPr>
          </w:p>
          <w:p>
            <w:pPr>
              <w:pStyle w:val="20"/>
              <w:snapToGrid w:val="0"/>
              <w:spacing w:line="400" w:lineRule="exact"/>
              <w:rPr>
                <w:rFonts w:hAnsi="宋体" w:cs="宋体"/>
                <w:sz w:val="21"/>
              </w:rPr>
            </w:pPr>
            <w:r>
              <w:rPr>
                <w:rFonts w:hint="eastAsia" w:hAnsi="宋体" w:cs="宋体"/>
                <w:sz w:val="21"/>
              </w:rPr>
              <w:t>注：招标代理服务收费按差额定率累进法计算。</w:t>
            </w:r>
          </w:p>
          <w:p>
            <w:pPr>
              <w:pStyle w:val="20"/>
              <w:snapToGrid w:val="0"/>
              <w:spacing w:line="400" w:lineRule="exact"/>
              <w:rPr>
                <w:rFonts w:hAnsi="宋体" w:cs="宋体"/>
                <w:sz w:val="21"/>
              </w:rPr>
            </w:pPr>
            <w:r>
              <w:rPr>
                <w:rFonts w:hint="eastAsia" w:hAnsi="宋体" w:cs="宋体"/>
                <w:sz w:val="21"/>
              </w:rPr>
              <w:t>采购代理费收取银行账户</w:t>
            </w:r>
          </w:p>
          <w:p>
            <w:pPr>
              <w:pStyle w:val="20"/>
              <w:snapToGrid w:val="0"/>
              <w:spacing w:line="400" w:lineRule="exact"/>
              <w:rPr>
                <w:rFonts w:hAnsi="宋体" w:cs="宋体"/>
                <w:sz w:val="21"/>
              </w:rPr>
            </w:pPr>
            <w:r>
              <w:rPr>
                <w:rFonts w:hint="eastAsia" w:hAnsi="宋体" w:cs="宋体"/>
                <w:sz w:val="21"/>
              </w:rPr>
              <w:t>账户名称：华夏城投项目管理有限公司广西分公司</w:t>
            </w:r>
          </w:p>
          <w:p>
            <w:pPr>
              <w:pStyle w:val="20"/>
              <w:snapToGrid w:val="0"/>
              <w:spacing w:line="400" w:lineRule="exact"/>
              <w:rPr>
                <w:rFonts w:hAnsi="宋体" w:cs="宋体"/>
                <w:sz w:val="21"/>
              </w:rPr>
            </w:pPr>
            <w:r>
              <w:rPr>
                <w:rFonts w:hint="eastAsia" w:hAnsi="宋体" w:cs="宋体"/>
                <w:sz w:val="21"/>
              </w:rPr>
              <w:t>开户银行：中国建设银行股份有限公司南宁五象支行</w:t>
            </w:r>
          </w:p>
          <w:p>
            <w:pPr>
              <w:pStyle w:val="20"/>
              <w:snapToGrid w:val="0"/>
              <w:spacing w:line="400" w:lineRule="exact"/>
              <w:rPr>
                <w:rFonts w:hAnsi="宋体" w:cs="宋体"/>
              </w:rPr>
            </w:pPr>
            <w:r>
              <w:rPr>
                <w:rFonts w:hint="eastAsia" w:hAnsi="宋体" w:cs="宋体"/>
                <w:sz w:val="21"/>
              </w:rPr>
              <w:t xml:space="preserve">银行账号：45050160500100000030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34.1</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hAnsi="宋体"/>
              </w:rPr>
              <w:t>解释</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20"/>
              <w:snapToGrid w:val="0"/>
              <w:spacing w:line="400" w:lineRule="exact"/>
              <w:rPr>
                <w:rFonts w:hAnsi="宋体" w:cs="宋体"/>
                <w:b/>
                <w:sz w:val="21"/>
              </w:rPr>
            </w:pPr>
            <w:r>
              <w:rPr>
                <w:rFonts w:hint="eastAsia" w:hAnsi="宋体" w:cs="宋体"/>
                <w:b/>
                <w:sz w:val="21"/>
              </w:rPr>
              <w:t>解释权：</w:t>
            </w:r>
            <w:r>
              <w:rPr>
                <w:rFonts w:hint="eastAsia" w:hAnsi="宋体" w:cs="宋体"/>
                <w:sz w:val="21"/>
              </w:rPr>
              <w:t>构成本磋商文件的各个组成文件应互为解释，互为说明；除磋商文件中有特别规定外，仅适用于竞标阶段的规定，按更正公告（澄清公告）、竞争性磋商公告、供应商须知、采购需求、评审程序、评审方法和评审标准、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w:t>
            </w:r>
            <w:r>
              <w:rPr>
                <w:rFonts w:hint="eastAsia" w:hAnsi="宋体" w:cs="宋体"/>
                <w:b/>
                <w:sz w:val="21"/>
              </w:rPr>
              <w:t>由采购人或者采购代理机构负责解释。</w:t>
            </w:r>
          </w:p>
          <w:p>
            <w:pPr>
              <w:pStyle w:val="20"/>
              <w:snapToGrid w:val="0"/>
              <w:spacing w:line="400" w:lineRule="exact"/>
              <w:rPr>
                <w:rFonts w:hAnsi="宋体" w:cs="宋体"/>
                <w:b/>
                <w:sz w:val="21"/>
              </w:rPr>
            </w:pPr>
            <w:r>
              <w:rPr>
                <w:rFonts w:hint="eastAsia" w:hAnsi="宋体" w:cs="宋体"/>
                <w:b/>
                <w:sz w:val="21"/>
              </w:rPr>
              <w:t>法律责任：</w:t>
            </w:r>
          </w:p>
          <w:p>
            <w:pPr>
              <w:pStyle w:val="20"/>
              <w:snapToGrid w:val="0"/>
              <w:spacing w:line="400" w:lineRule="exact"/>
              <w:rPr>
                <w:rFonts w:hAnsi="宋体" w:cs="宋体"/>
                <w:sz w:val="21"/>
              </w:rPr>
            </w:pPr>
            <w:r>
              <w:rPr>
                <w:rFonts w:hint="eastAsia" w:hAnsi="宋体" w:cs="宋体"/>
                <w:b/>
                <w:sz w:val="21"/>
              </w:rPr>
              <w:t>1.</w:t>
            </w:r>
            <w:r>
              <w:rPr>
                <w:rFonts w:hint="eastAsia" w:hAnsi="宋体" w:cs="宋体"/>
                <w:sz w:val="21"/>
              </w:rPr>
              <w:t>本采购文件根据《中华人民共和国政府采购法》、《中华人民共和国民法典》；《中华人民共和国政府采购法实施条例》、《政府采购竞争性磋商采购方式管理暂行办法》等有关法律、法规编制，参与本项目的各政府采购当事人依法享有上述法律法规所赋予的权利与义务。</w:t>
            </w:r>
          </w:p>
          <w:p>
            <w:pPr>
              <w:snapToGrid w:val="0"/>
              <w:spacing w:line="360" w:lineRule="auto"/>
              <w:rPr>
                <w:rFonts w:hAnsi="宋体" w:cs="宋体"/>
              </w:rPr>
            </w:pPr>
            <w:r>
              <w:rPr>
                <w:rFonts w:hAnsi="宋体" w:cs="宋体"/>
                <w:b/>
              </w:rPr>
              <w:t>2.</w:t>
            </w:r>
            <w:r>
              <w:rPr>
                <w:rFonts w:hint="eastAsia" w:ascii="宋体" w:hAnsi="宋体"/>
                <w:b/>
                <w:szCs w:val="21"/>
              </w:rPr>
              <w:t xml:space="preserve"> 本项目采购代理机构应严格按照“广西政采云”平台项目采购全流程电子化电子开评标规程执行项目采购活动，代理机构在“广西政采云”平台的“项目管理”—“采购文件管理”内开评标规则设置作为本采购文件的组成部分，截标之后不可更改，因代理机构开评标规则设置错误导致采购活动无法开展下去的情况，由代理机构负责解释并承担其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ascii="宋体" w:hAnsi="宋体" w:cs="宋体"/>
                <w:szCs w:val="21"/>
              </w:rPr>
            </w:pPr>
            <w:r>
              <w:rPr>
                <w:rFonts w:hint="eastAsia" w:ascii="宋体" w:hAnsi="宋体" w:cs="宋体"/>
                <w:szCs w:val="21"/>
              </w:rPr>
              <w:t>34.2</w:t>
            </w:r>
          </w:p>
        </w:tc>
        <w:tc>
          <w:tcPr>
            <w:tcW w:w="2785"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auto"/>
              <w:jc w:val="center"/>
              <w:rPr>
                <w:rFonts w:ascii="宋体" w:hAnsi="宋体" w:cs="宋体"/>
                <w:szCs w:val="21"/>
              </w:rPr>
            </w:pPr>
            <w:r>
              <w:rPr>
                <w:rFonts w:hint="eastAsia" w:ascii="宋体" w:hAnsi="宋体" w:cs="宋体"/>
                <w:szCs w:val="21"/>
              </w:rPr>
              <w:t>其他</w:t>
            </w:r>
          </w:p>
        </w:tc>
        <w:tc>
          <w:tcPr>
            <w:tcW w:w="6850" w:type="dxa"/>
            <w:tcBorders>
              <w:top w:val="single" w:color="000000" w:sz="4" w:space="0"/>
              <w:left w:val="single" w:color="000000" w:sz="4" w:space="0"/>
              <w:bottom w:val="single" w:color="000000" w:sz="4" w:space="0"/>
              <w:right w:val="single" w:color="000000" w:sz="4" w:space="0"/>
            </w:tcBorders>
            <w:noWrap/>
            <w:vAlign w:val="center"/>
          </w:tcPr>
          <w:p>
            <w:pPr>
              <w:pStyle w:val="20"/>
              <w:snapToGrid w:val="0"/>
              <w:spacing w:line="400" w:lineRule="exact"/>
              <w:rPr>
                <w:rFonts w:hAnsi="宋体" w:cs="宋体"/>
                <w:sz w:val="21"/>
              </w:rPr>
            </w:pPr>
            <w:r>
              <w:rPr>
                <w:rFonts w:hint="eastAsia" w:hAnsi="宋体" w:cs="宋体"/>
                <w:sz w:val="21"/>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w:t>
            </w:r>
          </w:p>
          <w:p>
            <w:pPr>
              <w:pStyle w:val="20"/>
              <w:snapToGrid w:val="0"/>
              <w:spacing w:line="400" w:lineRule="exact"/>
              <w:rPr>
                <w:rFonts w:hAnsi="宋体" w:cs="宋体"/>
                <w:sz w:val="21"/>
              </w:rPr>
            </w:pPr>
            <w:r>
              <w:rPr>
                <w:rFonts w:hint="eastAsia" w:hAnsi="宋体" w:cs="宋体"/>
                <w:sz w:val="21"/>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pStyle w:val="20"/>
              <w:snapToGrid w:val="0"/>
              <w:spacing w:line="400" w:lineRule="exact"/>
              <w:rPr>
                <w:rFonts w:hAnsi="宋体" w:cs="宋体"/>
                <w:sz w:val="21"/>
              </w:rPr>
            </w:pPr>
            <w:r>
              <w:rPr>
                <w:rFonts w:hint="eastAsia" w:hAnsi="宋体" w:cs="宋体"/>
                <w:sz w:val="21"/>
              </w:rPr>
              <w:t>3.本磋商文件中描述供应商的“签字”是指供应商的法定代表人或者委托代理人亲自在文件规定签署处亲笔写上个人的名字的行为，私章、签字章、印鉴、影印等其他形式均不能代替亲笔签字。</w:t>
            </w:r>
          </w:p>
          <w:p>
            <w:pPr>
              <w:pStyle w:val="20"/>
              <w:snapToGrid w:val="0"/>
              <w:spacing w:line="400" w:lineRule="exact"/>
              <w:rPr>
                <w:rFonts w:hAnsi="宋体" w:cs="宋体"/>
                <w:sz w:val="21"/>
              </w:rPr>
            </w:pPr>
            <w:r>
              <w:rPr>
                <w:rFonts w:hint="eastAsia" w:hAnsi="宋体" w:cs="宋体"/>
                <w:sz w:val="21"/>
              </w:rPr>
              <w:t>4.自然人竞标的，磋商文件规定盖公章处由自然人摁手指指印。</w:t>
            </w:r>
          </w:p>
          <w:p>
            <w:pPr>
              <w:pStyle w:val="20"/>
              <w:snapToGrid w:val="0"/>
              <w:spacing w:line="400" w:lineRule="exact"/>
              <w:rPr>
                <w:rFonts w:hAnsi="宋体" w:cs="宋体"/>
              </w:rPr>
            </w:pPr>
            <w:r>
              <w:rPr>
                <w:rFonts w:hint="eastAsia" w:hAnsi="宋体" w:cs="宋体"/>
                <w:sz w:val="21"/>
              </w:rPr>
              <w:t>5.本磋商文件所称的“以上”“以下”“以内”“届满”，包括本数；所称的“不满”“超过”“以外”，不包括本数。</w:t>
            </w:r>
          </w:p>
        </w:tc>
      </w:tr>
    </w:tbl>
    <w:p>
      <w:pPr>
        <w:spacing w:line="400" w:lineRule="exact"/>
        <w:jc w:val="cente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供应商须知正文</w:t>
      </w:r>
    </w:p>
    <w:p>
      <w:pPr>
        <w:spacing w:line="400" w:lineRule="exact"/>
        <w:jc w:val="center"/>
        <w:rPr>
          <w:rFonts w:ascii="宋体" w:hAnsi="宋体" w:cs="宋体"/>
          <w:b/>
          <w:sz w:val="32"/>
          <w:szCs w:val="32"/>
        </w:rPr>
      </w:pPr>
    </w:p>
    <w:p>
      <w:pPr>
        <w:pStyle w:val="7"/>
        <w:spacing w:before="0" w:after="0" w:line="360" w:lineRule="auto"/>
        <w:ind w:firstLine="640" w:firstLineChars="200"/>
        <w:rPr>
          <w:rFonts w:ascii="宋体" w:hAnsi="宋体"/>
          <w:b w:val="0"/>
        </w:rPr>
      </w:pPr>
      <w:bookmarkStart w:id="34" w:name="_Toc8899"/>
      <w:r>
        <w:rPr>
          <w:rFonts w:hint="eastAsia" w:ascii="宋体" w:hAnsi="宋体"/>
          <w:b w:val="0"/>
        </w:rPr>
        <w:t>一、总则</w:t>
      </w:r>
      <w:bookmarkEnd w:id="34"/>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1.适用范围</w:t>
      </w:r>
    </w:p>
    <w:p>
      <w:pPr>
        <w:spacing w:line="360" w:lineRule="auto"/>
        <w:ind w:firstLine="420" w:firstLineChars="200"/>
        <w:rPr>
          <w:rFonts w:ascii="宋体" w:hAnsi="宋体" w:cs="宋体"/>
          <w:szCs w:val="21"/>
        </w:rPr>
      </w:pPr>
      <w:r>
        <w:rPr>
          <w:rFonts w:hint="eastAsia" w:ascii="宋体" w:hAnsi="宋体" w:cs="宋体"/>
          <w:szCs w:val="21"/>
        </w:rPr>
        <w:t>1.1本项目采购人、采购代理机构、供应商、磋商小组的相关行为均受《中华人民共和国政府采购法》《中华人民共和国政府采购法实施条例》</w:t>
      </w:r>
      <w:r>
        <w:rPr>
          <w:rFonts w:hint="eastAsia" w:ascii="宋体" w:hAnsi="宋体"/>
          <w:szCs w:val="21"/>
        </w:rPr>
        <w:t>《政府采购竞争性磋商采购方式管理暂行办法》《财政部关于政府采购竞争性磋商采购方式管理暂行办法有关问题的补充通知》</w:t>
      </w:r>
      <w:r>
        <w:rPr>
          <w:rFonts w:hint="eastAsia" w:ascii="宋体" w:hAnsi="宋体" w:cs="宋体"/>
          <w:szCs w:val="21"/>
        </w:rPr>
        <w:t>及本项目本级和上级财政部门政府采购有关规定的约束和保护。</w:t>
      </w:r>
    </w:p>
    <w:p>
      <w:pPr>
        <w:spacing w:line="360" w:lineRule="auto"/>
        <w:ind w:firstLine="420" w:firstLineChars="200"/>
        <w:rPr>
          <w:rFonts w:ascii="宋体" w:hAnsi="宋体" w:cs="宋体"/>
          <w:szCs w:val="21"/>
        </w:rPr>
      </w:pPr>
      <w:r>
        <w:rPr>
          <w:rFonts w:hint="eastAsia" w:ascii="宋体" w:hAnsi="宋体" w:cs="宋体"/>
          <w:szCs w:val="21"/>
        </w:rPr>
        <w:t>1.2</w:t>
      </w:r>
      <w:r>
        <w:rPr>
          <w:rFonts w:hint="eastAsia" w:ascii="宋体" w:hAnsi="宋体" w:cs="宋体"/>
          <w:spacing w:val="-6"/>
          <w:szCs w:val="21"/>
        </w:rPr>
        <w:t>本竞争性磋商文件（以下简称磋商文件）适用于本项目的所有采购程序和环节（法律、法规另有规定的，从其规定）。</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2.定义</w:t>
      </w:r>
    </w:p>
    <w:p>
      <w:pPr>
        <w:spacing w:line="360" w:lineRule="auto"/>
        <w:ind w:firstLine="420" w:firstLineChars="200"/>
        <w:rPr>
          <w:rFonts w:ascii="宋体" w:hAnsi="宋体" w:cs="宋体"/>
          <w:szCs w:val="21"/>
        </w:rPr>
      </w:pPr>
      <w:r>
        <w:rPr>
          <w:rFonts w:hint="eastAsia" w:ascii="宋体" w:hAnsi="宋体" w:cs="宋体"/>
          <w:szCs w:val="21"/>
        </w:rPr>
        <w:t>2.1“采购人”是指依法进行政府采购的国家机关、事业单位、团体组织。</w:t>
      </w:r>
    </w:p>
    <w:p>
      <w:pPr>
        <w:spacing w:line="360" w:lineRule="auto"/>
        <w:ind w:firstLine="420" w:firstLineChars="200"/>
        <w:rPr>
          <w:rFonts w:ascii="宋体" w:hAnsi="宋体" w:cs="宋体"/>
          <w:szCs w:val="21"/>
          <w:u w:val="single"/>
        </w:rPr>
      </w:pPr>
      <w:r>
        <w:rPr>
          <w:rFonts w:hint="eastAsia" w:ascii="宋体" w:hAnsi="宋体" w:cs="宋体"/>
          <w:szCs w:val="21"/>
        </w:rPr>
        <w:t>2.2“采购代理机构”是指政府采购集中采购机构和集中采购机构以外的采购代理机构。</w:t>
      </w:r>
    </w:p>
    <w:p>
      <w:pPr>
        <w:spacing w:line="360" w:lineRule="auto"/>
        <w:ind w:firstLine="420" w:firstLineChars="200"/>
        <w:rPr>
          <w:rFonts w:ascii="宋体" w:hAnsi="宋体" w:cs="宋体"/>
          <w:szCs w:val="21"/>
        </w:rPr>
      </w:pPr>
      <w:r>
        <w:rPr>
          <w:rFonts w:hint="eastAsia" w:ascii="宋体" w:hAnsi="宋体" w:cs="宋体"/>
          <w:szCs w:val="21"/>
        </w:rPr>
        <w:t>2.3“供应商”是指向采购人提供货物、工程或者服务的法人、其他组织或者自然人。</w:t>
      </w:r>
    </w:p>
    <w:p>
      <w:pPr>
        <w:spacing w:line="360" w:lineRule="auto"/>
        <w:ind w:firstLine="420" w:firstLineChars="200"/>
        <w:rPr>
          <w:rFonts w:ascii="宋体" w:hAnsi="宋体" w:cs="宋体"/>
          <w:szCs w:val="21"/>
        </w:rPr>
      </w:pPr>
      <w:r>
        <w:rPr>
          <w:rFonts w:hint="eastAsia" w:ascii="宋体" w:hAnsi="宋体"/>
          <w:szCs w:val="21"/>
        </w:rPr>
        <w:t>2.4“服务”是指除货物和工程以外的其他政府采购对象。</w:t>
      </w:r>
    </w:p>
    <w:p>
      <w:pPr>
        <w:spacing w:line="360" w:lineRule="auto"/>
        <w:ind w:firstLine="420" w:firstLineChars="200"/>
        <w:rPr>
          <w:rFonts w:ascii="宋体" w:hAnsi="宋体" w:cs="宋体"/>
          <w:szCs w:val="21"/>
        </w:rPr>
      </w:pPr>
      <w:r>
        <w:rPr>
          <w:rFonts w:hint="eastAsia" w:ascii="宋体" w:hAnsi="宋体" w:cs="宋体"/>
          <w:szCs w:val="21"/>
        </w:rPr>
        <w:t>2.5“竞标”是指供应商按照本项目竞争性磋商公告或者邀请函规定的方式获取磋商文件、提交响应文件并希望获得标的的行为。</w:t>
      </w:r>
    </w:p>
    <w:p>
      <w:pPr>
        <w:spacing w:line="360" w:lineRule="auto"/>
        <w:ind w:firstLine="420" w:firstLineChars="200"/>
        <w:rPr>
          <w:rFonts w:ascii="宋体" w:hAnsi="宋体" w:cs="宋体"/>
          <w:szCs w:val="21"/>
        </w:rPr>
      </w:pPr>
      <w:r>
        <w:rPr>
          <w:rFonts w:hint="eastAsia" w:ascii="宋体" w:hAnsi="宋体" w:cs="宋体"/>
          <w:szCs w:val="21"/>
        </w:rPr>
        <w:t>2.6“响应文件”</w:t>
      </w:r>
      <w:r>
        <w:rPr>
          <w:rFonts w:hint="eastAsia" w:ascii="宋体" w:hAnsi="宋体" w:cs="宋体"/>
          <w:spacing w:val="-6"/>
          <w:szCs w:val="21"/>
        </w:rPr>
        <w:t>是指：供应商根据本磋商文件要求，编制包含资格证明、报价商务技术等所有内容的文件。</w:t>
      </w:r>
    </w:p>
    <w:p>
      <w:pPr>
        <w:spacing w:line="360" w:lineRule="auto"/>
        <w:ind w:firstLine="420" w:firstLineChars="200"/>
        <w:rPr>
          <w:rFonts w:ascii="宋体" w:hAnsi="宋体" w:cs="宋体"/>
          <w:szCs w:val="21"/>
        </w:rPr>
      </w:pPr>
      <w:r>
        <w:rPr>
          <w:rFonts w:hint="eastAsia" w:ascii="宋体" w:hAnsi="宋体" w:cs="宋体"/>
          <w:szCs w:val="21"/>
        </w:rPr>
        <w:t>2.7“实质性要求”是指磋商文件中已经指明不满足则响应文件按无效响应处理的条款，或者不能负偏离的条款，或者采购需求中带“▲”的条款。</w:t>
      </w:r>
    </w:p>
    <w:p>
      <w:pPr>
        <w:spacing w:line="360" w:lineRule="auto"/>
        <w:ind w:firstLine="420" w:firstLineChars="200"/>
        <w:rPr>
          <w:rFonts w:ascii="宋体" w:hAnsi="宋体" w:cs="宋体"/>
          <w:szCs w:val="21"/>
        </w:rPr>
      </w:pPr>
      <w:r>
        <w:rPr>
          <w:rFonts w:hint="eastAsia" w:ascii="宋体" w:hAnsi="宋体" w:cs="宋体"/>
          <w:szCs w:val="21"/>
        </w:rPr>
        <w:t>2.8“正偏离”，是指响应文件对磋商文件“采购需求”中有关条款作出的响应优于条款要求并有利于采购人的情形。</w:t>
      </w:r>
    </w:p>
    <w:p>
      <w:pPr>
        <w:spacing w:line="360" w:lineRule="auto"/>
        <w:ind w:firstLine="420" w:firstLineChars="200"/>
        <w:rPr>
          <w:rFonts w:ascii="宋体" w:hAnsi="宋体" w:cs="宋体"/>
          <w:szCs w:val="21"/>
        </w:rPr>
      </w:pPr>
      <w:r>
        <w:rPr>
          <w:rFonts w:hint="eastAsia" w:ascii="宋体" w:hAnsi="宋体" w:cs="宋体"/>
          <w:szCs w:val="21"/>
        </w:rPr>
        <w:t>2.9“负偏离”，是指响应文件对磋商文件“采购需求”中有关条款作出的响应不满足条款要求，导致采购人要求不能得到满足的情形。</w:t>
      </w:r>
    </w:p>
    <w:p>
      <w:pPr>
        <w:spacing w:line="360" w:lineRule="auto"/>
        <w:ind w:firstLine="420" w:firstLineChars="200"/>
        <w:rPr>
          <w:rFonts w:ascii="宋体" w:hAnsi="宋体" w:cs="宋体"/>
          <w:szCs w:val="21"/>
        </w:rPr>
      </w:pPr>
      <w:r>
        <w:rPr>
          <w:rFonts w:hint="eastAsia" w:ascii="宋体" w:hAnsi="宋体" w:cs="宋体"/>
          <w:szCs w:val="21"/>
        </w:rPr>
        <w:t>2.10“允许负偏离的条款”是指采购需求中的不属于“实质性要求”的条款。</w:t>
      </w:r>
    </w:p>
    <w:p>
      <w:pPr>
        <w:spacing w:line="360" w:lineRule="auto"/>
        <w:ind w:firstLine="420" w:firstLineChars="200"/>
        <w:rPr>
          <w:rFonts w:ascii="宋体" w:hAnsi="宋体" w:cs="宋体"/>
          <w:szCs w:val="21"/>
        </w:rPr>
      </w:pPr>
      <w:r>
        <w:rPr>
          <w:rFonts w:hint="eastAsia" w:ascii="宋体" w:hAnsi="宋体" w:cs="宋体"/>
          <w:szCs w:val="21"/>
        </w:rPr>
        <w:t>2.11“书面形式”是指合同书、信件和数据电文（包括电报、电传、传真、电子数据交换和电子邮件）等可以有形地表现所载内容的形式。</w:t>
      </w:r>
    </w:p>
    <w:p>
      <w:pPr>
        <w:spacing w:line="360" w:lineRule="auto"/>
        <w:ind w:firstLine="420" w:firstLineChars="200"/>
        <w:rPr>
          <w:rFonts w:ascii="宋体" w:hAnsi="宋体" w:cs="宋体"/>
          <w:szCs w:val="21"/>
        </w:rPr>
      </w:pPr>
      <w:r>
        <w:rPr>
          <w:rFonts w:hint="eastAsia" w:ascii="宋体" w:hAnsi="宋体" w:cs="宋体"/>
          <w:szCs w:val="21"/>
        </w:rPr>
        <w:t>2.12“首次报价”是指供应商提交的首次响应文件中的报价。</w:t>
      </w:r>
    </w:p>
    <w:p>
      <w:pPr>
        <w:spacing w:line="360" w:lineRule="auto"/>
        <w:ind w:firstLine="420" w:firstLineChars="200"/>
        <w:rPr>
          <w:rFonts w:ascii="宋体" w:hAnsi="宋体" w:cs="宋体"/>
          <w:szCs w:val="21"/>
        </w:rPr>
      </w:pPr>
      <w:r>
        <w:rPr>
          <w:rFonts w:hint="eastAsia" w:ascii="宋体" w:hAnsi="宋体" w:cs="宋体"/>
          <w:szCs w:val="21"/>
        </w:rPr>
        <w:t>2.13“评审报价”是指供应商提交的最后报价并经修正（如有）和政策功能价格扣除（如有）后的价格。</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3.供应商的资格条件</w:t>
      </w:r>
    </w:p>
    <w:p>
      <w:pPr>
        <w:spacing w:line="360" w:lineRule="auto"/>
        <w:ind w:firstLine="420" w:firstLineChars="200"/>
        <w:rPr>
          <w:rFonts w:ascii="宋体" w:hAnsi="宋体" w:cs="宋体"/>
          <w:szCs w:val="21"/>
        </w:rPr>
      </w:pPr>
      <w:r>
        <w:rPr>
          <w:rFonts w:hint="eastAsia" w:ascii="宋体" w:hAnsi="宋体" w:cs="宋体"/>
          <w:szCs w:val="21"/>
        </w:rPr>
        <w:t>供应商的资格条件详见“供应商须知前附表”。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4.磋商费用</w:t>
      </w:r>
    </w:p>
    <w:p>
      <w:pPr>
        <w:spacing w:line="360" w:lineRule="auto"/>
        <w:ind w:firstLine="420" w:firstLineChars="200"/>
        <w:rPr>
          <w:rFonts w:ascii="宋体" w:hAnsi="宋体" w:cs="宋体"/>
          <w:szCs w:val="21"/>
        </w:rPr>
      </w:pPr>
      <w:r>
        <w:rPr>
          <w:rFonts w:hint="eastAsia" w:ascii="宋体" w:hAnsi="宋体" w:cs="宋体"/>
          <w:szCs w:val="21"/>
        </w:rPr>
        <w:t>供应商应承担参与本次采购活动有关的所有费用，包括但不限于、勘查现场、编制和提交响应文件、参加磋商与应答、签订合同等，不论竞标结果如何，均应自行承担。</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5.联合体竞标</w:t>
      </w:r>
    </w:p>
    <w:p>
      <w:pPr>
        <w:spacing w:line="360" w:lineRule="auto"/>
        <w:ind w:firstLine="420" w:firstLineChars="200"/>
        <w:rPr>
          <w:rFonts w:ascii="宋体" w:hAnsi="宋体" w:cs="宋体"/>
          <w:szCs w:val="21"/>
        </w:rPr>
      </w:pPr>
      <w:r>
        <w:rPr>
          <w:rFonts w:hint="eastAsia" w:ascii="宋体" w:hAnsi="宋体" w:cs="宋体"/>
          <w:szCs w:val="21"/>
        </w:rPr>
        <w:t>5.1本项目是否接受联合体竞标，详见“供应商须知前附表”。</w:t>
      </w:r>
    </w:p>
    <w:p>
      <w:pPr>
        <w:spacing w:line="360" w:lineRule="auto"/>
        <w:ind w:firstLine="420" w:firstLineChars="200"/>
        <w:rPr>
          <w:rFonts w:ascii="宋体" w:hAnsi="宋体" w:cs="宋体"/>
          <w:szCs w:val="21"/>
        </w:rPr>
      </w:pPr>
      <w:r>
        <w:rPr>
          <w:rFonts w:hint="eastAsia" w:ascii="宋体" w:hAnsi="宋体" w:cs="宋体"/>
          <w:szCs w:val="21"/>
        </w:rPr>
        <w:t>5.2</w:t>
      </w:r>
      <w:r>
        <w:rPr>
          <w:rFonts w:hint="eastAsia" w:ascii="宋体" w:hAnsi="宋体"/>
        </w:rPr>
        <w:t>如接受联合体竞标，</w:t>
      </w:r>
      <w:r>
        <w:rPr>
          <w:rFonts w:hint="eastAsia" w:ascii="宋体" w:hAnsi="宋体" w:cs="宋体"/>
          <w:szCs w:val="21"/>
        </w:rPr>
        <w:t>联合体竞标要求详见“供应商须知前附表”。</w:t>
      </w:r>
    </w:p>
    <w:p>
      <w:pPr>
        <w:spacing w:line="360" w:lineRule="auto"/>
        <w:ind w:firstLine="420" w:firstLineChars="200"/>
        <w:rPr>
          <w:rFonts w:ascii="宋体" w:hAnsi="宋体"/>
          <w:bCs/>
          <w:szCs w:val="21"/>
        </w:rPr>
      </w:pPr>
      <w:r>
        <w:rPr>
          <w:rFonts w:hint="eastAsia" w:ascii="宋体" w:hAnsi="宋体" w:cs="宋体"/>
          <w:szCs w:val="21"/>
        </w:rPr>
        <w:t>5.3</w:t>
      </w:r>
      <w:r>
        <w:rPr>
          <w:rFonts w:hint="eastAsia" w:ascii="宋体" w:hAnsi="宋体"/>
          <w:bCs/>
          <w:szCs w:val="21"/>
        </w:rPr>
        <w:t>根据《政府采购促进中小企业发展管理办法》（财库[2020]46号）第九条及《广西壮族自治区财政厅关于进一步发挥政府采购政策功能促进企业发展的通知》（桂财采〔2022〕30号</w:t>
      </w:r>
      <w:r>
        <w:rPr>
          <w:rFonts w:hint="eastAsia" w:ascii="仿宋_GB2312" w:hAnsi="Calibri" w:eastAsia="仿宋_GB2312"/>
          <w:sz w:val="24"/>
        </w:rPr>
        <w:t>）、</w:t>
      </w:r>
      <w:r>
        <w:rPr>
          <w:rFonts w:hint="eastAsia"/>
        </w:rPr>
        <w:t>《广西壮族自治区财政厅关于贯彻落实政府采购支持中小企业发展政策的通知》（桂财采〔2022〕31号）</w:t>
      </w:r>
      <w:r>
        <w:rPr>
          <w:rFonts w:hint="eastAsia" w:ascii="宋体" w:hAnsi="宋体"/>
          <w:bCs/>
          <w:szCs w:val="21"/>
        </w:rPr>
        <w:t>规定，接受大中型企业与小微企业组成联合体的采购项目，对于联合协议约定小微企业的合同份额占到合同总金额 30%以上的，采购人、采购代理机构应当对联合体的报价给予 4%-6%（工程项目为</w:t>
      </w:r>
      <w:r>
        <w:rPr>
          <w:rFonts w:hint="eastAsia" w:ascii="宋体" w:hAnsi="宋体"/>
          <w:bCs/>
          <w:szCs w:val="21"/>
        </w:rPr>
        <w:tab/>
      </w:r>
      <w:r>
        <w:rPr>
          <w:rFonts w:hint="eastAsia" w:ascii="宋体" w:hAnsi="宋体"/>
          <w:bCs/>
          <w:szCs w:val="21"/>
        </w:rPr>
        <w:t>1%—2%）的扣除，用扣除后的价格参加评审。组成联合体的小微企业与联合体内其他企业、分包企业之间存在直接控股、管理关系的，不享受价格扣除优惠政策。</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6.转包与分包</w:t>
      </w:r>
    </w:p>
    <w:p>
      <w:pPr>
        <w:spacing w:line="360" w:lineRule="auto"/>
        <w:ind w:firstLine="420" w:firstLineChars="200"/>
        <w:rPr>
          <w:rFonts w:ascii="宋体" w:hAnsi="宋体" w:cs="宋体"/>
          <w:szCs w:val="21"/>
        </w:rPr>
      </w:pPr>
      <w:r>
        <w:rPr>
          <w:rFonts w:hint="eastAsia" w:ascii="宋体" w:hAnsi="宋体" w:cs="宋体"/>
          <w:szCs w:val="21"/>
        </w:rPr>
        <w:t>6.1本项目是否允许分包详见“供应商须知前附表”，本项目不允许分包。</w:t>
      </w:r>
    </w:p>
    <w:p>
      <w:pPr>
        <w:spacing w:line="360" w:lineRule="auto"/>
        <w:ind w:firstLine="420" w:firstLineChars="200"/>
        <w:rPr>
          <w:rFonts w:ascii="宋体" w:hAnsi="宋体" w:cs="宋体"/>
          <w:bCs/>
          <w:szCs w:val="21"/>
        </w:rPr>
      </w:pPr>
      <w:r>
        <w:rPr>
          <w:rFonts w:hint="eastAsia" w:ascii="宋体" w:hAnsi="宋体" w:cs="宋体"/>
          <w:szCs w:val="21"/>
        </w:rPr>
        <w:t>6.2</w:t>
      </w:r>
      <w:r>
        <w:rPr>
          <w:rFonts w:hint="eastAsia" w:ascii="宋体" w:hAnsi="宋体"/>
          <w:bCs/>
          <w:szCs w:val="21"/>
        </w:rPr>
        <w:t>根据《政府采购促进中小企业发展管理办法》（财库[2020]46号）第九条及《广西壮族自治区财政厅关于进一步发挥政府采购政策功能促进企业发展的通知》（桂财采〔2022〕30号）、</w:t>
      </w:r>
      <w:r>
        <w:rPr>
          <w:rFonts w:hint="eastAsia"/>
        </w:rPr>
        <w:t>《广西壮族自治区财政厅关于贯彻落实政府采购支持中小企业发展政策的通知》（桂财采〔2022〕31号）</w:t>
      </w:r>
      <w:r>
        <w:rPr>
          <w:rFonts w:hint="eastAsia" w:ascii="宋体" w:hAnsi="宋体"/>
          <w:bCs/>
          <w:szCs w:val="21"/>
        </w:rPr>
        <w:t>规定，允许大中型企业向一家或者多家小微企业分包的采购项目，对于分包意向协议约定小微企业的合同份额占到合同总金额 30%以上的，采购人、采购代理机构应当对大中型企业的报价给予4%-6%的扣除，用扣除后的价格参加评审。接受分包的小微企业与分包企业之间存在直接控股、管理关系的，不享受价格扣除优惠政策。</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7.特别说明</w:t>
      </w:r>
    </w:p>
    <w:p>
      <w:pPr>
        <w:spacing w:line="360" w:lineRule="auto"/>
        <w:ind w:firstLine="420" w:firstLineChars="200"/>
        <w:rPr>
          <w:rFonts w:ascii="宋体" w:hAnsi="宋体" w:cs="宋体"/>
          <w:szCs w:val="21"/>
        </w:rPr>
      </w:pPr>
      <w:r>
        <w:rPr>
          <w:rFonts w:hint="eastAsia" w:ascii="宋体" w:hAnsi="宋体" w:cs="宋体"/>
          <w:szCs w:val="21"/>
        </w:rPr>
        <w:t>7.1</w:t>
      </w:r>
      <w:r>
        <w:rPr>
          <w:rFonts w:hint="eastAsia" w:ascii="宋体" w:hAnsi="宋体"/>
          <w:szCs w:val="21"/>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7.2供应商应仔细阅读磋商文件的所有内容，按照磋商文件的要求提交响应文件，并对所提供的全部资料的真实性承担法律责任。</w:t>
      </w:r>
    </w:p>
    <w:p>
      <w:pPr>
        <w:spacing w:line="360" w:lineRule="auto"/>
        <w:ind w:firstLine="420" w:firstLineChars="200"/>
        <w:rPr>
          <w:rFonts w:ascii="宋体" w:hAnsi="宋体" w:cs="宋体"/>
          <w:szCs w:val="21"/>
        </w:rPr>
      </w:pPr>
      <w:r>
        <w:rPr>
          <w:rFonts w:hint="eastAsia" w:ascii="宋体" w:hAnsi="宋体" w:cs="宋体"/>
          <w:szCs w:val="21"/>
        </w:rPr>
        <w:t>7.3供应商在竞标活动中提供任何疑似虚假材料，将报监管部门查处；签订合同后发现的，成交供应商须依照《中华人民共和国消费者权益保护法》规定赔偿采购人，且民事赔偿并不免除违法供应商的行政与刑事责任。</w:t>
      </w:r>
    </w:p>
    <w:p>
      <w:pPr>
        <w:spacing w:line="360" w:lineRule="auto"/>
        <w:ind w:firstLine="420" w:firstLineChars="200"/>
        <w:rPr>
          <w:rFonts w:ascii="宋体" w:hAnsi="宋体" w:cs="宋体"/>
          <w:szCs w:val="21"/>
        </w:rPr>
      </w:pPr>
      <w:r>
        <w:rPr>
          <w:rFonts w:hint="eastAsia" w:ascii="宋体" w:hAnsi="宋体" w:cs="宋体"/>
          <w:szCs w:val="21"/>
        </w:rPr>
        <w:t>7.4在政府采购活动中，采购人员及相关人员与供应商有下列利害关系之一的，应当回避：</w:t>
      </w:r>
    </w:p>
    <w:p>
      <w:pPr>
        <w:spacing w:line="360" w:lineRule="auto"/>
        <w:ind w:firstLine="420" w:firstLineChars="200"/>
        <w:rPr>
          <w:rFonts w:ascii="宋体" w:hAnsi="宋体" w:cs="宋体"/>
          <w:szCs w:val="21"/>
        </w:rPr>
      </w:pPr>
      <w:r>
        <w:rPr>
          <w:rFonts w:hint="eastAsia" w:ascii="宋体" w:hAnsi="宋体" w:cs="宋体"/>
          <w:szCs w:val="21"/>
        </w:rPr>
        <w:t>（1）参加采购活动前3年内与供应商存在劳动关系；</w:t>
      </w:r>
    </w:p>
    <w:p>
      <w:pPr>
        <w:spacing w:line="360" w:lineRule="auto"/>
        <w:ind w:firstLine="420" w:firstLineChars="200"/>
        <w:rPr>
          <w:rFonts w:ascii="宋体" w:hAnsi="宋体" w:cs="宋体"/>
          <w:szCs w:val="21"/>
        </w:rPr>
      </w:pPr>
      <w:r>
        <w:rPr>
          <w:rFonts w:hint="eastAsia" w:ascii="宋体" w:hAnsi="宋体" w:cs="宋体"/>
          <w:szCs w:val="21"/>
        </w:rPr>
        <w:t>（2）参加采购活动前3年内担任供应商的董事、监事；</w:t>
      </w:r>
    </w:p>
    <w:p>
      <w:pPr>
        <w:spacing w:line="360" w:lineRule="auto"/>
        <w:ind w:firstLine="420" w:firstLineChars="200"/>
        <w:rPr>
          <w:rFonts w:ascii="宋体" w:hAnsi="宋体" w:cs="宋体"/>
          <w:szCs w:val="21"/>
        </w:rPr>
      </w:pPr>
      <w:r>
        <w:rPr>
          <w:rFonts w:hint="eastAsia" w:ascii="宋体" w:hAnsi="宋体" w:cs="宋体"/>
          <w:szCs w:val="21"/>
        </w:rPr>
        <w:t>（3）参加采购活动前3年内是供应商的控股股东或者实际控制人；</w:t>
      </w:r>
    </w:p>
    <w:p>
      <w:pPr>
        <w:spacing w:line="360" w:lineRule="auto"/>
        <w:ind w:firstLine="420" w:firstLineChars="200"/>
        <w:rPr>
          <w:rFonts w:ascii="宋体" w:hAnsi="宋体" w:cs="宋体"/>
          <w:szCs w:val="21"/>
        </w:rPr>
      </w:pPr>
      <w:r>
        <w:rPr>
          <w:rFonts w:hint="eastAsia" w:ascii="宋体" w:hAnsi="宋体" w:cs="宋体"/>
          <w:szCs w:val="21"/>
        </w:rPr>
        <w:t>（4）与供应商的法定代表人或者负责人有夫妻、直系血亲、三代以内旁系血亲或者近姻亲关系；</w:t>
      </w:r>
    </w:p>
    <w:p>
      <w:pPr>
        <w:spacing w:line="360" w:lineRule="auto"/>
        <w:ind w:firstLine="420" w:firstLineChars="200"/>
        <w:rPr>
          <w:rFonts w:ascii="宋体" w:hAnsi="宋体" w:cs="宋体"/>
          <w:szCs w:val="21"/>
        </w:rPr>
      </w:pPr>
      <w:r>
        <w:rPr>
          <w:rFonts w:hint="eastAsia" w:ascii="宋体" w:hAnsi="宋体" w:cs="宋体"/>
          <w:szCs w:val="21"/>
        </w:rPr>
        <w:t>（5）与供应商有其他可能影响政府采购活动公平、公正进行的关系。</w:t>
      </w:r>
    </w:p>
    <w:p>
      <w:pPr>
        <w:spacing w:line="360" w:lineRule="auto"/>
        <w:ind w:firstLine="420" w:firstLineChars="200"/>
        <w:rPr>
          <w:rFonts w:ascii="宋体" w:hAnsi="宋体" w:cs="宋体"/>
          <w:szCs w:val="21"/>
        </w:rPr>
      </w:pPr>
      <w:r>
        <w:rPr>
          <w:rFonts w:hint="eastAsia" w:ascii="宋体" w:hAnsi="宋体" w:cs="宋体"/>
          <w:szCs w:val="21"/>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pPr>
        <w:spacing w:line="360" w:lineRule="auto"/>
        <w:ind w:firstLine="420" w:firstLineChars="200"/>
        <w:rPr>
          <w:rFonts w:ascii="宋体" w:hAnsi="宋体" w:cs="宋体"/>
          <w:szCs w:val="21"/>
        </w:rPr>
      </w:pPr>
      <w:r>
        <w:rPr>
          <w:rFonts w:hint="eastAsia" w:ascii="宋体" w:hAnsi="宋体" w:cs="宋体"/>
          <w:szCs w:val="21"/>
        </w:rPr>
        <w:t>7.5有下列情形之一的视为供应商相互串通竞标，响应文件将被视为无效：</w:t>
      </w:r>
    </w:p>
    <w:p>
      <w:pPr>
        <w:spacing w:line="360" w:lineRule="auto"/>
        <w:ind w:firstLine="420" w:firstLineChars="200"/>
        <w:rPr>
          <w:rFonts w:ascii="宋体" w:hAnsi="宋体" w:cs="宋体"/>
          <w:szCs w:val="21"/>
        </w:rPr>
      </w:pPr>
      <w:r>
        <w:rPr>
          <w:rFonts w:hint="eastAsia" w:ascii="宋体" w:hAnsi="宋体" w:cs="宋体"/>
          <w:szCs w:val="21"/>
        </w:rPr>
        <w:t xml:space="preserve">（1）不同供应商的响应文件由同一单位或者个人编制；或者不同供应商报名的IP地址一致的；或者编制响应文件硬件设备CPU编号、硬盘编号、网卡地址一致的情况。 </w:t>
      </w:r>
    </w:p>
    <w:p>
      <w:pPr>
        <w:spacing w:line="360" w:lineRule="auto"/>
        <w:ind w:firstLine="420" w:firstLineChars="200"/>
        <w:rPr>
          <w:rFonts w:ascii="宋体" w:hAnsi="宋体" w:cs="宋体"/>
          <w:szCs w:val="21"/>
        </w:rPr>
      </w:pPr>
      <w:r>
        <w:rPr>
          <w:rFonts w:hint="eastAsia" w:ascii="宋体" w:hAnsi="宋体" w:cs="宋体"/>
          <w:szCs w:val="21"/>
        </w:rPr>
        <w:t>（2）不同供应商委托同一单位或者个人办理竞标事宜；</w:t>
      </w:r>
    </w:p>
    <w:p>
      <w:pPr>
        <w:spacing w:line="360" w:lineRule="auto"/>
        <w:ind w:firstLine="420" w:firstLineChars="200"/>
        <w:rPr>
          <w:rFonts w:ascii="宋体" w:hAnsi="宋体" w:cs="宋体"/>
          <w:szCs w:val="21"/>
        </w:rPr>
      </w:pPr>
      <w:r>
        <w:rPr>
          <w:rFonts w:hint="eastAsia" w:ascii="宋体" w:hAnsi="宋体" w:cs="宋体"/>
          <w:szCs w:val="21"/>
        </w:rPr>
        <w:t>（3）不同的供应商的响应文件载明的项目管理员为同一个人；</w:t>
      </w:r>
    </w:p>
    <w:p>
      <w:pPr>
        <w:spacing w:line="360" w:lineRule="auto"/>
        <w:ind w:firstLine="420" w:firstLineChars="200"/>
        <w:rPr>
          <w:rFonts w:ascii="宋体" w:hAnsi="宋体" w:cs="宋体"/>
          <w:szCs w:val="21"/>
        </w:rPr>
      </w:pPr>
      <w:r>
        <w:rPr>
          <w:rFonts w:hint="eastAsia" w:ascii="宋体" w:hAnsi="宋体" w:cs="宋体"/>
          <w:szCs w:val="21"/>
        </w:rPr>
        <w:t>（4）不同供应商的响应文件异常一致或者报价呈规律性差异；</w:t>
      </w:r>
    </w:p>
    <w:p>
      <w:pPr>
        <w:spacing w:line="360" w:lineRule="auto"/>
        <w:ind w:firstLine="420" w:firstLineChars="200"/>
        <w:rPr>
          <w:rFonts w:ascii="宋体" w:hAnsi="宋体" w:cs="宋体"/>
          <w:szCs w:val="21"/>
        </w:rPr>
      </w:pPr>
      <w:r>
        <w:rPr>
          <w:rFonts w:hint="eastAsia" w:ascii="宋体" w:hAnsi="宋体" w:cs="宋体"/>
          <w:szCs w:val="21"/>
        </w:rPr>
        <w:t>（5）不同供应商的响应文件相互混装；</w:t>
      </w:r>
    </w:p>
    <w:p>
      <w:pPr>
        <w:tabs>
          <w:tab w:val="left" w:pos="6931"/>
        </w:tabs>
        <w:spacing w:line="360" w:lineRule="auto"/>
        <w:ind w:firstLine="420" w:firstLineChars="200"/>
        <w:rPr>
          <w:rFonts w:ascii="宋体" w:hAnsi="宋体" w:cs="宋体"/>
          <w:szCs w:val="21"/>
        </w:rPr>
      </w:pPr>
      <w:r>
        <w:rPr>
          <w:rFonts w:hint="eastAsia" w:ascii="宋体" w:hAnsi="宋体" w:cs="宋体"/>
          <w:szCs w:val="21"/>
        </w:rPr>
        <w:t>（6）不同供应商的磋商保证金从同一单位或者个人账户转出。</w:t>
      </w:r>
      <w:r>
        <w:rPr>
          <w:rFonts w:hint="eastAsia" w:ascii="宋体" w:hAnsi="宋体" w:cs="宋体"/>
          <w:szCs w:val="21"/>
        </w:rPr>
        <w:tab/>
      </w:r>
    </w:p>
    <w:p>
      <w:pPr>
        <w:spacing w:line="360" w:lineRule="auto"/>
        <w:ind w:firstLine="420" w:firstLineChars="200"/>
        <w:rPr>
          <w:rFonts w:ascii="宋体" w:hAnsi="宋体" w:cs="宋体"/>
          <w:szCs w:val="21"/>
        </w:rPr>
      </w:pPr>
      <w:r>
        <w:rPr>
          <w:rFonts w:hint="eastAsia" w:ascii="宋体" w:hAnsi="宋体" w:cs="宋体"/>
          <w:szCs w:val="21"/>
        </w:rPr>
        <w:t>7.6供应商有下列情形之一的，属于恶意串通行为，将报同级监督管理部门：</w:t>
      </w:r>
    </w:p>
    <w:p>
      <w:pPr>
        <w:spacing w:line="360" w:lineRule="auto"/>
        <w:ind w:firstLine="420" w:firstLineChars="200"/>
        <w:rPr>
          <w:rFonts w:ascii="宋体" w:hAnsi="宋体" w:cs="宋体"/>
          <w:szCs w:val="21"/>
        </w:rPr>
      </w:pPr>
      <w:r>
        <w:rPr>
          <w:rFonts w:hint="eastAsia" w:ascii="宋体" w:hAnsi="宋体" w:cs="宋体"/>
          <w:szCs w:val="21"/>
        </w:rPr>
        <w:t>（1）供应商直接或者间接从采购人或者采购代理机构处获得其他供应商的相关信息并修改其响应文件；</w:t>
      </w:r>
    </w:p>
    <w:p>
      <w:pPr>
        <w:spacing w:line="360" w:lineRule="auto"/>
        <w:ind w:firstLine="420" w:firstLineChars="200"/>
        <w:rPr>
          <w:rFonts w:ascii="宋体" w:hAnsi="宋体" w:cs="宋体"/>
          <w:szCs w:val="21"/>
        </w:rPr>
      </w:pPr>
      <w:r>
        <w:rPr>
          <w:rFonts w:hint="eastAsia" w:ascii="宋体" w:hAnsi="宋体" w:cs="宋体"/>
          <w:szCs w:val="21"/>
        </w:rPr>
        <w:t>（2）供应商按照采购人或者采购代理机构的授意撤换、修改响应文件；</w:t>
      </w:r>
    </w:p>
    <w:p>
      <w:pPr>
        <w:spacing w:line="360" w:lineRule="auto"/>
        <w:ind w:firstLine="420" w:firstLineChars="200"/>
        <w:rPr>
          <w:rFonts w:ascii="宋体" w:hAnsi="宋体" w:cs="宋体"/>
          <w:szCs w:val="21"/>
        </w:rPr>
      </w:pPr>
      <w:r>
        <w:rPr>
          <w:rFonts w:hint="eastAsia" w:ascii="宋体" w:hAnsi="宋体" w:cs="宋体"/>
          <w:szCs w:val="21"/>
        </w:rPr>
        <w:t>（3）供应商之间协商报价、技术方案等响应文件或者响应文件的实质性内容；</w:t>
      </w:r>
    </w:p>
    <w:p>
      <w:pPr>
        <w:spacing w:line="360" w:lineRule="auto"/>
        <w:ind w:firstLine="420" w:firstLineChars="200"/>
        <w:rPr>
          <w:rFonts w:ascii="宋体" w:hAnsi="宋体" w:cs="宋体"/>
          <w:szCs w:val="21"/>
        </w:rPr>
      </w:pPr>
      <w:r>
        <w:rPr>
          <w:rFonts w:hint="eastAsia" w:ascii="宋体" w:hAnsi="宋体" w:cs="宋体"/>
          <w:szCs w:val="21"/>
        </w:rPr>
        <w:t>（4）属于同一集团、协会、商会等组织成员的供应商按照该组织要求协同参加政府采购活动；</w:t>
      </w:r>
    </w:p>
    <w:p>
      <w:pPr>
        <w:spacing w:line="360" w:lineRule="auto"/>
        <w:ind w:firstLine="420" w:firstLineChars="200"/>
        <w:rPr>
          <w:rFonts w:ascii="宋体" w:hAnsi="宋体" w:cs="宋体"/>
          <w:szCs w:val="21"/>
        </w:rPr>
      </w:pPr>
      <w:r>
        <w:rPr>
          <w:rFonts w:hint="eastAsia" w:ascii="宋体" w:hAnsi="宋体" w:cs="宋体"/>
          <w:szCs w:val="21"/>
        </w:rPr>
        <w:t>（5）供应商之间事先约定一致抬高或者压低报价，或者在政府采购活动中事先约定轮流以高价位或者低价位成交，或者事先约定由某一特定供应商成交，然后再参加竞标；</w:t>
      </w:r>
    </w:p>
    <w:p>
      <w:pPr>
        <w:spacing w:line="360" w:lineRule="auto"/>
        <w:ind w:firstLine="420" w:firstLineChars="200"/>
        <w:rPr>
          <w:rFonts w:ascii="宋体" w:hAnsi="宋体" w:cs="宋体"/>
          <w:szCs w:val="21"/>
        </w:rPr>
      </w:pPr>
      <w:r>
        <w:rPr>
          <w:rFonts w:hint="eastAsia" w:ascii="宋体" w:hAnsi="宋体" w:cs="宋体"/>
          <w:szCs w:val="21"/>
        </w:rPr>
        <w:t>（6）供应商之间商定部分供应商放弃参加政府采购活动或者放弃成交；</w:t>
      </w:r>
    </w:p>
    <w:p>
      <w:pPr>
        <w:spacing w:line="360" w:lineRule="auto"/>
        <w:ind w:firstLine="420" w:firstLineChars="200"/>
        <w:rPr>
          <w:rFonts w:ascii="宋体" w:hAnsi="宋体" w:cs="宋体"/>
          <w:szCs w:val="21"/>
        </w:rPr>
      </w:pPr>
      <w:r>
        <w:rPr>
          <w:rFonts w:hint="eastAsia" w:ascii="宋体" w:hAnsi="宋体" w:cs="宋体"/>
          <w:szCs w:val="21"/>
        </w:rPr>
        <w:t>（7）供应商与采购人或者采购代理机构之间、供应商相互之间，为谋求特定供应商成交或者排斥其他供应商的其他串通行为。</w:t>
      </w:r>
    </w:p>
    <w:p>
      <w:pPr>
        <w:pStyle w:val="7"/>
        <w:spacing w:before="0" w:after="0" w:line="360" w:lineRule="auto"/>
        <w:ind w:firstLine="640" w:firstLineChars="200"/>
        <w:rPr>
          <w:rFonts w:ascii="宋体" w:hAnsi="宋体"/>
          <w:b w:val="0"/>
          <w:bCs w:val="0"/>
        </w:rPr>
      </w:pPr>
      <w:bookmarkStart w:id="35" w:name="_Toc22373"/>
      <w:r>
        <w:rPr>
          <w:rFonts w:hint="eastAsia" w:ascii="宋体" w:hAnsi="宋体"/>
          <w:b w:val="0"/>
          <w:bCs w:val="0"/>
        </w:rPr>
        <w:t>二、磋商文件</w:t>
      </w:r>
      <w:bookmarkEnd w:id="35"/>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8.磋商文件的构成</w:t>
      </w:r>
    </w:p>
    <w:p>
      <w:pPr>
        <w:spacing w:line="360" w:lineRule="auto"/>
        <w:ind w:firstLine="420" w:firstLineChars="200"/>
        <w:jc w:val="left"/>
        <w:rPr>
          <w:rFonts w:ascii="宋体" w:hAnsi="宋体"/>
          <w:szCs w:val="21"/>
        </w:rPr>
      </w:pPr>
      <w:r>
        <w:rPr>
          <w:rFonts w:hint="eastAsia" w:ascii="宋体" w:hAnsi="宋体"/>
          <w:szCs w:val="21"/>
        </w:rPr>
        <w:t>第一章 竞争性磋商公告；</w:t>
      </w:r>
    </w:p>
    <w:p>
      <w:pPr>
        <w:spacing w:line="360" w:lineRule="auto"/>
        <w:ind w:firstLine="420" w:firstLineChars="200"/>
        <w:jc w:val="left"/>
        <w:rPr>
          <w:rFonts w:ascii="宋体" w:hAnsi="宋体"/>
          <w:szCs w:val="21"/>
        </w:rPr>
      </w:pPr>
      <w:r>
        <w:rPr>
          <w:rFonts w:hint="eastAsia" w:ascii="宋体" w:hAnsi="宋体"/>
          <w:szCs w:val="21"/>
        </w:rPr>
        <w:t>第二章 采购需求；</w:t>
      </w:r>
    </w:p>
    <w:p>
      <w:pPr>
        <w:spacing w:line="360" w:lineRule="auto"/>
        <w:ind w:firstLine="420" w:firstLineChars="200"/>
        <w:jc w:val="left"/>
        <w:rPr>
          <w:rFonts w:ascii="宋体" w:hAnsi="宋体"/>
          <w:szCs w:val="21"/>
        </w:rPr>
      </w:pPr>
      <w:r>
        <w:rPr>
          <w:rFonts w:hint="eastAsia" w:ascii="宋体" w:hAnsi="宋体"/>
          <w:szCs w:val="21"/>
        </w:rPr>
        <w:t xml:space="preserve">第三章 供应商须知； </w:t>
      </w:r>
    </w:p>
    <w:p>
      <w:pPr>
        <w:spacing w:line="360" w:lineRule="auto"/>
        <w:ind w:firstLine="420" w:firstLineChars="200"/>
        <w:jc w:val="left"/>
        <w:rPr>
          <w:rFonts w:ascii="宋体" w:hAnsi="宋体"/>
          <w:szCs w:val="21"/>
        </w:rPr>
      </w:pPr>
      <w:r>
        <w:rPr>
          <w:rFonts w:hint="eastAsia" w:ascii="宋体" w:hAnsi="宋体"/>
          <w:szCs w:val="21"/>
        </w:rPr>
        <w:t>第四章 评审程序、评审方法和评审标准；</w:t>
      </w:r>
    </w:p>
    <w:p>
      <w:pPr>
        <w:spacing w:line="360" w:lineRule="auto"/>
        <w:ind w:firstLine="420" w:firstLineChars="200"/>
        <w:jc w:val="left"/>
        <w:rPr>
          <w:rFonts w:ascii="宋体" w:hAnsi="宋体"/>
          <w:szCs w:val="21"/>
        </w:rPr>
      </w:pPr>
      <w:r>
        <w:rPr>
          <w:rFonts w:hint="eastAsia" w:ascii="宋体" w:hAnsi="宋体"/>
          <w:szCs w:val="21"/>
        </w:rPr>
        <w:t>第五章 响应文件格式；</w:t>
      </w:r>
    </w:p>
    <w:p>
      <w:pPr>
        <w:spacing w:line="360" w:lineRule="auto"/>
        <w:ind w:firstLine="420" w:firstLineChars="200"/>
        <w:jc w:val="left"/>
        <w:rPr>
          <w:rFonts w:ascii="宋体" w:hAnsi="宋体"/>
          <w:szCs w:val="21"/>
        </w:rPr>
      </w:pPr>
      <w:r>
        <w:rPr>
          <w:rFonts w:hint="eastAsia" w:ascii="宋体" w:hAnsi="宋体"/>
          <w:szCs w:val="21"/>
        </w:rPr>
        <w:t>第六章 合同文本；</w:t>
      </w:r>
    </w:p>
    <w:p>
      <w:pPr>
        <w:spacing w:line="360" w:lineRule="auto"/>
        <w:ind w:firstLine="420" w:firstLineChars="200"/>
        <w:jc w:val="left"/>
        <w:rPr>
          <w:rFonts w:ascii="宋体" w:hAnsi="宋体"/>
          <w:szCs w:val="21"/>
        </w:rPr>
      </w:pPr>
      <w:r>
        <w:rPr>
          <w:rFonts w:hint="eastAsia" w:ascii="宋体" w:hAnsi="宋体"/>
          <w:szCs w:val="21"/>
        </w:rPr>
        <w:t>第七章 质疑、投诉材料格式。</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9.供应商的询问</w:t>
      </w:r>
    </w:p>
    <w:p>
      <w:pPr>
        <w:spacing w:line="360" w:lineRule="auto"/>
        <w:ind w:firstLine="420" w:firstLineChars="200"/>
        <w:rPr>
          <w:rFonts w:ascii="宋体" w:hAnsi="宋体"/>
          <w:szCs w:val="21"/>
        </w:rPr>
      </w:pPr>
      <w:r>
        <w:rPr>
          <w:rFonts w:hint="eastAsia" w:ascii="宋体" w:hAnsi="宋体"/>
          <w:szCs w:val="21"/>
        </w:rPr>
        <w:t>供应商应认真阅读磋商文件的采购需求，如供应商对磋商文件有疑问的，如要求采购人作出澄清或者修改的，供应商尽应在提交首次响应文件截止之日前，以书面形式向采购人、采购代理机构提出。</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10.磋商文件的澄清和修改</w:t>
      </w:r>
    </w:p>
    <w:p>
      <w:pPr>
        <w:spacing w:line="360" w:lineRule="auto"/>
        <w:ind w:firstLine="420" w:firstLineChars="200"/>
        <w:rPr>
          <w:rFonts w:ascii="宋体" w:hAnsi="宋体"/>
          <w:szCs w:val="21"/>
        </w:rPr>
      </w:pPr>
      <w:r>
        <w:rPr>
          <w:rFonts w:hint="eastAsia" w:ascii="宋体" w:hAnsi="宋体"/>
          <w:szCs w:val="21"/>
        </w:rPr>
        <w:t>10.1已获取磋商文件的潜在供应商，若有问题需要澄清，应于应标截止时间前，以书面形式向采购代理机构提出，采购代理机构与采购人研究后，对认为有必要回答的问题，按照本章10.3的内容处理。</w:t>
      </w:r>
    </w:p>
    <w:p>
      <w:pPr>
        <w:spacing w:line="360" w:lineRule="auto"/>
        <w:ind w:firstLine="422" w:firstLineChars="200"/>
        <w:rPr>
          <w:rFonts w:ascii="宋体" w:hAnsi="宋体"/>
          <w:b/>
          <w:szCs w:val="21"/>
        </w:rPr>
      </w:pPr>
      <w:r>
        <w:rPr>
          <w:rFonts w:hint="eastAsia" w:ascii="宋体" w:hAnsi="宋体"/>
          <w:b/>
          <w:szCs w:val="21"/>
        </w:rPr>
        <w:t>10.2采购人或者采购代理机构可以对已发出的磋商文件进行必要的澄清或者修改，但不得改变采购标的和资格条件。澄清或者修改应当在原公告发布媒体上发布澄清公告。澄清或者修改的内容为磋商文件的组成部分。</w:t>
      </w:r>
    </w:p>
    <w:p>
      <w:pPr>
        <w:spacing w:line="360" w:lineRule="auto"/>
        <w:ind w:firstLine="420" w:firstLineChars="200"/>
        <w:rPr>
          <w:rFonts w:ascii="宋体" w:hAnsi="宋体"/>
          <w:szCs w:val="21"/>
        </w:rPr>
      </w:pPr>
      <w:r>
        <w:rPr>
          <w:rFonts w:hint="eastAsia" w:ascii="宋体" w:hAnsi="宋体"/>
          <w:szCs w:val="21"/>
        </w:rPr>
        <w:t>10.3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或者磋商小组在提交首次响应文件截止之日5日前，以书面形式（目前为网上公告和系统短信等形式）通知所有获取磋商文件的供应商，不足5日的，应当顺延提交首次响应文件截止之日。</w:t>
      </w:r>
    </w:p>
    <w:p>
      <w:pPr>
        <w:spacing w:line="360" w:lineRule="auto"/>
        <w:ind w:firstLine="420" w:firstLineChars="200"/>
        <w:rPr>
          <w:rFonts w:ascii="宋体" w:hAnsi="宋体"/>
          <w:szCs w:val="21"/>
        </w:rPr>
      </w:pPr>
      <w:r>
        <w:rPr>
          <w:rFonts w:hint="eastAsia" w:ascii="宋体" w:hAnsi="宋体"/>
          <w:szCs w:val="21"/>
        </w:rPr>
        <w:t>10.4</w:t>
      </w:r>
      <w:r>
        <w:rPr>
          <w:rFonts w:hint="eastAsia" w:ascii="Arial" w:hAnsi="Arial" w:cs="Arial"/>
          <w:shd w:val="clear" w:color="auto" w:fill="FFFFFF"/>
        </w:rPr>
        <w:t>采购信息更正公告的内容应当包括采购人和采购代理机构名称、地址、联系方式，原公告的采购项目名称及首次公告日期，更正事项、内容及日期，采购项目联系人和电话。</w:t>
      </w:r>
    </w:p>
    <w:p>
      <w:pPr>
        <w:spacing w:line="360" w:lineRule="auto"/>
        <w:ind w:firstLine="420" w:firstLineChars="200"/>
      </w:pPr>
      <w:r>
        <w:rPr>
          <w:rFonts w:hAnsi="宋体"/>
        </w:rPr>
        <w:t>10.5</w:t>
      </w:r>
      <w:r>
        <w:rPr>
          <w:rFonts w:hint="eastAsia"/>
        </w:rPr>
        <w:t>采购人和采购代理机构可以视采购具体情况，变更</w:t>
      </w:r>
      <w:r>
        <w:rPr>
          <w:rFonts w:hint="eastAsia" w:hAnsi="宋体"/>
        </w:rPr>
        <w:t>提交首次响应文件</w:t>
      </w:r>
      <w:r>
        <w:rPr>
          <w:rFonts w:hint="eastAsia"/>
        </w:rPr>
        <w:t>截止时间和竞谈时间，将变更时间将在</w:t>
      </w:r>
      <w:r>
        <w:rPr>
          <w:rFonts w:hint="eastAsia" w:hAnsi="宋体"/>
        </w:rPr>
        <w:t>“采购文件公告”中“七、其他补充事宜</w:t>
      </w:r>
      <w:r>
        <w:rPr>
          <w:rFonts w:hAnsi="宋体"/>
        </w:rPr>
        <w:t>3.</w:t>
      </w:r>
      <w:r>
        <w:rPr>
          <w:rFonts w:hint="eastAsia" w:hAnsi="宋体"/>
        </w:rPr>
        <w:t>网上查询地址”</w:t>
      </w:r>
      <w:r>
        <w:rPr>
          <w:rFonts w:hint="eastAsia" w:cs="宋体"/>
        </w:rPr>
        <w:t>规定的政府采购信息发布媒体上</w:t>
      </w:r>
      <w:r>
        <w:rPr>
          <w:rFonts w:hint="eastAsia"/>
        </w:rPr>
        <w:t>发布更正公告。</w:t>
      </w:r>
    </w:p>
    <w:p>
      <w:pPr>
        <w:spacing w:line="360" w:lineRule="auto"/>
        <w:ind w:firstLine="400" w:firstLineChars="200"/>
        <w:rPr>
          <w:rFonts w:ascii="宋体" w:hAnsi="Courier New"/>
          <w:kern w:val="0"/>
          <w:sz w:val="20"/>
          <w:szCs w:val="21"/>
        </w:rPr>
      </w:pPr>
      <w:r>
        <w:rPr>
          <w:rFonts w:hint="eastAsia" w:ascii="宋体" w:hAnsi="Courier New"/>
          <w:kern w:val="0"/>
          <w:sz w:val="20"/>
          <w:szCs w:val="21"/>
        </w:rPr>
        <w:t>▲</w:t>
      </w:r>
      <w:r>
        <w:rPr>
          <w:rFonts w:hint="eastAsia" w:ascii="宋体" w:hAnsi="Courier New"/>
          <w:b/>
          <w:kern w:val="0"/>
          <w:sz w:val="20"/>
          <w:szCs w:val="21"/>
        </w:rPr>
        <w:t>响应文件未按磋商文件的澄清、修改的内容编制，又不符合实质性要求的，其响应文件作无效处理。</w:t>
      </w:r>
    </w:p>
    <w:p>
      <w:pPr>
        <w:pStyle w:val="7"/>
        <w:spacing w:before="0" w:after="0" w:line="360" w:lineRule="auto"/>
        <w:ind w:firstLine="640" w:firstLineChars="200"/>
        <w:rPr>
          <w:rFonts w:ascii="宋体" w:hAnsi="宋体"/>
          <w:b w:val="0"/>
          <w:bCs w:val="0"/>
        </w:rPr>
      </w:pPr>
      <w:bookmarkStart w:id="36" w:name="_Toc31199"/>
      <w:r>
        <w:rPr>
          <w:rFonts w:hint="eastAsia" w:ascii="宋体" w:hAnsi="宋体"/>
          <w:b w:val="0"/>
          <w:bCs w:val="0"/>
        </w:rPr>
        <w:t>三、响应文件的编制</w:t>
      </w:r>
      <w:bookmarkEnd w:id="36"/>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11.响应文件的编制原则</w:t>
      </w:r>
    </w:p>
    <w:p>
      <w:pPr>
        <w:spacing w:line="360" w:lineRule="auto"/>
        <w:ind w:firstLine="420" w:firstLineChars="200"/>
        <w:rPr>
          <w:rFonts w:ascii="宋体" w:hAnsi="宋体" w:cs="宋体"/>
          <w:szCs w:val="21"/>
        </w:rPr>
      </w:pPr>
      <w:r>
        <w:rPr>
          <w:rFonts w:hint="eastAsia" w:ascii="宋体" w:hAnsi="宋体" w:cs="宋体"/>
          <w:szCs w:val="21"/>
        </w:rPr>
        <w:t>供应商必须按照磋商文件的要求编制响应文件，并对其提交的响应文件的真实性、合法性承担法律责任。响应文件必须对磋商文件作出实质性响应。</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12.响应文件的组成</w:t>
      </w:r>
    </w:p>
    <w:p>
      <w:pPr>
        <w:spacing w:line="360" w:lineRule="auto"/>
        <w:ind w:firstLine="420" w:firstLineChars="200"/>
        <w:rPr>
          <w:rFonts w:ascii="宋体" w:hAnsi="宋体" w:cs="宋体"/>
          <w:szCs w:val="21"/>
        </w:rPr>
      </w:pPr>
      <w:r>
        <w:rPr>
          <w:rFonts w:hint="eastAsia" w:ascii="宋体" w:hAnsi="宋体" w:cs="宋体"/>
          <w:szCs w:val="21"/>
        </w:rPr>
        <w:t>12.1响应文件由资格证明文件、报价文件、商务和技术文件三部分组成。</w:t>
      </w:r>
    </w:p>
    <w:p>
      <w:pPr>
        <w:spacing w:line="360" w:lineRule="auto"/>
        <w:ind w:left="420" w:leftChars="200" w:firstLine="420" w:firstLineChars="200"/>
        <w:rPr>
          <w:rFonts w:ascii="宋体" w:hAnsi="宋体" w:cs="宋体"/>
          <w:szCs w:val="21"/>
        </w:rPr>
      </w:pPr>
      <w:r>
        <w:rPr>
          <w:rFonts w:hint="eastAsia" w:ascii="宋体" w:hAnsi="宋体" w:cs="宋体"/>
          <w:szCs w:val="21"/>
        </w:rPr>
        <w:t>12.1.1资格证明文件：详见须知前附表</w:t>
      </w:r>
    </w:p>
    <w:p>
      <w:pPr>
        <w:spacing w:line="360" w:lineRule="auto"/>
        <w:ind w:left="420" w:leftChars="200" w:firstLine="420" w:firstLineChars="200"/>
        <w:rPr>
          <w:rFonts w:ascii="宋体" w:hAnsi="宋体" w:cs="宋体"/>
          <w:szCs w:val="21"/>
        </w:rPr>
      </w:pPr>
      <w:r>
        <w:rPr>
          <w:rFonts w:hint="eastAsia" w:ascii="宋体" w:hAnsi="宋体" w:cs="宋体"/>
          <w:szCs w:val="21"/>
        </w:rPr>
        <w:t>12.1.2商务技术文件：详见须知前附表</w:t>
      </w:r>
    </w:p>
    <w:p>
      <w:pPr>
        <w:spacing w:line="360" w:lineRule="auto"/>
        <w:ind w:left="420" w:leftChars="200" w:firstLine="420" w:firstLineChars="200"/>
        <w:rPr>
          <w:rFonts w:ascii="宋体" w:hAnsi="宋体" w:cs="宋体"/>
          <w:szCs w:val="21"/>
        </w:rPr>
      </w:pPr>
      <w:r>
        <w:rPr>
          <w:rFonts w:hint="eastAsia" w:ascii="宋体" w:hAnsi="宋体" w:cs="宋体"/>
          <w:szCs w:val="21"/>
        </w:rPr>
        <w:t>12.1.3报价文件：详见须知前附表</w:t>
      </w:r>
    </w:p>
    <w:p>
      <w:pPr>
        <w:spacing w:line="360" w:lineRule="auto"/>
        <w:ind w:firstLine="420" w:firstLineChars="200"/>
        <w:rPr>
          <w:rFonts w:ascii="宋体" w:hAnsi="宋体" w:cs="宋体"/>
          <w:szCs w:val="21"/>
        </w:rPr>
      </w:pPr>
      <w:r>
        <w:rPr>
          <w:rFonts w:hint="eastAsia" w:ascii="宋体" w:hAnsi="宋体" w:cs="宋体"/>
          <w:szCs w:val="21"/>
        </w:rPr>
        <w:t>12.2响应文件电子版：详见须知前附表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13.计量单位</w:t>
      </w:r>
    </w:p>
    <w:p>
      <w:pPr>
        <w:spacing w:line="360" w:lineRule="auto"/>
        <w:ind w:firstLine="420" w:firstLineChars="200"/>
        <w:rPr>
          <w:rFonts w:ascii="宋体" w:hAnsi="宋体" w:cs="宋体"/>
          <w:szCs w:val="21"/>
        </w:rPr>
      </w:pPr>
      <w:r>
        <w:rPr>
          <w:rFonts w:hint="eastAsia" w:ascii="宋体" w:hAnsi="宋体" w:cs="宋体"/>
          <w:szCs w:val="21"/>
        </w:rPr>
        <w:t>磋商文件已有明确规定的，使用磋商文件规定的计量单位；磋商文件没有规定的，应采用中华人民共和国法定计量单位，货币种类为人民币，否则视同未响应。</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14.竞标的风险</w:t>
      </w:r>
    </w:p>
    <w:p>
      <w:pPr>
        <w:spacing w:line="360" w:lineRule="auto"/>
        <w:ind w:firstLine="420" w:firstLineChars="200"/>
        <w:rPr>
          <w:rFonts w:ascii="宋体" w:hAnsi="宋体" w:cs="宋体"/>
          <w:szCs w:val="21"/>
        </w:rPr>
      </w:pPr>
      <w:r>
        <w:rPr>
          <w:rFonts w:hint="eastAsia" w:ascii="宋体" w:hAnsi="宋体" w:cs="宋体"/>
          <w:szCs w:val="21"/>
        </w:rPr>
        <w:t>供应商没有按照磋商文件要求提供全部资料，或者供应商没有对磋商文件在各方面作出实质性响应可能导致其响应无效，是供应商应当考虑的风险。</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15.响应报价要求和构成</w:t>
      </w:r>
    </w:p>
    <w:p>
      <w:pPr>
        <w:tabs>
          <w:tab w:val="left" w:pos="2492"/>
        </w:tabs>
        <w:spacing w:line="360" w:lineRule="auto"/>
        <w:ind w:firstLine="420" w:firstLineChars="200"/>
        <w:rPr>
          <w:rFonts w:ascii="宋体" w:hAnsi="宋体" w:cs="宋体"/>
          <w:szCs w:val="21"/>
        </w:rPr>
      </w:pPr>
      <w:r>
        <w:rPr>
          <w:rFonts w:hint="eastAsia" w:ascii="宋体" w:hAnsi="宋体" w:cs="宋体"/>
          <w:szCs w:val="21"/>
        </w:rPr>
        <w:t>15.1响应报价应按“第五章 响应文件格式”中“响应报价表”格式填写。</w:t>
      </w:r>
    </w:p>
    <w:p>
      <w:pPr>
        <w:tabs>
          <w:tab w:val="left" w:pos="2492"/>
        </w:tabs>
        <w:spacing w:line="360" w:lineRule="auto"/>
        <w:ind w:firstLine="420" w:firstLineChars="200"/>
        <w:rPr>
          <w:rFonts w:ascii="宋体" w:hAnsi="宋体" w:cs="宋体"/>
          <w:szCs w:val="21"/>
        </w:rPr>
      </w:pPr>
      <w:r>
        <w:rPr>
          <w:rFonts w:hint="eastAsia" w:ascii="宋体" w:hAnsi="宋体" w:cs="宋体"/>
          <w:szCs w:val="21"/>
        </w:rPr>
        <w:t>15.2响应报价的价格构成见“供应商须知前附表”。</w:t>
      </w:r>
    </w:p>
    <w:p>
      <w:pPr>
        <w:spacing w:line="360" w:lineRule="auto"/>
        <w:ind w:firstLine="420" w:firstLineChars="200"/>
        <w:rPr>
          <w:rFonts w:ascii="宋体" w:hAnsi="宋体" w:cs="宋体"/>
          <w:szCs w:val="21"/>
        </w:rPr>
      </w:pPr>
      <w:r>
        <w:rPr>
          <w:rFonts w:hint="eastAsia" w:ascii="宋体" w:hAnsi="宋体" w:cs="宋体"/>
          <w:szCs w:val="21"/>
        </w:rPr>
        <w:t>15.3响应报价要求</w:t>
      </w:r>
    </w:p>
    <w:p>
      <w:pPr>
        <w:spacing w:line="360" w:lineRule="auto"/>
        <w:ind w:firstLine="420" w:firstLineChars="200"/>
        <w:rPr>
          <w:rFonts w:ascii="宋体" w:hAnsi="宋体" w:cs="宋体"/>
          <w:szCs w:val="21"/>
        </w:rPr>
      </w:pPr>
      <w:r>
        <w:rPr>
          <w:rFonts w:hint="eastAsia" w:ascii="宋体" w:hAnsi="宋体" w:cs="宋体"/>
          <w:szCs w:val="21"/>
        </w:rPr>
        <w:t>15.3.1供应商的响应报价应符合以下要求，否则响应文件按无效响应处理：</w:t>
      </w:r>
    </w:p>
    <w:p>
      <w:pPr>
        <w:spacing w:line="360" w:lineRule="auto"/>
        <w:ind w:firstLine="420" w:firstLineChars="200"/>
        <w:rPr>
          <w:rFonts w:ascii="宋体" w:hAnsi="宋体" w:cs="宋体"/>
          <w:szCs w:val="21"/>
        </w:rPr>
      </w:pPr>
      <w:r>
        <w:rPr>
          <w:rFonts w:hint="eastAsia" w:ascii="宋体" w:hAnsi="宋体" w:cs="宋体"/>
          <w:szCs w:val="21"/>
        </w:rPr>
        <w:t>（1）供应商必须就“采购需求”中所竞标的每个分标的全部内容分别作完整唯一总价报价，不得存在漏项报价；</w:t>
      </w:r>
    </w:p>
    <w:p>
      <w:pPr>
        <w:spacing w:line="360" w:lineRule="auto"/>
        <w:ind w:firstLine="420" w:firstLineChars="200"/>
        <w:rPr>
          <w:rFonts w:ascii="宋体" w:hAnsi="宋体" w:cs="宋体"/>
          <w:szCs w:val="21"/>
        </w:rPr>
      </w:pPr>
      <w:r>
        <w:rPr>
          <w:rFonts w:hint="eastAsia" w:ascii="宋体" w:hAnsi="宋体" w:cs="宋体"/>
          <w:szCs w:val="21"/>
        </w:rPr>
        <w:t>（2）供应商必须就所竞标的分标的单项内容作唯一报价。</w:t>
      </w:r>
    </w:p>
    <w:p>
      <w:pPr>
        <w:spacing w:line="360" w:lineRule="auto"/>
        <w:ind w:firstLine="420" w:firstLineChars="200"/>
        <w:rPr>
          <w:rFonts w:ascii="宋体" w:hAnsi="宋体" w:cs="宋体"/>
          <w:szCs w:val="21"/>
        </w:rPr>
      </w:pPr>
      <w:r>
        <w:rPr>
          <w:rFonts w:hint="eastAsia" w:ascii="宋体" w:hAnsi="宋体" w:cs="宋体"/>
          <w:szCs w:val="21"/>
        </w:rPr>
        <w:t>15.3.2响应报价（包含首次报价、最后报价）超过所竞标分标规定的采购预算金额或者最高限价的，其响应文件将作无效处理。</w:t>
      </w:r>
    </w:p>
    <w:p>
      <w:pPr>
        <w:spacing w:line="360" w:lineRule="auto"/>
        <w:ind w:firstLine="420" w:firstLineChars="200"/>
        <w:rPr>
          <w:rFonts w:ascii="宋体" w:hAnsi="宋体" w:cs="宋体"/>
          <w:szCs w:val="21"/>
        </w:rPr>
      </w:pPr>
      <w:r>
        <w:rPr>
          <w:rFonts w:hint="eastAsia" w:ascii="宋体" w:hAnsi="宋体" w:cs="宋体"/>
          <w:szCs w:val="21"/>
        </w:rPr>
        <w:t>15.3.3响应报价（包含首次报价、最后报价）超过分项采购预算金额或者最高限价的，其响应文件将作无效处理。</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16.竞标有效期</w:t>
      </w:r>
    </w:p>
    <w:p>
      <w:pPr>
        <w:spacing w:line="360" w:lineRule="auto"/>
        <w:ind w:firstLine="420" w:firstLineChars="200"/>
        <w:rPr>
          <w:rFonts w:ascii="宋体" w:hAnsi="宋体" w:cs="宋体"/>
          <w:szCs w:val="21"/>
        </w:rPr>
      </w:pPr>
      <w:r>
        <w:rPr>
          <w:rFonts w:hint="eastAsia" w:ascii="宋体" w:hAnsi="宋体" w:cs="宋体"/>
          <w:szCs w:val="21"/>
        </w:rPr>
        <w:t>16.1竞标有效期是指为保证采购人有足够的时间在提交响应文件后完成评审、确定成交供应商、合同签订等工作而要求供应商提交的响应文件在一定时间内保持有效的期限。</w:t>
      </w:r>
    </w:p>
    <w:p>
      <w:pPr>
        <w:spacing w:line="360" w:lineRule="auto"/>
        <w:ind w:firstLine="420" w:firstLineChars="200"/>
        <w:rPr>
          <w:rFonts w:ascii="宋体" w:hAnsi="宋体" w:cs="宋体"/>
          <w:szCs w:val="21"/>
        </w:rPr>
      </w:pPr>
      <w:r>
        <w:rPr>
          <w:rFonts w:hint="eastAsia" w:ascii="宋体" w:hAnsi="宋体" w:cs="宋体"/>
          <w:szCs w:val="21"/>
        </w:rPr>
        <w:t>16.2 竞标有效期应由供应商按“供应商须知前附表”规定的期限作出响应。</w:t>
      </w:r>
    </w:p>
    <w:p>
      <w:pPr>
        <w:spacing w:line="360" w:lineRule="auto"/>
        <w:ind w:firstLine="420" w:firstLineChars="200"/>
        <w:rPr>
          <w:rFonts w:ascii="宋体" w:hAnsi="宋体" w:cs="宋体"/>
          <w:szCs w:val="21"/>
        </w:rPr>
      </w:pPr>
      <w:r>
        <w:rPr>
          <w:rFonts w:hint="eastAsia" w:ascii="宋体" w:hAnsi="宋体" w:cs="宋体"/>
          <w:szCs w:val="21"/>
        </w:rPr>
        <w:t>16.3供应商的响应文件在竞标有效期内均保持有效。</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17.磋商保证金</w:t>
      </w:r>
    </w:p>
    <w:p>
      <w:pPr>
        <w:snapToGrid w:val="0"/>
        <w:spacing w:line="360" w:lineRule="auto"/>
        <w:ind w:firstLine="420" w:firstLineChars="200"/>
        <w:rPr>
          <w:rFonts w:ascii="宋体" w:hAnsi="宋体" w:cs="宋体"/>
          <w:szCs w:val="21"/>
        </w:rPr>
      </w:pPr>
      <w:r>
        <w:rPr>
          <w:rFonts w:hint="eastAsia" w:ascii="宋体" w:hAnsi="宋体" w:cs="宋体"/>
          <w:szCs w:val="21"/>
        </w:rPr>
        <w:t>17.1供应商须按</w:t>
      </w:r>
      <w:r>
        <w:rPr>
          <w:rFonts w:ascii="宋体" w:hAnsi="宋体" w:cs="宋体"/>
          <w:szCs w:val="21"/>
        </w:rPr>
        <w:t>“</w:t>
      </w:r>
      <w:r>
        <w:rPr>
          <w:rFonts w:hint="eastAsia" w:ascii="宋体" w:hAnsi="宋体" w:cs="宋体"/>
          <w:szCs w:val="21"/>
        </w:rPr>
        <w:t>供应商须知前附表</w:t>
      </w:r>
      <w:r>
        <w:rPr>
          <w:rFonts w:ascii="宋体" w:hAnsi="宋体" w:cs="宋体"/>
          <w:szCs w:val="21"/>
        </w:rPr>
        <w:t>”</w:t>
      </w:r>
      <w:r>
        <w:rPr>
          <w:rFonts w:hint="eastAsia" w:ascii="宋体" w:hAnsi="宋体" w:cs="宋体"/>
          <w:szCs w:val="21"/>
        </w:rPr>
        <w:t xml:space="preserve">的规定提交竞标保证金。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17.2竞标保证金的退还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未成交供应商的竞标保证金自成交通知书发出之日起4个工作日内退还；成交供应商的竞标保证金自签订合同之日起4个工作日内退还。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17.3竞标保证金不计息。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17.4供应商有下列情形之一的，竞标保证金将不予退还：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（1）供应商在提交响应文件截止时间后撤回响应文件的；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（2）未按规定提交履约保证金的；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（3）供应商在响应文件中提供虚假材料的；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（4）除因不可抗力或者采购文件认可的情形以外，成交供应商不与采购人签订合同的；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（5）供应商与采购人、其他供应商或者采购代理机构恶意串通的；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（6）法律法规规定的其他情形。 </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18.响应文件编制的要求</w:t>
      </w:r>
    </w:p>
    <w:p>
      <w:pPr>
        <w:spacing w:line="360" w:lineRule="auto"/>
        <w:ind w:firstLine="420" w:firstLineChars="200"/>
        <w:rPr>
          <w:rFonts w:ascii="宋体" w:hAnsi="宋体" w:cs="宋体"/>
          <w:szCs w:val="21"/>
        </w:rPr>
      </w:pPr>
      <w:r>
        <w:rPr>
          <w:rFonts w:hint="eastAsia" w:ascii="宋体" w:hAnsi="宋体" w:cs="宋体"/>
          <w:szCs w:val="21"/>
        </w:rPr>
        <w:t>18.1各供应商在编制响应文件时请按照磋商文件“第五章 响应文件格式”规定的格式进行，混乱的编排导致响应文件被误读或磋商小组查找不到有效文件是供应商的风险。不完整、编排混乱导致响应文件被误读、漏读或者查找不到相关内容的，</w:t>
      </w:r>
      <w:r>
        <w:rPr>
          <w:rFonts w:hint="eastAsia" w:ascii="宋体" w:hAnsi="宋体" w:cs="宋体"/>
        </w:rPr>
        <w:t>由此引发的</w:t>
      </w:r>
      <w:r>
        <w:rPr>
          <w:rFonts w:hint="eastAsia" w:ascii="宋体" w:hAnsi="宋体" w:cs="宋体"/>
          <w:szCs w:val="21"/>
        </w:rPr>
        <w:t>后果由供应商承担。</w:t>
      </w:r>
    </w:p>
    <w:p>
      <w:pPr>
        <w:spacing w:line="360" w:lineRule="auto"/>
        <w:ind w:firstLine="420" w:firstLineChars="200"/>
        <w:rPr>
          <w:rFonts w:ascii="宋体" w:hAnsi="宋体" w:cs="宋体"/>
          <w:szCs w:val="21"/>
        </w:rPr>
      </w:pPr>
      <w:r>
        <w:rPr>
          <w:rFonts w:hint="eastAsia" w:ascii="宋体" w:hAnsi="宋体" w:cs="宋体"/>
          <w:szCs w:val="21"/>
        </w:rPr>
        <w:t>18.2响应文件应按资格证明、报价分别编制，商务技术文件合并编制，本磋商只接受电子版响应文件，要求见本章“12.2响应文件电子版要求”。</w:t>
      </w:r>
    </w:p>
    <w:p>
      <w:pPr>
        <w:spacing w:line="360" w:lineRule="auto"/>
        <w:ind w:firstLine="420" w:firstLineChars="200"/>
        <w:rPr>
          <w:rFonts w:ascii="宋体" w:hAnsi="宋体" w:cs="宋体"/>
          <w:szCs w:val="21"/>
        </w:rPr>
      </w:pPr>
      <w:r>
        <w:rPr>
          <w:rFonts w:hint="eastAsia" w:ascii="宋体" w:hAnsi="宋体" w:cs="宋体"/>
          <w:szCs w:val="21"/>
        </w:rPr>
        <w:t>18.3</w:t>
      </w:r>
      <w:r>
        <w:rPr>
          <w:rFonts w:hint="eastAsia" w:ascii="宋体" w:hAnsi="宋体"/>
          <w:szCs w:val="21"/>
        </w:rPr>
        <w:t>响应文件须由供应商在</w:t>
      </w:r>
      <w:r>
        <w:rPr>
          <w:rFonts w:hint="eastAsia" w:ascii="宋体" w:hAnsi="宋体" w:cs="仿宋_GB2312"/>
          <w:kern w:val="0"/>
          <w:szCs w:val="21"/>
          <w:lang w:val="zh-CN"/>
        </w:rPr>
        <w:t>“</w:t>
      </w:r>
      <w:r>
        <w:rPr>
          <w:rFonts w:hint="eastAsia" w:ascii="宋体" w:hAnsi="宋体"/>
          <w:szCs w:val="21"/>
        </w:rPr>
        <w:t>第五章 响应文件格式</w:t>
      </w:r>
      <w:r>
        <w:rPr>
          <w:rFonts w:hint="eastAsia" w:ascii="宋体" w:hAnsi="宋体" w:cs="仿宋_GB2312"/>
          <w:kern w:val="0"/>
          <w:szCs w:val="21"/>
          <w:lang w:val="zh-CN"/>
        </w:rPr>
        <w:t>”</w:t>
      </w:r>
      <w:r>
        <w:rPr>
          <w:rFonts w:hint="eastAsia" w:ascii="宋体" w:hAnsi="宋体"/>
          <w:szCs w:val="21"/>
        </w:rPr>
        <w:t>规定位置</w:t>
      </w:r>
      <w:r>
        <w:rPr>
          <w:rFonts w:hint="eastAsia" w:ascii="宋体" w:hAnsi="宋体" w:cs="仿宋_GB2312"/>
          <w:szCs w:val="21"/>
        </w:rPr>
        <w:t>进行签署、盖章</w:t>
      </w:r>
      <w:r>
        <w:rPr>
          <w:rFonts w:hint="eastAsia" w:ascii="宋体" w:hAnsi="宋体" w:cs="宋体"/>
          <w:szCs w:val="21"/>
        </w:rPr>
        <w:t>，否则其响应文件按无效响应处理。骑缝盖公章不视为在规定位置盖章。</w:t>
      </w:r>
    </w:p>
    <w:p>
      <w:pPr>
        <w:spacing w:line="360" w:lineRule="auto"/>
        <w:ind w:firstLine="420" w:firstLineChars="200"/>
        <w:rPr>
          <w:rFonts w:ascii="宋体" w:hAnsi="宋体" w:cs="宋体"/>
          <w:szCs w:val="21"/>
        </w:rPr>
      </w:pPr>
      <w:r>
        <w:rPr>
          <w:rFonts w:hint="eastAsia" w:ascii="宋体" w:hAnsi="宋体" w:cs="宋体"/>
          <w:szCs w:val="21"/>
        </w:rPr>
        <w:t>18.4响应文件中标注的供应商名称应与营业执照（事业单位法人证书、执业许可证、自然人身份证）及电子公章一致，否则其响应文件按无效响应处理。</w:t>
      </w:r>
    </w:p>
    <w:p>
      <w:pPr>
        <w:spacing w:line="360" w:lineRule="auto"/>
        <w:ind w:firstLine="420" w:firstLineChars="200"/>
        <w:rPr>
          <w:rFonts w:ascii="宋体" w:hAnsi="宋体" w:cs="宋体"/>
          <w:szCs w:val="21"/>
        </w:rPr>
      </w:pPr>
      <w:r>
        <w:rPr>
          <w:rFonts w:hint="eastAsia" w:ascii="宋体" w:hAnsi="宋体" w:cs="宋体"/>
          <w:szCs w:val="21"/>
        </w:rPr>
        <w:t>18.5响应文件应避免涂改、行间插字或者删除，否则其响应文件按无效响应处理。</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19.响应文件的密封和标记</w:t>
      </w:r>
    </w:p>
    <w:p>
      <w:pPr>
        <w:spacing w:line="360" w:lineRule="auto"/>
        <w:ind w:firstLine="420" w:firstLineChars="200"/>
        <w:rPr>
          <w:rFonts w:ascii="宋体" w:hAnsi="宋体" w:cs="仿宋_GB2312"/>
          <w:kern w:val="0"/>
          <w:szCs w:val="21"/>
          <w:lang w:val="zh-CN"/>
        </w:rPr>
      </w:pPr>
      <w:r>
        <w:rPr>
          <w:rFonts w:hint="eastAsia" w:ascii="宋体" w:hAnsi="宋体" w:cs="仿宋_GB2312"/>
          <w:kern w:val="0"/>
          <w:szCs w:val="21"/>
          <w:lang w:val="zh-CN"/>
        </w:rPr>
        <w:t>19.1供应商进行电子交易应安装客户端软件—“政采云电子交易客户端”，并按照磋商文件和电子交易平台的要求编制并加密响应文件。供应商未按规定加密的响应文件，电子交易平台将拒收并提示。</w:t>
      </w:r>
    </w:p>
    <w:p>
      <w:pPr>
        <w:spacing w:line="360" w:lineRule="auto"/>
        <w:ind w:firstLine="420" w:firstLineChars="200"/>
        <w:rPr>
          <w:rFonts w:ascii="宋体" w:hAnsi="宋体" w:cs="仿宋_GB2312"/>
          <w:kern w:val="0"/>
          <w:szCs w:val="21"/>
          <w:lang w:val="zh-CN"/>
        </w:rPr>
      </w:pPr>
      <w:r>
        <w:rPr>
          <w:rFonts w:hint="eastAsia" w:ascii="宋体" w:hAnsi="宋体" w:cs="仿宋_GB2312"/>
          <w:kern w:val="0"/>
          <w:szCs w:val="21"/>
          <w:lang w:val="zh-CN"/>
        </w:rPr>
        <w:t>19.2使用“政采云电子交易客户端”需要提前申领CA数字证书。</w:t>
      </w:r>
    </w:p>
    <w:p>
      <w:pPr>
        <w:pStyle w:val="20"/>
        <w:spacing w:line="360" w:lineRule="auto"/>
        <w:ind w:firstLine="420" w:firstLineChars="200"/>
        <w:rPr>
          <w:rFonts w:hAnsi="宋体" w:cs="仿宋_GB2312"/>
          <w:sz w:val="21"/>
        </w:rPr>
      </w:pPr>
      <w:r>
        <w:rPr>
          <w:rFonts w:hint="eastAsia" w:hAnsi="宋体" w:cs="仿宋_GB2312"/>
          <w:sz w:val="21"/>
        </w:rPr>
        <w:t>19.3为确保网上操作合法、有效和安全，供应商应当在响应文件提交截止时间前完成在“政府采购云平台”的身份认证，确保在电子交易过程中能够对相关数据电文进行加密和使用电子签名。</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20.响应文件的提交</w:t>
      </w:r>
    </w:p>
    <w:p>
      <w:pPr>
        <w:spacing w:line="360" w:lineRule="auto"/>
        <w:ind w:firstLine="420" w:firstLineChars="200"/>
        <w:rPr>
          <w:rFonts w:ascii="宋体" w:hAnsi="宋体" w:cs="宋体"/>
          <w:szCs w:val="21"/>
        </w:rPr>
      </w:pPr>
      <w:r>
        <w:rPr>
          <w:rFonts w:hint="eastAsia" w:ascii="宋体" w:hAnsi="宋体" w:cs="宋体"/>
          <w:szCs w:val="21"/>
        </w:rPr>
        <w:t>20.1供应商必须在“供应商须知前附表”规定的时间和地点提交响应文件。</w:t>
      </w:r>
    </w:p>
    <w:p>
      <w:pPr>
        <w:spacing w:line="360" w:lineRule="auto"/>
        <w:ind w:firstLine="420" w:firstLineChars="200"/>
        <w:rPr>
          <w:rFonts w:ascii="宋体" w:hAnsi="宋体"/>
          <w:szCs w:val="21"/>
        </w:rPr>
      </w:pPr>
      <w:r>
        <w:rPr>
          <w:rFonts w:hint="eastAsia" w:ascii="宋体" w:hAnsi="宋体" w:cs="宋体"/>
          <w:szCs w:val="21"/>
        </w:rPr>
        <w:t>20</w:t>
      </w:r>
      <w:r>
        <w:rPr>
          <w:rFonts w:hint="eastAsia" w:ascii="宋体" w:hAnsi="宋体"/>
          <w:szCs w:val="21"/>
        </w:rPr>
        <w:t>.2 在响应文件提交截止时间以后，不能补充、修改响应文件。</w:t>
      </w:r>
    </w:p>
    <w:p>
      <w:pPr>
        <w:spacing w:line="360" w:lineRule="auto"/>
        <w:ind w:firstLine="420" w:firstLineChars="200"/>
        <w:rPr>
          <w:rFonts w:ascii="宋体" w:hAnsi="宋体"/>
          <w:szCs w:val="21"/>
        </w:rPr>
      </w:pPr>
      <w:r>
        <w:rPr>
          <w:rFonts w:hint="eastAsia" w:ascii="宋体" w:hAnsi="宋体"/>
          <w:szCs w:val="21"/>
        </w:rPr>
        <w:t>20.3 在提交“最后报价”后，供应商不能退出谈判。</w:t>
      </w:r>
    </w:p>
    <w:p>
      <w:pPr>
        <w:spacing w:line="360" w:lineRule="auto"/>
        <w:ind w:firstLine="420" w:firstLineChars="200"/>
        <w:rPr>
          <w:rFonts w:ascii="宋体" w:hAnsi="宋体"/>
          <w:szCs w:val="21"/>
        </w:rPr>
      </w:pPr>
      <w:r>
        <w:rPr>
          <w:rFonts w:hint="eastAsia" w:ascii="宋体" w:hAnsi="宋体"/>
          <w:szCs w:val="21"/>
        </w:rPr>
        <w:t>20.4 电子交易平台收到响应文件，将妥善保存并即时向供应商发出确认回执通知。在响应文件提交截止时间前，除供应商补充、修改或者撤回响应文件外，任何单位和个人不得解密或提取响应文件。</w:t>
      </w:r>
    </w:p>
    <w:p>
      <w:pPr>
        <w:spacing w:line="360" w:lineRule="auto"/>
        <w:ind w:firstLine="420" w:firstLineChars="200"/>
        <w:rPr>
          <w:rFonts w:ascii="宋体" w:hAnsi="宋体"/>
          <w:szCs w:val="21"/>
        </w:rPr>
      </w:pPr>
      <w:r>
        <w:rPr>
          <w:rFonts w:hint="eastAsia" w:ascii="宋体" w:hAnsi="宋体"/>
          <w:szCs w:val="21"/>
        </w:rPr>
        <w:t>20.5 采购机构不可视情况延长提交响应文件的截止时间。</w:t>
      </w:r>
    </w:p>
    <w:p>
      <w:pPr>
        <w:spacing w:line="360" w:lineRule="auto"/>
        <w:ind w:firstLine="420" w:firstLineChars="200"/>
        <w:rPr>
          <w:rFonts w:ascii="黑体" w:hAnsi="黑体" w:eastAsia="黑体"/>
          <w:sz w:val="24"/>
        </w:rPr>
      </w:pPr>
      <w:r>
        <w:rPr>
          <w:rFonts w:hint="eastAsia" w:ascii="宋体" w:hAnsi="宋体"/>
          <w:szCs w:val="21"/>
        </w:rPr>
        <w:t>20.6备份响应文件。</w:t>
      </w:r>
      <w:r>
        <w:rPr>
          <w:rFonts w:hint="eastAsia" w:hAnsi="宋体"/>
          <w:bCs/>
          <w:szCs w:val="21"/>
        </w:rPr>
        <w:t>详见在“供应商须知前附表”。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21.首次响应文件的补充、修改与撤回</w:t>
      </w:r>
    </w:p>
    <w:p>
      <w:pPr>
        <w:spacing w:line="360" w:lineRule="auto"/>
        <w:ind w:firstLine="420" w:firstLineChars="200"/>
        <w:rPr>
          <w:rFonts w:ascii="宋体" w:hAnsi="宋体" w:cs="宋体"/>
          <w:szCs w:val="21"/>
        </w:rPr>
      </w:pPr>
      <w:r>
        <w:rPr>
          <w:rFonts w:hint="eastAsia" w:ascii="宋体" w:hAnsi="宋体" w:cs="宋体"/>
          <w:szCs w:val="21"/>
        </w:rPr>
        <w:t>详见“供应商须知前附表”。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22. 首次响应文件的退回</w:t>
      </w:r>
    </w:p>
    <w:p>
      <w:pPr>
        <w:spacing w:line="360" w:lineRule="auto"/>
        <w:ind w:firstLine="420" w:firstLineChars="200"/>
        <w:rPr>
          <w:rFonts w:ascii="宋体" w:hAnsi="宋体" w:cs="宋体"/>
          <w:szCs w:val="21"/>
        </w:rPr>
      </w:pPr>
      <w:r>
        <w:rPr>
          <w:rFonts w:hint="eastAsia" w:ascii="宋体" w:hAnsi="宋体" w:cs="宋体"/>
          <w:szCs w:val="21"/>
        </w:rPr>
        <w:t>在首次响应文件提交截止时间止提交响应文件的供应商不足3家时电子响应文件由代理机构在“政采云”平台操作退回，除此之外采购人和采购代理机构对已提交的电子响应文件概不退回。</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23. 截止时间后的撤回</w:t>
      </w:r>
    </w:p>
    <w:p>
      <w:pPr>
        <w:snapToGrid w:val="0"/>
        <w:spacing w:line="360" w:lineRule="auto"/>
        <w:ind w:firstLine="420" w:firstLineChars="200"/>
        <w:rPr>
          <w:rFonts w:ascii="宋体" w:hAnsi="宋体"/>
          <w:szCs w:val="21"/>
        </w:rPr>
      </w:pPr>
      <w:r>
        <w:rPr>
          <w:rFonts w:hint="eastAsia" w:ascii="宋体...骝乧." w:hAnsi="宋体...骝乧." w:eastAsia="宋体...骝乧."/>
        </w:rPr>
        <w:t>供应商在响应文件提交截止时间后向采购人、采购代理机构书面申请撤回响应文件的，将根据本须知正文第17.4条的规定不予退还其竞标保证金。</w:t>
      </w:r>
    </w:p>
    <w:p>
      <w:pPr>
        <w:pStyle w:val="7"/>
        <w:spacing w:before="0" w:after="0" w:line="360" w:lineRule="auto"/>
        <w:ind w:firstLine="640" w:firstLineChars="200"/>
        <w:rPr>
          <w:rFonts w:ascii="宋体" w:hAnsi="宋体"/>
          <w:b w:val="0"/>
          <w:bCs w:val="0"/>
        </w:rPr>
      </w:pPr>
      <w:bookmarkStart w:id="37" w:name="_Toc31550"/>
      <w:r>
        <w:rPr>
          <w:rFonts w:hint="eastAsia" w:ascii="宋体" w:hAnsi="宋体"/>
          <w:b w:val="0"/>
          <w:bCs w:val="0"/>
        </w:rPr>
        <w:t>四、评审及磋商</w:t>
      </w:r>
      <w:bookmarkEnd w:id="37"/>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24.磋商小组成立</w:t>
      </w:r>
    </w:p>
    <w:p>
      <w:pPr>
        <w:spacing w:line="360" w:lineRule="auto"/>
        <w:ind w:firstLine="420" w:firstLineChars="200"/>
        <w:rPr>
          <w:rFonts w:ascii="宋体" w:hAnsi="宋体" w:cs="宋体"/>
          <w:szCs w:val="21"/>
        </w:rPr>
      </w:pPr>
      <w:r>
        <w:rPr>
          <w:rFonts w:hint="eastAsia" w:ascii="宋体" w:hAnsi="宋体" w:cs="宋体"/>
          <w:szCs w:val="21"/>
        </w:rPr>
        <w:t>24.1磋商小组由采购人代表和评审专家共3人以上单数组成，其中评审专家人数不得少于磋商小组成员总数的2/3。采购人代表不得以评审专家身份参加本部门或者本单位采购项目的评审。采购代理机构人员不得参加本机构代理的采购项目的评审。达到公开招标数额标准的货物或者服务采购项目，或者达到公开招标规模标准的政府采购工程，经批准采用竞争性磋商方式采购的，磋商小组由5人以上单数组成。</w:t>
      </w:r>
    </w:p>
    <w:p>
      <w:pPr>
        <w:spacing w:line="360" w:lineRule="auto"/>
        <w:ind w:firstLine="420" w:firstLineChars="200"/>
        <w:rPr>
          <w:rFonts w:ascii="宋体" w:hAnsi="宋体" w:cs="宋体"/>
          <w:szCs w:val="21"/>
        </w:rPr>
      </w:pPr>
      <w:r>
        <w:rPr>
          <w:rFonts w:hint="eastAsia" w:ascii="宋体" w:hAnsi="宋体" w:cs="宋体"/>
          <w:szCs w:val="21"/>
        </w:rPr>
        <w:t>24.2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1名法律专家。</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25.首次响应文件的开启</w:t>
      </w:r>
    </w:p>
    <w:p>
      <w:pPr>
        <w:spacing w:line="360" w:lineRule="auto"/>
        <w:ind w:firstLine="420" w:firstLineChars="200"/>
        <w:rPr>
          <w:rFonts w:ascii="宋体" w:hAnsi="宋体" w:cs="宋体"/>
          <w:szCs w:val="21"/>
        </w:rPr>
      </w:pPr>
      <w:r>
        <w:rPr>
          <w:rFonts w:hint="eastAsia" w:ascii="宋体" w:hAnsi="宋体" w:cs="宋体"/>
          <w:szCs w:val="21"/>
        </w:rPr>
        <w:t>25.1首次响应文件由磋商小组或者采购代理机构在“供应商须知前附表”规定的时间开启。</w:t>
      </w:r>
    </w:p>
    <w:p>
      <w:pPr>
        <w:pStyle w:val="20"/>
        <w:spacing w:line="360" w:lineRule="auto"/>
        <w:ind w:firstLine="420" w:firstLineChars="200"/>
        <w:rPr>
          <w:rFonts w:hAnsi="宋体"/>
          <w:bCs/>
          <w:sz w:val="21"/>
        </w:rPr>
      </w:pPr>
      <w:r>
        <w:rPr>
          <w:rFonts w:hint="eastAsia" w:hAnsi="宋体" w:cs="宋体"/>
          <w:sz w:val="21"/>
        </w:rPr>
        <w:t xml:space="preserve">25.2 </w:t>
      </w:r>
      <w:r>
        <w:rPr>
          <w:rFonts w:hint="eastAsia" w:hAnsi="宋体"/>
          <w:bCs/>
          <w:sz w:val="21"/>
        </w:rPr>
        <w:t>响应文件解密</w:t>
      </w:r>
    </w:p>
    <w:p>
      <w:pPr>
        <w:pStyle w:val="20"/>
        <w:snapToGrid w:val="0"/>
        <w:spacing w:line="360" w:lineRule="auto"/>
        <w:ind w:firstLine="420" w:firstLineChars="200"/>
        <w:rPr>
          <w:rFonts w:hAnsi="宋体"/>
          <w:sz w:val="21"/>
        </w:rPr>
      </w:pPr>
      <w:r>
        <w:rPr>
          <w:rFonts w:hint="eastAsia" w:hAnsi="宋体"/>
          <w:bCs/>
          <w:sz w:val="21"/>
        </w:rPr>
        <w:t>采购代理机构将在“供应商须知前附表”规定的时</w:t>
      </w:r>
      <w:r>
        <w:rPr>
          <w:rFonts w:hint="eastAsia" w:hAnsi="宋体"/>
          <w:sz w:val="21"/>
        </w:rPr>
        <w:t>间通过电子交易平台组织响应文件开启，采购机构依托电子交易平台发起开始解密指令，供应商的法定代表人或其委托代理人</w:t>
      </w:r>
      <w:r>
        <w:rPr>
          <w:rFonts w:hint="eastAsia" w:hAnsi="宋体"/>
          <w:b/>
        </w:rPr>
        <w:t>须携带加密时所用的CA锁按平台提示和采购文件的规定登录到“广西政采云”平台电子开标大厅签到并在发起解密指令之时起30分钟内完成对电子响应文件在线解密</w:t>
      </w:r>
      <w:r>
        <w:rPr>
          <w:rFonts w:hint="eastAsia" w:hAnsi="宋体"/>
        </w:rPr>
        <w:t>。</w:t>
      </w:r>
      <w:r>
        <w:rPr>
          <w:rFonts w:hint="eastAsia" w:hAnsi="宋体"/>
          <w:sz w:val="21"/>
        </w:rPr>
        <w:t>发起解密指令之时起5分钟内供应商还未进行解密的，代理机构要通知供应商，供应商没预留联系方式或预留联系方式无效，导致代理机构无法联系到供应商进行解密的，</w:t>
      </w:r>
      <w:r>
        <w:rPr>
          <w:rFonts w:hint="eastAsia" w:hAnsi="宋体"/>
          <w:b/>
          <w:sz w:val="21"/>
        </w:rPr>
        <w:t>视为响应文件无效。</w:t>
      </w:r>
      <w:r>
        <w:rPr>
          <w:rFonts w:hint="eastAsia" w:hAnsi="宋体"/>
          <w:sz w:val="21"/>
        </w:rPr>
        <w:t>（解密</w:t>
      </w:r>
      <w:r>
        <w:rPr>
          <w:rFonts w:hint="eastAsia" w:hAnsi="宋体"/>
          <w:bCs/>
          <w:sz w:val="21"/>
        </w:rPr>
        <w:t>异常情况处理：详见本章</w:t>
      </w:r>
      <w:r>
        <w:rPr>
          <w:rFonts w:hint="eastAsia" w:hAnsi="宋体"/>
          <w:sz w:val="21"/>
        </w:rPr>
        <w:t>26.4 电子交易活动的中止。）</w:t>
      </w:r>
    </w:p>
    <w:p>
      <w:pPr>
        <w:spacing w:line="360" w:lineRule="auto"/>
        <w:ind w:firstLine="420" w:firstLineChars="200"/>
        <w:rPr>
          <w:rFonts w:ascii="宋体" w:hAnsi="Courier New"/>
          <w:kern w:val="0"/>
          <w:szCs w:val="21"/>
        </w:rPr>
      </w:pPr>
      <w:r>
        <w:rPr>
          <w:rFonts w:hint="eastAsia" w:ascii="宋体" w:hAnsi="宋体"/>
          <w:kern w:val="0"/>
          <w:szCs w:val="21"/>
        </w:rPr>
        <w:t>如</w:t>
      </w:r>
      <w:r>
        <w:rPr>
          <w:rFonts w:hint="eastAsia" w:ascii="宋体" w:hAnsi="宋体"/>
          <w:bCs/>
          <w:kern w:val="0"/>
          <w:szCs w:val="21"/>
        </w:rPr>
        <w:t>供应商成功解密响应文件，但未在“广西政采云”电子开标大厅参加磋商的，视同认可磋商过程和结果，</w:t>
      </w:r>
      <w:r>
        <w:rPr>
          <w:rFonts w:hint="eastAsia" w:ascii="宋体" w:hAnsi="宋体"/>
          <w:kern w:val="0"/>
          <w:szCs w:val="21"/>
        </w:rPr>
        <w:t>由此产生的后果由供应商自行负责。 参与</w:t>
      </w:r>
      <w:r>
        <w:rPr>
          <w:rFonts w:hint="eastAsia" w:ascii="宋体" w:hAnsi="宋体"/>
          <w:bCs/>
          <w:kern w:val="0"/>
          <w:szCs w:val="21"/>
        </w:rPr>
        <w:t>磋商</w:t>
      </w:r>
      <w:r>
        <w:rPr>
          <w:rFonts w:hint="eastAsia" w:ascii="宋体" w:hAnsi="宋体"/>
          <w:kern w:val="0"/>
          <w:szCs w:val="21"/>
        </w:rPr>
        <w:t>的供应商</w:t>
      </w:r>
      <w:r>
        <w:rPr>
          <w:rFonts w:hint="eastAsia" w:ascii="宋体" w:hAnsi="Courier New"/>
          <w:kern w:val="0"/>
          <w:szCs w:val="21"/>
        </w:rPr>
        <w:t>不足3家的，不得</w:t>
      </w:r>
      <w:r>
        <w:rPr>
          <w:rFonts w:hint="eastAsia" w:ascii="宋体" w:hAnsi="宋体"/>
          <w:bCs/>
          <w:kern w:val="0"/>
          <w:szCs w:val="21"/>
        </w:rPr>
        <w:t>磋商</w:t>
      </w:r>
      <w:r>
        <w:rPr>
          <w:rFonts w:hint="eastAsia" w:ascii="宋体" w:hAnsi="Courier New"/>
          <w:kern w:val="0"/>
          <w:szCs w:val="21"/>
        </w:rPr>
        <w:t>。</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26.评审程序、评审方法和评审标准</w:t>
      </w:r>
    </w:p>
    <w:p>
      <w:pPr>
        <w:spacing w:line="360" w:lineRule="auto"/>
        <w:ind w:firstLine="420" w:firstLineChars="200"/>
        <w:rPr>
          <w:rFonts w:ascii="宋体" w:hAnsi="宋体" w:cs="宋体"/>
          <w:szCs w:val="21"/>
        </w:rPr>
      </w:pPr>
      <w:r>
        <w:rPr>
          <w:rFonts w:hint="eastAsia" w:ascii="宋体" w:hAnsi="宋体" w:cs="宋体"/>
          <w:szCs w:val="21"/>
        </w:rPr>
        <w:t>26.1磋商小组按照“第四章 评审程序、评审方法和评审标准”规定的方法、评审因素、标准和程序对响应文件进行评审。</w:t>
      </w:r>
    </w:p>
    <w:p>
      <w:pPr>
        <w:spacing w:line="360" w:lineRule="auto"/>
        <w:ind w:firstLine="420" w:firstLineChars="200"/>
        <w:rPr>
          <w:rFonts w:ascii="宋体" w:hAnsi="宋体" w:cs="宋体"/>
          <w:szCs w:val="21"/>
        </w:rPr>
      </w:pPr>
      <w:r>
        <w:rPr>
          <w:rFonts w:hint="eastAsia" w:ascii="宋体" w:hAnsi="宋体"/>
          <w:szCs w:val="21"/>
        </w:rPr>
        <w:t xml:space="preserve">26.2 </w:t>
      </w:r>
      <w:r>
        <w:rPr>
          <w:rFonts w:hint="eastAsia" w:ascii="宋体" w:hAnsi="宋体" w:cs="宋体"/>
          <w:szCs w:val="21"/>
        </w:rPr>
        <w:t>磋商文件内容违反国家有关强制性规定的，磋商小组应当停止评审并向采购人或者采购代理机构说明情况，并在评审报告中书面体现。</w:t>
      </w:r>
    </w:p>
    <w:p>
      <w:pPr>
        <w:spacing w:line="360" w:lineRule="auto"/>
        <w:ind w:firstLine="420" w:firstLineChars="200"/>
        <w:rPr>
          <w:rFonts w:ascii="宋体" w:hAnsi="宋体"/>
          <w:szCs w:val="21"/>
        </w:rPr>
      </w:pPr>
      <w:r>
        <w:rPr>
          <w:rFonts w:hint="eastAsia" w:ascii="宋体" w:hAnsi="宋体" w:cs="宋体"/>
          <w:szCs w:val="21"/>
        </w:rPr>
        <w:t xml:space="preserve">26.3 </w:t>
      </w:r>
      <w:r>
        <w:rPr>
          <w:rFonts w:hint="eastAsia" w:ascii="宋体" w:hAnsi="宋体"/>
          <w:szCs w:val="21"/>
        </w:rPr>
        <w:t>采购需求负偏离要求及磋商顺序详见 “ 供应商须知前附表”。</w:t>
      </w:r>
    </w:p>
    <w:p>
      <w:pPr>
        <w:spacing w:line="360" w:lineRule="auto"/>
        <w:ind w:firstLine="420" w:firstLineChars="200"/>
        <w:rPr>
          <w:rFonts w:ascii="宋体" w:hAnsi="宋体"/>
        </w:rPr>
      </w:pPr>
      <w:r>
        <w:rPr>
          <w:rFonts w:hint="eastAsia" w:ascii="宋体" w:hAnsi="宋体"/>
        </w:rPr>
        <w:t>26.4电子交易活动的中止。采购过程中出现以下情形，导致电子交易平台无法正常运行，或者无法保证电子交易的公平、公正和安全时，采购机构可中止电子交易活动：</w:t>
      </w:r>
    </w:p>
    <w:p>
      <w:pPr>
        <w:spacing w:line="360" w:lineRule="auto"/>
        <w:ind w:firstLine="420" w:firstLineChars="200"/>
        <w:rPr>
          <w:rFonts w:ascii="宋体" w:hAnsi="宋体"/>
        </w:rPr>
      </w:pPr>
      <w:r>
        <w:rPr>
          <w:rFonts w:hint="eastAsia" w:ascii="宋体" w:hAnsi="宋体"/>
        </w:rPr>
        <w:t xml:space="preserve">（1）电子交易平台发生故障而无法登录访问的； </w:t>
      </w:r>
    </w:p>
    <w:p>
      <w:pPr>
        <w:spacing w:line="360" w:lineRule="auto"/>
        <w:ind w:firstLine="420" w:firstLineChars="200"/>
        <w:rPr>
          <w:rFonts w:ascii="宋体" w:hAnsi="宋体"/>
        </w:rPr>
      </w:pPr>
      <w:r>
        <w:rPr>
          <w:rFonts w:hint="eastAsia" w:ascii="宋体" w:hAnsi="宋体"/>
        </w:rPr>
        <w:t>（2）电子交易平台应用或数据库出现错误，不能进行正常操作的；</w:t>
      </w:r>
    </w:p>
    <w:p>
      <w:pPr>
        <w:spacing w:line="360" w:lineRule="auto"/>
        <w:ind w:firstLine="420" w:firstLineChars="200"/>
        <w:rPr>
          <w:rFonts w:ascii="宋体" w:hAnsi="宋体"/>
        </w:rPr>
      </w:pPr>
      <w:r>
        <w:rPr>
          <w:rFonts w:hint="eastAsia" w:ascii="宋体" w:hAnsi="宋体"/>
        </w:rPr>
        <w:t>（3）电子交易平台发现严重安全漏洞，有潜在泄密危险的；</w:t>
      </w:r>
    </w:p>
    <w:p>
      <w:pPr>
        <w:spacing w:line="360" w:lineRule="auto"/>
        <w:ind w:firstLine="420" w:firstLineChars="200"/>
        <w:rPr>
          <w:rFonts w:ascii="宋体" w:hAnsi="宋体"/>
        </w:rPr>
      </w:pPr>
      <w:r>
        <w:rPr>
          <w:rFonts w:hint="eastAsia" w:ascii="宋体" w:hAnsi="宋体"/>
        </w:rPr>
        <w:t xml:space="preserve">（4）病毒发作导致不能进行正常操作的； </w:t>
      </w:r>
    </w:p>
    <w:p>
      <w:pPr>
        <w:spacing w:line="360" w:lineRule="auto"/>
        <w:ind w:firstLine="420" w:firstLineChars="200"/>
        <w:rPr>
          <w:rFonts w:ascii="宋体" w:hAnsi="宋体"/>
        </w:rPr>
      </w:pPr>
      <w:r>
        <w:rPr>
          <w:rFonts w:hint="eastAsia" w:ascii="宋体" w:hAnsi="宋体"/>
        </w:rPr>
        <w:t>（5）其他无法保证电子交易的公平、公正和安全的情况。</w:t>
      </w:r>
    </w:p>
    <w:p>
      <w:pPr>
        <w:spacing w:line="360" w:lineRule="auto"/>
        <w:ind w:firstLine="420" w:firstLineChars="200"/>
        <w:rPr>
          <w:rFonts w:ascii="宋体" w:hAnsi="宋体"/>
        </w:rPr>
      </w:pPr>
      <w:r>
        <w:rPr>
          <w:rFonts w:hint="eastAsia" w:ascii="宋体" w:hAnsi="宋体"/>
        </w:rPr>
        <w:t>26.5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pPr>
        <w:pStyle w:val="7"/>
        <w:spacing w:before="0" w:after="0" w:line="360" w:lineRule="auto"/>
        <w:ind w:firstLine="480" w:firstLineChars="150"/>
        <w:rPr>
          <w:rFonts w:ascii="宋体" w:hAnsi="宋体"/>
          <w:b w:val="0"/>
          <w:bCs w:val="0"/>
        </w:rPr>
      </w:pPr>
      <w:bookmarkStart w:id="38" w:name="_Toc32496"/>
      <w:r>
        <w:rPr>
          <w:rFonts w:hint="eastAsia" w:ascii="宋体" w:hAnsi="宋体"/>
          <w:b w:val="0"/>
          <w:bCs w:val="0"/>
        </w:rPr>
        <w:t>五、成交及合同</w:t>
      </w:r>
      <w:bookmarkEnd w:id="38"/>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27.确定成交供应商及结果公告</w:t>
      </w:r>
    </w:p>
    <w:p>
      <w:pPr>
        <w:spacing w:line="360" w:lineRule="auto"/>
        <w:ind w:firstLine="420" w:firstLineChars="200"/>
        <w:rPr>
          <w:rFonts w:ascii="宋体" w:hAnsi="宋体" w:cs="宋体"/>
          <w:szCs w:val="21"/>
        </w:rPr>
      </w:pPr>
      <w:r>
        <w:rPr>
          <w:rFonts w:hint="eastAsia" w:ascii="宋体" w:hAnsi="宋体" w:cs="宋体"/>
          <w:szCs w:val="21"/>
        </w:rPr>
        <w:t>27.1确定成交供应商。</w:t>
      </w:r>
      <w:r>
        <w:rPr>
          <w:rFonts w:hint="eastAsia" w:ascii="宋体" w:hAnsi="宋体" w:cs="宋体"/>
          <w:kern w:val="0"/>
          <w:szCs w:val="21"/>
        </w:rPr>
        <w:t>采购代理机构应当在评审结束后2个工作日内将评审报告送采购人确认。采购人应当在收到评审报告后5个工作日内，将评审报告提出的排名第一的成交候选人确定为成交供应商，也可以书面授权磋商小组直接确定成交供应商。采购人逾期未确定成交供应商且不提出异议的，视为确定评审报告提出的排名第一的成交候选人为成交供应商。</w:t>
      </w:r>
    </w:p>
    <w:p>
      <w:pPr>
        <w:spacing w:line="360" w:lineRule="auto"/>
        <w:ind w:firstLine="420" w:firstLineChars="200"/>
        <w:rPr>
          <w:rFonts w:ascii="宋体" w:hAnsi="宋体" w:cs="宋体"/>
          <w:szCs w:val="21"/>
        </w:rPr>
      </w:pPr>
      <w:r>
        <w:rPr>
          <w:rFonts w:hint="eastAsia" w:ascii="宋体" w:hAnsi="宋体" w:cs="宋体"/>
          <w:szCs w:val="21"/>
        </w:rPr>
        <w:t>27.2采购代理机构应当在成交供应商确定后2个工作日内，在省级以上财政部门指定的媒体上公告成交结果，同时向成交供应商发出成交通知书。</w:t>
      </w:r>
    </w:p>
    <w:p>
      <w:pPr>
        <w:spacing w:line="360" w:lineRule="auto"/>
        <w:ind w:firstLine="420" w:firstLineChars="200"/>
        <w:rPr>
          <w:rFonts w:ascii="宋体" w:hAnsi="宋体" w:cs="Courier New"/>
          <w:szCs w:val="21"/>
        </w:rPr>
      </w:pPr>
      <w:r>
        <w:rPr>
          <w:rFonts w:hint="eastAsia" w:ascii="宋体" w:hAnsi="宋体" w:cs="宋体"/>
          <w:szCs w:val="21"/>
        </w:rPr>
        <w:t>27.3采购人或者采购代理机构发出成交通知书前，应当对成交供应商信用进行查询核实，对列入失信被执行人、重大税收违法案件当事人名单、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竞磋文件一并保存。</w:t>
      </w:r>
      <w:r>
        <w:rPr>
          <w:rFonts w:hint="eastAsia" w:ascii="宋体" w:hAnsi="宋体" w:cs="Courier New"/>
          <w:szCs w:val="21"/>
        </w:rPr>
        <w:t>成交供应商享受</w:t>
      </w:r>
      <w:r>
        <w:rPr>
          <w:rFonts w:hint="eastAsia" w:ascii="宋体" w:hAnsi="宋体"/>
          <w:szCs w:val="21"/>
        </w:rPr>
        <w:t>《政府采购促进中小企业发展管理办法》（财库〔2020〕46号）规定的中小企业扶持</w:t>
      </w:r>
      <w:r>
        <w:rPr>
          <w:rFonts w:hint="eastAsia" w:ascii="宋体" w:hAnsi="宋体" w:cs="Courier New"/>
          <w:szCs w:val="21"/>
        </w:rPr>
        <w:t>政策的，采购人、采购代理机构应当随成交结果公开成交供应商的《中小企业声明函》。</w:t>
      </w:r>
    </w:p>
    <w:p>
      <w:pPr>
        <w:spacing w:line="360" w:lineRule="auto"/>
        <w:ind w:firstLine="420" w:firstLineChars="200"/>
        <w:rPr>
          <w:rFonts w:ascii="宋体" w:hAnsi="宋体" w:cs="宋体"/>
          <w:szCs w:val="21"/>
        </w:rPr>
      </w:pPr>
      <w:r>
        <w:rPr>
          <w:rFonts w:hint="eastAsia" w:ascii="宋体" w:hAnsi="宋体" w:cs="宋体"/>
          <w:szCs w:val="21"/>
        </w:rPr>
        <w:t>27.4采购人、采购代理机构认为供应商对采购过程、成交结果提出的质疑成立且影响或者可能影响成交结果的，合格供应商符合法定数量时，可以从合格的成交候选人中另行确定成交供应商的，应当依法另行确定成交供应商；否则应当重新开展采购活动。</w:t>
      </w:r>
    </w:p>
    <w:p>
      <w:pPr>
        <w:spacing w:line="360" w:lineRule="auto"/>
        <w:ind w:firstLine="420" w:firstLineChars="200"/>
        <w:rPr>
          <w:rFonts w:ascii="宋体" w:hAnsi="宋体" w:cs="宋体"/>
          <w:szCs w:val="21"/>
        </w:rPr>
      </w:pPr>
      <w:r>
        <w:rPr>
          <w:rFonts w:hint="eastAsia" w:ascii="宋体" w:hAnsi="宋体"/>
          <w:bCs/>
          <w:szCs w:val="21"/>
        </w:rPr>
        <w:t>27.5</w:t>
      </w:r>
      <w:r>
        <w:rPr>
          <w:rFonts w:hint="eastAsia" w:ascii="宋体" w:hAnsi="宋体" w:cs="宋体"/>
          <w:szCs w:val="21"/>
        </w:rPr>
        <w:t>排名第一的成交候选人放弃成交、因不可抗力提出不能履行合同，采购人可以确定排名第二的成交候选人为成交供应商。排名第二的成交候选人因前款规定的同样原因不能签订合同的，采购人可以确定排名第三的成交候选人为成交供应商。</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28.履约保证金</w:t>
      </w:r>
    </w:p>
    <w:p>
      <w:pPr>
        <w:spacing w:line="360" w:lineRule="auto"/>
        <w:ind w:firstLine="420" w:firstLineChars="200"/>
        <w:rPr>
          <w:rFonts w:ascii="黑体" w:hAnsi="黑体" w:eastAsia="黑体" w:cs="宋体"/>
          <w:b/>
          <w:bCs/>
          <w:sz w:val="24"/>
        </w:rPr>
      </w:pPr>
      <w:r>
        <w:rPr>
          <w:rFonts w:hint="eastAsia" w:ascii="宋体" w:hAnsi="宋体" w:cs="宋体"/>
          <w:szCs w:val="21"/>
        </w:rPr>
        <w:t>详见 “供应商须知前附表”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29.签订合同</w:t>
      </w:r>
    </w:p>
    <w:p>
      <w:pPr>
        <w:pStyle w:val="97"/>
        <w:snapToGrid w:val="0"/>
        <w:spacing w:before="0"/>
        <w:ind w:firstLine="420"/>
        <w:rPr>
          <w:rFonts w:ascii="宋体" w:hAnsi="宋体"/>
          <w:sz w:val="21"/>
          <w:szCs w:val="21"/>
          <w:lang w:val="zh-CN"/>
        </w:rPr>
      </w:pPr>
      <w:r>
        <w:rPr>
          <w:rFonts w:hint="eastAsia" w:ascii="宋体" w:hAnsi="宋体" w:cs="宋体"/>
          <w:sz w:val="21"/>
          <w:szCs w:val="21"/>
        </w:rPr>
        <w:t>29.1</w:t>
      </w:r>
      <w:r>
        <w:rPr>
          <w:rFonts w:hint="eastAsia" w:ascii="宋体" w:hAnsi="宋体"/>
          <w:sz w:val="21"/>
          <w:szCs w:val="21"/>
        </w:rPr>
        <w:t>采购人与成交供应商应当在</w:t>
      </w:r>
      <w:r>
        <w:rPr>
          <w:rFonts w:hint="eastAsia" w:ascii="宋体" w:hAnsi="宋体" w:cs="宋体"/>
          <w:sz w:val="21"/>
          <w:szCs w:val="21"/>
        </w:rPr>
        <w:t>成交通知书规定的时间内</w:t>
      </w:r>
      <w:r>
        <w:rPr>
          <w:rFonts w:hint="eastAsia" w:ascii="宋体" w:hAnsi="宋体"/>
          <w:sz w:val="21"/>
          <w:szCs w:val="21"/>
        </w:rPr>
        <w:t>，按照磋商文件确定的合同文本以及采购标的、服务技术、采购金额、采购数量、技术和服务要求等事项签订政府采购合同。</w:t>
      </w:r>
      <w:r>
        <w:rPr>
          <w:rFonts w:hint="eastAsia" w:ascii="宋体" w:hAnsi="宋体"/>
          <w:sz w:val="21"/>
          <w:szCs w:val="21"/>
          <w:lang w:val="zh-CN"/>
        </w:rPr>
        <w:t>如成交供应商为联合体的，由联合体成员各方法定代表人或其授权代表与采购人代表签订合同。</w:t>
      </w:r>
    </w:p>
    <w:p>
      <w:pPr>
        <w:spacing w:line="360" w:lineRule="auto"/>
        <w:ind w:firstLine="420" w:firstLineChars="200"/>
        <w:rPr>
          <w:rFonts w:ascii="宋体" w:hAnsi="宋体"/>
          <w:szCs w:val="21"/>
        </w:rPr>
      </w:pPr>
      <w:r>
        <w:rPr>
          <w:rFonts w:hint="eastAsia" w:ascii="宋体" w:hAnsi="宋体"/>
          <w:szCs w:val="21"/>
        </w:rPr>
        <w:t>29.2采购人不得向成交供应商提出超出磋商文件以外的任何要求作为签订合同的条件，不得与成交供应商订立背离磋商文件确定的合同文本以及采购标的、服务技术、采购金额、采购数量、技术和服务要求等实质性内容的协议。</w:t>
      </w:r>
    </w:p>
    <w:p>
      <w:pPr>
        <w:spacing w:line="360" w:lineRule="auto"/>
        <w:ind w:firstLine="420" w:firstLineChars="200"/>
        <w:rPr>
          <w:rFonts w:ascii="宋体" w:hAnsi="宋体"/>
          <w:szCs w:val="21"/>
        </w:rPr>
      </w:pPr>
      <w:r>
        <w:rPr>
          <w:rFonts w:hint="eastAsia" w:ascii="宋体" w:hAnsi="宋体"/>
          <w:szCs w:val="21"/>
        </w:rPr>
        <w:t>29.3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pPr>
        <w:spacing w:line="360" w:lineRule="auto"/>
        <w:ind w:firstLine="420" w:firstLineChars="200"/>
        <w:rPr>
          <w:rFonts w:ascii="宋体" w:hAnsi="宋体"/>
          <w:szCs w:val="21"/>
        </w:rPr>
      </w:pPr>
      <w:r>
        <w:rPr>
          <w:rFonts w:hint="eastAsia" w:ascii="宋体" w:hAnsi="宋体"/>
          <w:szCs w:val="21"/>
        </w:rPr>
        <w:t>29.4如签订合同并生效后，供应商无故拒绝或延期，除按照合同条款处理外，列入不良行为记录，并给予通报。</w:t>
      </w:r>
    </w:p>
    <w:p>
      <w:pPr>
        <w:pStyle w:val="97"/>
        <w:spacing w:before="0"/>
        <w:ind w:firstLine="420"/>
        <w:rPr>
          <w:rFonts w:ascii="宋体" w:hAnsi="宋体" w:cs="宋体"/>
          <w:szCs w:val="21"/>
        </w:rPr>
      </w:pPr>
      <w:r>
        <w:rPr>
          <w:rFonts w:hint="eastAsia" w:ascii="宋体" w:hAnsi="宋体" w:cs="仿宋_GB2312"/>
          <w:sz w:val="21"/>
          <w:szCs w:val="21"/>
        </w:rPr>
        <w:t>29.5采购合同由采购人与成交供应商根据</w:t>
      </w:r>
      <w:r>
        <w:rPr>
          <w:rFonts w:hint="eastAsia" w:ascii="宋体" w:hAnsi="宋体"/>
          <w:sz w:val="21"/>
          <w:szCs w:val="21"/>
        </w:rPr>
        <w:t>磋商文件</w:t>
      </w:r>
      <w:r>
        <w:rPr>
          <w:rFonts w:hint="eastAsia" w:ascii="宋体" w:hAnsi="宋体" w:cs="仿宋_GB2312"/>
          <w:sz w:val="21"/>
          <w:szCs w:val="21"/>
        </w:rPr>
        <w:t>、响应文件等内容通过政府采购电子交易平台在线签订，自动备案，在线签订须携带的材料见“供应商须</w:t>
      </w:r>
      <w:r>
        <w:rPr>
          <w:rFonts w:hint="eastAsia" w:ascii="宋体" w:hAnsi="宋体"/>
          <w:sz w:val="21"/>
          <w:szCs w:val="21"/>
        </w:rPr>
        <w:t>知前附表</w:t>
      </w:r>
      <w:r>
        <w:rPr>
          <w:rFonts w:hint="eastAsia" w:ascii="宋体" w:hAnsi="宋体" w:cs="仿宋_GB2312"/>
          <w:sz w:val="21"/>
          <w:szCs w:val="21"/>
        </w:rPr>
        <w:t>”。</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30.政府采购合同公告</w:t>
      </w:r>
    </w:p>
    <w:p>
      <w:pPr>
        <w:spacing w:line="360" w:lineRule="auto"/>
        <w:ind w:firstLine="420" w:firstLineChars="200"/>
        <w:rPr>
          <w:rFonts w:hAnsi="宋体"/>
        </w:rPr>
      </w:pPr>
      <w:r>
        <w:rPr>
          <w:rFonts w:hint="eastAsia" w:hAnsi="宋体"/>
        </w:rPr>
        <w:t>采购人或者受托采购代理机构应当自政府采购合同签订之日起</w:t>
      </w:r>
      <w:r>
        <w:rPr>
          <w:rFonts w:hAnsi="宋体"/>
        </w:rPr>
        <w:t>2</w:t>
      </w:r>
      <w:r>
        <w:rPr>
          <w:rFonts w:hint="eastAsia" w:hAnsi="宋体"/>
        </w:rPr>
        <w:t>个工作日内，将政府采购合同</w:t>
      </w:r>
      <w:r>
        <w:rPr>
          <w:rFonts w:hint="eastAsia" w:ascii="宋体" w:hAnsi="宋体"/>
          <w:bCs/>
        </w:rPr>
        <w:t>在以下媒体上发布</w:t>
      </w:r>
      <w:r>
        <w:rPr>
          <w:rFonts w:hint="eastAsia" w:ascii="宋体" w:hAnsi="宋体" w:cs="宋体"/>
          <w:kern w:val="0"/>
          <w:szCs w:val="21"/>
        </w:rPr>
        <w:t xml:space="preserve"> “广西政府采购网”（http://zfcg.gxzf.gov.cn）</w:t>
      </w:r>
      <w:r>
        <w:rPr>
          <w:rFonts w:hint="eastAsia" w:hAnsi="宋体"/>
        </w:rPr>
        <w:t>上公告，但政府采购合同中涉及国家秘密、商业秘密的内容除外。</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31. 询问、质疑和投诉</w:t>
      </w:r>
    </w:p>
    <w:p>
      <w:pPr>
        <w:spacing w:line="360" w:lineRule="auto"/>
        <w:ind w:firstLine="420" w:firstLineChars="200"/>
        <w:rPr>
          <w:rFonts w:ascii="宋体" w:hAnsi="宋体" w:cs="宋体"/>
        </w:rPr>
      </w:pPr>
      <w:r>
        <w:rPr>
          <w:rFonts w:hint="eastAsia" w:ascii="宋体" w:hAnsi="宋体" w:cs="宋体"/>
        </w:rPr>
        <w:t>31.1供应商对政府采购活动事项有疑问的，可以向采购人、采购代理机构提出询问，采购人或者采购代理机构应当在3个工作日内对供应商依法提出的询问作出答复。</w:t>
      </w:r>
    </w:p>
    <w:p>
      <w:pPr>
        <w:spacing w:line="360" w:lineRule="auto"/>
        <w:ind w:firstLine="420" w:firstLineChars="200"/>
        <w:rPr>
          <w:rFonts w:ascii="宋体" w:hAnsi="宋体"/>
          <w:b/>
          <w:szCs w:val="21"/>
        </w:rPr>
      </w:pPr>
      <w:r>
        <w:rPr>
          <w:rFonts w:hint="eastAsia" w:ascii="宋体" w:hAnsi="宋体" w:cs="宋体"/>
        </w:rPr>
        <w:t>31.2供应商认为磋商文件、采购过程或者成交结果使自己的合法权益受到损害的，应当在知道或者应知其权益受到损害之日起7个工作日内，以书面形式向采购人、采购代理机构提出质疑，</w:t>
      </w:r>
      <w:r>
        <w:rPr>
          <w:rFonts w:hint="eastAsia" w:ascii="宋体" w:hAnsi="宋体" w:cs="Arial"/>
          <w:shd w:val="clear" w:color="auto" w:fill="FFFFFF"/>
        </w:rPr>
        <w:t>接收质疑函的方式、联系部门、联系电话和通讯地址等信息详见</w:t>
      </w:r>
      <w:r>
        <w:rPr>
          <w:rFonts w:hint="eastAsia" w:ascii="宋体" w:hAnsi="宋体" w:cs="宋体"/>
          <w:szCs w:val="21"/>
        </w:rPr>
        <w:t>“供应商须知前附表”</w:t>
      </w:r>
      <w:r>
        <w:rPr>
          <w:rFonts w:hint="eastAsia" w:ascii="宋体" w:hAnsi="宋体" w:cs="宋体"/>
        </w:rPr>
        <w:t>。</w:t>
      </w:r>
      <w:r>
        <w:rPr>
          <w:rFonts w:hint="eastAsia" w:ascii="宋体" w:hAnsi="宋体"/>
          <w:b/>
          <w:szCs w:val="21"/>
        </w:rPr>
        <w:t>具体质疑起算时间及处理方式如下：</w:t>
      </w:r>
    </w:p>
    <w:p>
      <w:pPr>
        <w:spacing w:line="360" w:lineRule="auto"/>
        <w:ind w:firstLine="420" w:firstLineChars="200"/>
        <w:rPr>
          <w:rFonts w:hAnsi="宋体"/>
          <w:bCs/>
        </w:rPr>
      </w:pPr>
      <w:r>
        <w:rPr>
          <w:rFonts w:hint="eastAsia" w:hAnsi="宋体"/>
          <w:bCs/>
        </w:rPr>
        <w:t>（</w:t>
      </w:r>
      <w:r>
        <w:rPr>
          <w:rFonts w:hAnsi="宋体"/>
          <w:bCs/>
        </w:rPr>
        <w:t>1</w:t>
      </w:r>
      <w:r>
        <w:rPr>
          <w:rFonts w:hint="eastAsia" w:hAnsi="宋体"/>
          <w:bCs/>
        </w:rPr>
        <w:t>）潜在供应商依法获取采购文件后，认为采购文件使自己的权益受到损害的，应当在竞争性磋商采购文件公告期限届满之日起</w:t>
      </w:r>
      <w:r>
        <w:rPr>
          <w:rFonts w:hAnsi="宋体"/>
          <w:bCs/>
        </w:rPr>
        <w:t>7</w:t>
      </w:r>
      <w:r>
        <w:rPr>
          <w:rFonts w:hint="eastAsia" w:hAnsi="宋体"/>
          <w:bCs/>
        </w:rPr>
        <w:t>个工作日内提出质疑。</w:t>
      </w:r>
      <w:r>
        <w:rPr>
          <w:rFonts w:hint="eastAsia"/>
        </w:rPr>
        <w:t>委托代理协议无特殊约定的，</w:t>
      </w:r>
      <w:r>
        <w:rPr>
          <w:rFonts w:hint="eastAsia" w:hAnsi="宋体"/>
          <w:bCs/>
        </w:rPr>
        <w:t>对竞争性磋商文件中采购需求（含资格要求、采购预算和评分办法）的质疑由采购人受理并负责答复；对竞争性磋商文件中的采购执行程序的质疑由采购代理机构受理并负责答复。</w:t>
      </w:r>
    </w:p>
    <w:p>
      <w:pPr>
        <w:spacing w:line="360" w:lineRule="auto"/>
        <w:ind w:firstLine="420" w:firstLineChars="200"/>
        <w:rPr>
          <w:rFonts w:hAnsi="宋体"/>
          <w:bCs/>
        </w:rPr>
      </w:pPr>
      <w:r>
        <w:rPr>
          <w:rFonts w:hint="eastAsia" w:hAnsi="宋体"/>
          <w:bCs/>
        </w:rPr>
        <w:t>（</w:t>
      </w:r>
      <w:r>
        <w:rPr>
          <w:rFonts w:hAnsi="宋体"/>
          <w:bCs/>
        </w:rPr>
        <w:t>2</w:t>
      </w:r>
      <w:r>
        <w:rPr>
          <w:rFonts w:hint="eastAsia" w:hAnsi="宋体"/>
          <w:bCs/>
        </w:rPr>
        <w:t>）供应商认为采购过程使自己的权益受到损害的，应当在各采购程序环节结束之日起</w:t>
      </w:r>
      <w:r>
        <w:rPr>
          <w:rFonts w:hAnsi="宋体"/>
          <w:bCs/>
        </w:rPr>
        <w:t>7</w:t>
      </w:r>
      <w:r>
        <w:rPr>
          <w:rFonts w:hint="eastAsia" w:hAnsi="宋体"/>
          <w:bCs/>
        </w:rPr>
        <w:t>个工作日内提出质疑。对采购过程中资格审查、符合性审查等具体评审情况的质疑应向采购人或代理机构提出，由采购人或代理机构受理并负责答复；对采购过程中采购执行程序的质疑由采购代理机构受理并负责答复。</w:t>
      </w:r>
    </w:p>
    <w:p>
      <w:pPr>
        <w:spacing w:line="360" w:lineRule="auto"/>
        <w:ind w:firstLine="420" w:firstLineChars="200"/>
        <w:rPr>
          <w:rFonts w:hAnsi="宋体"/>
          <w:bCs/>
        </w:rPr>
      </w:pPr>
      <w:r>
        <w:rPr>
          <w:rFonts w:hint="eastAsia" w:hAnsi="宋体"/>
          <w:bCs/>
        </w:rPr>
        <w:t>（</w:t>
      </w:r>
      <w:r>
        <w:rPr>
          <w:rFonts w:hAnsi="宋体"/>
          <w:bCs/>
        </w:rPr>
        <w:t>3</w:t>
      </w:r>
      <w:r>
        <w:rPr>
          <w:rFonts w:hint="eastAsia" w:hAnsi="宋体"/>
          <w:bCs/>
        </w:rPr>
        <w:t>）供应商认为成交结果使自己的权益受到损害的，应当在成交结果公告期限届满之日起</w:t>
      </w:r>
      <w:r>
        <w:rPr>
          <w:rFonts w:hAnsi="宋体"/>
          <w:bCs/>
        </w:rPr>
        <w:t>7</w:t>
      </w:r>
      <w:r>
        <w:rPr>
          <w:rFonts w:hint="eastAsia" w:hAnsi="宋体"/>
          <w:bCs/>
        </w:rPr>
        <w:t>个工作日内提出质疑，由采购人受理并负责答复。</w:t>
      </w:r>
    </w:p>
    <w:p>
      <w:pPr>
        <w:spacing w:line="360" w:lineRule="auto"/>
        <w:ind w:firstLine="420" w:firstLineChars="200"/>
        <w:rPr>
          <w:rFonts w:ascii="宋体" w:hAnsi="宋体" w:cs="宋体"/>
        </w:rPr>
      </w:pPr>
      <w:r>
        <w:rPr>
          <w:rFonts w:hint="eastAsia" w:ascii="宋体" w:hAnsi="宋体" w:cs="宋体"/>
        </w:rPr>
        <w:t>31.3供应商提出的询问或者质疑超出采购人对采购代理机构委托授权范围的，采购代理机构应当告知供应商向采购人提出。政府采购评审专家应当配合采购人或者采购代理机构答复供应商的询问和质疑。</w:t>
      </w:r>
    </w:p>
    <w:p>
      <w:pPr>
        <w:spacing w:line="360" w:lineRule="auto"/>
        <w:ind w:firstLine="420" w:firstLineChars="200"/>
        <w:rPr>
          <w:rFonts w:ascii="宋体" w:hAnsi="宋体" w:cs="宋体"/>
        </w:rPr>
      </w:pPr>
      <w:r>
        <w:rPr>
          <w:rFonts w:hint="eastAsia" w:ascii="宋体" w:hAnsi="宋体" w:cs="宋体"/>
        </w:rPr>
        <w:t>31.4供应商提出质疑应当提交质疑函和必要的证明材料，针对同一采购程序环节的质疑必须在法定质疑期内一次性提出。质疑函应当包括下列内容</w:t>
      </w:r>
      <w:r>
        <w:rPr>
          <w:rFonts w:hint="eastAsia" w:hAnsi="宋体"/>
          <w:bCs/>
        </w:rPr>
        <w:t>（质疑函格式后附）</w:t>
      </w:r>
      <w:r>
        <w:rPr>
          <w:rFonts w:hint="eastAsia" w:ascii="宋体" w:hAnsi="宋体" w:cs="宋体"/>
        </w:rPr>
        <w:t>：</w:t>
      </w:r>
    </w:p>
    <w:p>
      <w:pPr>
        <w:spacing w:line="360" w:lineRule="auto"/>
        <w:ind w:firstLine="420" w:firstLineChars="200"/>
        <w:rPr>
          <w:rFonts w:ascii="宋体" w:hAnsi="宋体" w:cs="宋体"/>
        </w:rPr>
      </w:pPr>
      <w:r>
        <w:rPr>
          <w:rFonts w:hint="eastAsia" w:ascii="宋体" w:hAnsi="宋体" w:cs="宋体"/>
        </w:rPr>
        <w:t>（1）供应商的姓名或者名称、地址、邮编、联系人及联系电话；</w:t>
      </w:r>
    </w:p>
    <w:p>
      <w:pPr>
        <w:spacing w:line="360" w:lineRule="auto"/>
        <w:ind w:firstLine="420" w:firstLineChars="200"/>
        <w:rPr>
          <w:rFonts w:ascii="宋体" w:hAnsi="宋体" w:cs="宋体"/>
        </w:rPr>
      </w:pPr>
      <w:r>
        <w:rPr>
          <w:rFonts w:hint="eastAsia" w:ascii="宋体" w:hAnsi="宋体" w:cs="宋体"/>
        </w:rPr>
        <w:t>（2）质疑项目的名称、编号；</w:t>
      </w:r>
    </w:p>
    <w:p>
      <w:pPr>
        <w:spacing w:line="360" w:lineRule="auto"/>
        <w:ind w:firstLine="420" w:firstLineChars="200"/>
        <w:rPr>
          <w:rFonts w:ascii="宋体" w:hAnsi="宋体" w:cs="宋体"/>
        </w:rPr>
      </w:pPr>
      <w:r>
        <w:rPr>
          <w:rFonts w:hint="eastAsia" w:ascii="宋体" w:hAnsi="宋体" w:cs="宋体"/>
        </w:rPr>
        <w:t>（3）具体、明确的质疑事项和与质疑事项相关的请求；</w:t>
      </w:r>
    </w:p>
    <w:p>
      <w:pPr>
        <w:spacing w:line="360" w:lineRule="auto"/>
        <w:ind w:firstLine="420" w:firstLineChars="200"/>
        <w:rPr>
          <w:rFonts w:ascii="宋体" w:hAnsi="宋体" w:cs="宋体"/>
        </w:rPr>
      </w:pPr>
      <w:r>
        <w:rPr>
          <w:rFonts w:hint="eastAsia" w:ascii="宋体" w:hAnsi="宋体" w:cs="宋体"/>
        </w:rPr>
        <w:t>（4）事实依据；</w:t>
      </w:r>
    </w:p>
    <w:p>
      <w:pPr>
        <w:spacing w:line="360" w:lineRule="auto"/>
        <w:ind w:firstLine="420" w:firstLineChars="200"/>
        <w:rPr>
          <w:rFonts w:ascii="宋体" w:hAnsi="宋体" w:cs="宋体"/>
        </w:rPr>
      </w:pPr>
      <w:r>
        <w:rPr>
          <w:rFonts w:hint="eastAsia" w:ascii="宋体" w:hAnsi="宋体" w:cs="宋体"/>
        </w:rPr>
        <w:t>（5）必要的法律依据；</w:t>
      </w:r>
    </w:p>
    <w:p>
      <w:pPr>
        <w:spacing w:line="360" w:lineRule="auto"/>
        <w:ind w:firstLine="420" w:firstLineChars="200"/>
        <w:rPr>
          <w:rFonts w:ascii="宋体" w:hAnsi="宋体" w:cs="宋体"/>
        </w:rPr>
      </w:pPr>
      <w:r>
        <w:rPr>
          <w:rFonts w:hint="eastAsia" w:ascii="宋体" w:hAnsi="宋体" w:cs="宋体"/>
        </w:rPr>
        <w:t>（6）提出质疑的日期。</w:t>
      </w:r>
    </w:p>
    <w:p>
      <w:pPr>
        <w:spacing w:line="360" w:lineRule="auto"/>
        <w:ind w:firstLine="420" w:firstLineChars="200"/>
        <w:rPr>
          <w:rFonts w:ascii="宋体" w:hAnsi="宋体" w:cs="宋体"/>
        </w:rPr>
      </w:pPr>
      <w:r>
        <w:rPr>
          <w:rFonts w:hint="eastAsia" w:ascii="宋体" w:hAnsi="宋体" w:cs="宋体"/>
        </w:rPr>
        <w:t>供应商为自然人的，应当由本人签字；供应商为法人或者其他组织的，应当由法定代表人、主要负责人，或者其委托代理人签字或者盖章，并加盖公章。</w:t>
      </w:r>
    </w:p>
    <w:p>
      <w:pPr>
        <w:spacing w:line="360" w:lineRule="auto"/>
        <w:ind w:firstLine="420" w:firstLineChars="200"/>
        <w:rPr>
          <w:rFonts w:ascii="宋体" w:hAnsi="宋体" w:cs="宋体"/>
        </w:rPr>
      </w:pPr>
      <w:r>
        <w:rPr>
          <w:rFonts w:hint="eastAsia" w:ascii="宋体" w:hAnsi="宋体" w:cs="宋体"/>
        </w:rPr>
        <w:t>31.5采购人、采购代理机构认为供应商质疑不成立，或者成立但未对成交结果构成影响的，继续开展采购活动；认为供应商质疑成立且影响或者可能影响成交结果的，按照下列情况处理：</w:t>
      </w:r>
    </w:p>
    <w:p>
      <w:pPr>
        <w:spacing w:line="360" w:lineRule="auto"/>
        <w:ind w:firstLine="420" w:firstLineChars="200"/>
        <w:rPr>
          <w:rFonts w:ascii="宋体" w:hAnsi="宋体" w:cs="宋体"/>
        </w:rPr>
      </w:pPr>
      <w:r>
        <w:rPr>
          <w:rFonts w:hint="eastAsia" w:ascii="宋体" w:hAnsi="宋体" w:cs="宋体"/>
        </w:rPr>
        <w:t>（一）对采购文件提出的质疑，依法通过澄清或者修改可以继续开展采购活动的，澄清或者修改采购文件后继续开展采购活动；否则应当修改采购文件后重新开展采购活动。</w:t>
      </w:r>
    </w:p>
    <w:p>
      <w:pPr>
        <w:spacing w:line="360" w:lineRule="auto"/>
        <w:ind w:firstLine="420" w:firstLineChars="200"/>
        <w:rPr>
          <w:rFonts w:ascii="宋体" w:hAnsi="宋体" w:cs="宋体"/>
        </w:rPr>
      </w:pPr>
      <w:r>
        <w:rPr>
          <w:rFonts w:hint="eastAsia" w:ascii="宋体" w:hAnsi="宋体" w:cs="宋体"/>
        </w:rPr>
        <w:t>（二）对采购过程或者成交结果提出的质疑，合格供应商符合法定数量时，可以从合格的成交候选人中另行确定成交供应商的，应当依法另行确定成交供应商；否则应当重新开展采购活动。</w:t>
      </w:r>
    </w:p>
    <w:p>
      <w:pPr>
        <w:spacing w:line="360" w:lineRule="auto"/>
        <w:ind w:firstLine="420" w:firstLineChars="200"/>
        <w:rPr>
          <w:rFonts w:ascii="宋体" w:hAnsi="宋体" w:cs="宋体"/>
        </w:rPr>
      </w:pPr>
      <w:r>
        <w:rPr>
          <w:rFonts w:hint="eastAsia" w:ascii="宋体" w:hAnsi="宋体" w:cs="宋体"/>
        </w:rPr>
        <w:t>质疑答复导致成交结果改变的，采购人或者采购代理机构应当将有关情况书面报告本级财政部门。</w:t>
      </w:r>
    </w:p>
    <w:p>
      <w:pPr>
        <w:spacing w:line="360" w:lineRule="auto"/>
        <w:ind w:firstLine="420" w:firstLineChars="200"/>
        <w:rPr>
          <w:rFonts w:ascii="宋体" w:hAnsi="宋体" w:cs="宋体"/>
        </w:rPr>
      </w:pPr>
      <w:r>
        <w:rPr>
          <w:rFonts w:hint="eastAsia" w:ascii="宋体" w:hAnsi="宋体" w:cs="宋体"/>
        </w:rPr>
        <w:t>31.6投诉的权利。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受理投诉方式见“供应商须知前附表”。</w:t>
      </w:r>
    </w:p>
    <w:p>
      <w:pPr>
        <w:pStyle w:val="7"/>
        <w:spacing w:before="0" w:after="0" w:line="360" w:lineRule="auto"/>
        <w:ind w:firstLine="315" w:firstLineChars="98"/>
        <w:rPr>
          <w:rFonts w:ascii="宋体" w:hAnsi="宋体"/>
          <w:b w:val="0"/>
        </w:rPr>
      </w:pPr>
      <w:bookmarkStart w:id="39" w:name="_Toc21978"/>
      <w:r>
        <w:rPr>
          <w:rFonts w:hint="eastAsia" w:ascii="宋体" w:hAnsi="宋体"/>
        </w:rPr>
        <w:t>六</w:t>
      </w:r>
      <w:r>
        <w:rPr>
          <w:rFonts w:hint="eastAsia" w:ascii="宋体" w:hAnsi="宋体"/>
          <w:b w:val="0"/>
        </w:rPr>
        <w:t>、验收</w:t>
      </w:r>
      <w:bookmarkEnd w:id="39"/>
    </w:p>
    <w:p>
      <w:pPr>
        <w:tabs>
          <w:tab w:val="left" w:pos="0"/>
        </w:tabs>
        <w:spacing w:line="360" w:lineRule="auto"/>
        <w:ind w:firstLine="482" w:firstLineChars="200"/>
        <w:rPr>
          <w:rFonts w:ascii="黑体" w:hAnsi="黑体" w:eastAsia="黑体" w:cs="宋体"/>
          <w:b/>
          <w:bCs/>
          <w:sz w:val="24"/>
        </w:rPr>
      </w:pPr>
      <w:r>
        <w:rPr>
          <w:rFonts w:hint="eastAsia" w:ascii="黑体" w:hAnsi="黑体" w:eastAsia="黑体" w:cs="宋体"/>
          <w:b/>
          <w:bCs/>
          <w:sz w:val="24"/>
        </w:rPr>
        <w:t>32.验收</w:t>
      </w:r>
    </w:p>
    <w:p>
      <w:pPr>
        <w:tabs>
          <w:tab w:val="left" w:pos="0"/>
        </w:tabs>
        <w:spacing w:line="360" w:lineRule="auto"/>
        <w:ind w:firstLine="420" w:firstLineChars="200"/>
        <w:rPr>
          <w:rFonts w:ascii="宋体" w:hAnsi="宋体" w:cs="Helvetica"/>
          <w:kern w:val="0"/>
          <w:szCs w:val="21"/>
        </w:rPr>
      </w:pPr>
      <w:r>
        <w:rPr>
          <w:rFonts w:hint="eastAsia" w:ascii="宋体" w:hAnsi="宋体" w:cs="Helvetica"/>
          <w:kern w:val="0"/>
          <w:szCs w:val="21"/>
        </w:rPr>
        <w:t>32.1采购人会同实际使用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20" w:firstLineChars="200"/>
        <w:rPr>
          <w:rFonts w:ascii="宋体" w:hAnsi="宋体" w:cs="Helvetica"/>
          <w:kern w:val="0"/>
          <w:szCs w:val="21"/>
        </w:rPr>
      </w:pPr>
      <w:r>
        <w:rPr>
          <w:rFonts w:hint="eastAsia" w:ascii="宋体" w:hAnsi="宋体" w:cs="Helvetica"/>
          <w:kern w:val="0"/>
          <w:szCs w:val="21"/>
        </w:rPr>
        <w:t>32.2采购人可以邀请参加本项目的其他供应商或者第三方机构参与验收。参与验收的供应商或者第三方机构的意见作为验收书的参考资料一并存档。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20" w:firstLineChars="200"/>
        <w:rPr>
          <w:rFonts w:ascii="宋体" w:hAnsi="宋体" w:cs="Helvetica"/>
          <w:kern w:val="0"/>
          <w:szCs w:val="21"/>
        </w:rPr>
      </w:pPr>
      <w:r>
        <w:rPr>
          <w:rFonts w:hint="eastAsia" w:ascii="宋体" w:hAnsi="宋体" w:cs="Helvetica"/>
          <w:kern w:val="0"/>
          <w:szCs w:val="21"/>
        </w:rPr>
        <w:t>32.3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20" w:firstLineChars="200"/>
        <w:rPr>
          <w:rFonts w:ascii="宋体" w:hAnsi="宋体" w:cs="宋体"/>
          <w:szCs w:val="21"/>
        </w:rPr>
      </w:pPr>
      <w:r>
        <w:rPr>
          <w:rFonts w:hint="eastAsia" w:ascii="宋体" w:hAnsi="宋体" w:cs="Helvetica"/>
          <w:kern w:val="0"/>
          <w:szCs w:val="21"/>
        </w:rPr>
        <w:t>32.4验收合格的项目，实际使用人将根据采购合同的约定及时向供应商支付采购资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pStyle w:val="7"/>
        <w:spacing w:before="0" w:after="0" w:line="360" w:lineRule="auto"/>
        <w:ind w:firstLine="320" w:firstLineChars="100"/>
        <w:rPr>
          <w:rFonts w:ascii="宋体" w:hAnsi="宋体"/>
          <w:b w:val="0"/>
          <w:bCs w:val="0"/>
        </w:rPr>
      </w:pPr>
      <w:bookmarkStart w:id="40" w:name="_Toc32456"/>
      <w:r>
        <w:rPr>
          <w:rFonts w:hint="eastAsia" w:ascii="宋体" w:hAnsi="宋体"/>
          <w:b w:val="0"/>
          <w:bCs w:val="0"/>
        </w:rPr>
        <w:t>七、其他事项</w:t>
      </w:r>
      <w:bookmarkEnd w:id="40"/>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33.代理服务费</w:t>
      </w:r>
    </w:p>
    <w:p>
      <w:pPr>
        <w:tabs>
          <w:tab w:val="left" w:pos="2835"/>
        </w:tabs>
        <w:spacing w:line="360" w:lineRule="auto"/>
        <w:ind w:firstLine="420" w:firstLineChars="200"/>
        <w:rPr>
          <w:rFonts w:ascii="宋体" w:hAnsi="宋体" w:cs="宋体"/>
          <w:szCs w:val="21"/>
        </w:rPr>
      </w:pPr>
      <w:r>
        <w:rPr>
          <w:rFonts w:hint="eastAsia" w:ascii="宋体" w:hAnsi="宋体" w:cs="宋体"/>
          <w:szCs w:val="21"/>
        </w:rPr>
        <w:t>代理服务收费标准及缴费账户详见“供应商须知前附表”，供应商为联合体的，可以由联合体中的一方或者多方共同交纳代理服务费。</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34.需要补充的其他内容</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34.1本磋商文件解释规则详见“供应商须知前附表”。</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34.2 其他事项详见“供应商须知前附表”。</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34.3本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w:t>
      </w:r>
      <w:r>
        <w:rPr>
          <w:rFonts w:hint="eastAsia" w:hAnsi="宋体"/>
          <w:sz w:val="21"/>
        </w:rPr>
        <w:t>服务由中小企业承接，即提供服务的人员为中小企业依照《中华人民共和国劳动合同法》订立劳动合同的从业人员，不对其中涉及的货物的制造商和工程承建商作出要求的</w:t>
      </w:r>
      <w:r>
        <w:rPr>
          <w:rFonts w:hint="eastAsia" w:hAnsi="宋体" w:cs="宋体"/>
          <w:kern w:val="2"/>
          <w:sz w:val="21"/>
        </w:rPr>
        <w:t>，享受本文件规定的中小企业扶持政策。</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以联合体形式参加政府采购活动，联合体各方均为中小企业的，联合体视同中小企业。其中，联合体各方均为小微企业的，联合体视同小微企业。</w:t>
      </w:r>
    </w:p>
    <w:p>
      <w:pPr>
        <w:pStyle w:val="20"/>
        <w:spacing w:line="360" w:lineRule="auto"/>
        <w:ind w:firstLine="420" w:firstLineChars="200"/>
        <w:textAlignment w:val="center"/>
        <w:rPr>
          <w:rFonts w:hAnsi="宋体" w:cs="宋体"/>
          <w:kern w:val="2"/>
          <w:sz w:val="21"/>
        </w:rPr>
      </w:pPr>
      <w:r>
        <w:rPr>
          <w:rFonts w:hint="eastAsia" w:hAnsi="宋体" w:cs="宋体"/>
          <w:kern w:val="2"/>
          <w:sz w:val="21"/>
        </w:rPr>
        <w:t>依据本文件规定享受扶持政策获得政府采购合同的，小微企业不得将合同分包给大中型企业，中型企业不得将合同分包给大型企业。</w:t>
      </w:r>
    </w:p>
    <w:p>
      <w:pPr>
        <w:pStyle w:val="20"/>
        <w:spacing w:line="360" w:lineRule="auto"/>
        <w:textAlignment w:val="center"/>
      </w:pPr>
    </w:p>
    <w:p>
      <w:pPr>
        <w:rPr>
          <w:rFonts w:ascii="宋体" w:hAnsi="宋体" w:cs="宋体"/>
        </w:rPr>
      </w:pPr>
      <w:r>
        <w:rPr>
          <w:rFonts w:hint="eastAsia" w:ascii="宋体" w:hAnsi="宋体" w:cs="宋体"/>
        </w:rPr>
        <w:br w:type="page"/>
      </w:r>
    </w:p>
    <w:p>
      <w:pPr>
        <w:pStyle w:val="14"/>
      </w:pPr>
    </w:p>
    <w:p>
      <w:pPr>
        <w:pStyle w:val="5"/>
        <w:jc w:val="center"/>
        <w:rPr>
          <w:rFonts w:ascii="宋体" w:hAnsi="宋体" w:cs="宋体"/>
        </w:rPr>
      </w:pPr>
      <w:bookmarkStart w:id="41" w:name="_Toc10544"/>
      <w:bookmarkStart w:id="42" w:name="_Toc5334"/>
      <w:bookmarkStart w:id="43" w:name="_Toc9339"/>
      <w:bookmarkStart w:id="44" w:name="_Toc12116"/>
      <w:bookmarkStart w:id="45" w:name="_Toc15482"/>
      <w:r>
        <w:rPr>
          <w:rFonts w:hint="eastAsia" w:ascii="宋体" w:hAnsi="宋体" w:cs="宋体"/>
        </w:rPr>
        <w:t>第四章  评审程序、评审方法和评审标准</w:t>
      </w:r>
      <w:bookmarkEnd w:id="41"/>
      <w:bookmarkEnd w:id="42"/>
      <w:bookmarkEnd w:id="43"/>
      <w:bookmarkEnd w:id="44"/>
      <w:bookmarkEnd w:id="45"/>
    </w:p>
    <w:p>
      <w:pPr>
        <w:pStyle w:val="6"/>
        <w:jc w:val="center"/>
        <w:rPr>
          <w:rFonts w:ascii="宋体" w:hAnsi="宋体"/>
          <w:b w:val="0"/>
        </w:rPr>
      </w:pPr>
      <w:bookmarkStart w:id="46" w:name="_Toc29786"/>
      <w:bookmarkStart w:id="47" w:name="_Toc6947"/>
      <w:bookmarkStart w:id="48" w:name="_Toc23895"/>
      <w:bookmarkStart w:id="49" w:name="_Toc11144"/>
      <w:bookmarkStart w:id="50" w:name="_Toc14840"/>
      <w:bookmarkStart w:id="51" w:name="_Toc8999"/>
      <w:r>
        <w:rPr>
          <w:rFonts w:hint="eastAsia" w:ascii="宋体" w:hAnsi="宋体"/>
          <w:b w:val="0"/>
        </w:rPr>
        <w:t>第一节 评审程序和评审方法</w:t>
      </w:r>
      <w:bookmarkEnd w:id="46"/>
      <w:bookmarkEnd w:id="47"/>
      <w:bookmarkEnd w:id="48"/>
      <w:bookmarkEnd w:id="49"/>
      <w:bookmarkEnd w:id="50"/>
      <w:bookmarkEnd w:id="51"/>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1.确认磋商文件</w:t>
      </w:r>
    </w:p>
    <w:p>
      <w:pPr>
        <w:spacing w:line="360" w:lineRule="auto"/>
        <w:ind w:firstLine="420" w:firstLineChars="200"/>
        <w:rPr>
          <w:rFonts w:ascii="宋体" w:hAnsi="宋体" w:cs="宋体"/>
          <w:szCs w:val="21"/>
        </w:rPr>
      </w:pPr>
      <w:r>
        <w:rPr>
          <w:rFonts w:hint="eastAsia" w:ascii="宋体" w:hAnsi="宋体" w:cs="宋体"/>
          <w:szCs w:val="21"/>
        </w:rPr>
        <w:t>由磋商小组确认磋商文件。</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2.资格审查</w:t>
      </w:r>
    </w:p>
    <w:p>
      <w:pPr>
        <w:snapToGrid w:val="0"/>
        <w:spacing w:line="360" w:lineRule="auto"/>
        <w:ind w:firstLine="420" w:firstLineChars="200"/>
        <w:rPr>
          <w:rFonts w:ascii="宋体" w:hAnsi="宋体"/>
          <w:szCs w:val="21"/>
        </w:rPr>
      </w:pPr>
      <w:r>
        <w:rPr>
          <w:rFonts w:hint="eastAsia" w:ascii="宋体" w:hAnsi="宋体" w:cs="宋体"/>
          <w:szCs w:val="21"/>
        </w:rPr>
        <w:t>2.1</w:t>
      </w:r>
      <w:r>
        <w:rPr>
          <w:rFonts w:hint="eastAsia" w:ascii="宋体" w:hAnsi="宋体"/>
          <w:szCs w:val="21"/>
        </w:rPr>
        <w:t>响应文件开启后，磋商小组依法对供应商的资格证明文件进行审查。</w:t>
      </w:r>
    </w:p>
    <w:p>
      <w:pPr>
        <w:snapToGrid w:val="0"/>
        <w:spacing w:line="360" w:lineRule="auto"/>
        <w:ind w:firstLine="420" w:firstLineChars="200"/>
        <w:rPr>
          <w:rFonts w:ascii="宋体" w:hAnsi="宋体" w:cs="宋体"/>
          <w:szCs w:val="21"/>
        </w:rPr>
      </w:pPr>
      <w:r>
        <w:rPr>
          <w:rFonts w:hint="eastAsia" w:ascii="宋体" w:hAnsi="宋体" w:cs="宋体"/>
          <w:szCs w:val="21"/>
        </w:rPr>
        <w:t>注：采购人代表或者采购代理机构在资格审查结束前，对供应商进行信用查询。</w:t>
      </w:r>
    </w:p>
    <w:p>
      <w:pPr>
        <w:snapToGrid w:val="0"/>
        <w:spacing w:line="360" w:lineRule="auto"/>
        <w:ind w:firstLine="420" w:firstLineChars="200"/>
        <w:jc w:val="left"/>
        <w:rPr>
          <w:rFonts w:ascii="宋体" w:hAnsi="宋体" w:cs="宋体"/>
          <w:szCs w:val="21"/>
        </w:rPr>
      </w:pPr>
      <w:r>
        <w:rPr>
          <w:rFonts w:hint="eastAsia" w:ascii="宋体" w:hAnsi="宋体" w:cs="宋体"/>
          <w:szCs w:val="21"/>
        </w:rPr>
        <w:t>（1）查询渠道：“政采云”平台“信用中国”网站(</w:t>
      </w:r>
      <w:r>
        <w:fldChar w:fldCharType="begin"/>
      </w:r>
      <w:r>
        <w:instrText xml:space="preserve"> HYPERLINK "http://www.creditchina.gov.cn" </w:instrText>
      </w:r>
      <w:r>
        <w:fldChar w:fldCharType="separate"/>
      </w:r>
      <w:r>
        <w:rPr>
          <w:rStyle w:val="37"/>
          <w:rFonts w:hAnsi="宋体" w:cs="宋体"/>
          <w:color w:val="auto"/>
        </w:rPr>
        <w:t>www.creditchina.gov.cn</w:t>
      </w:r>
      <w:r>
        <w:rPr>
          <w:rStyle w:val="37"/>
          <w:rFonts w:hAnsi="宋体" w:cs="宋体"/>
          <w:color w:val="auto"/>
        </w:rPr>
        <w:fldChar w:fldCharType="end"/>
      </w:r>
      <w:r>
        <w:rPr>
          <w:rFonts w:hint="eastAsia" w:ascii="宋体" w:hAnsi="宋体" w:cs="宋体"/>
          <w:szCs w:val="21"/>
        </w:rPr>
        <w:t>)、中国政府采购网(</w:t>
      </w:r>
      <w:r>
        <w:fldChar w:fldCharType="begin"/>
      </w:r>
      <w:r>
        <w:instrText xml:space="preserve"> HYPERLINK "http://www.ccgp.gov.cn" </w:instrText>
      </w:r>
      <w:r>
        <w:fldChar w:fldCharType="separate"/>
      </w:r>
      <w:r>
        <w:rPr>
          <w:rStyle w:val="37"/>
          <w:rFonts w:hAnsi="宋体" w:cs="宋体"/>
          <w:color w:val="auto"/>
        </w:rPr>
        <w:t>www.ccgp.gov.cn</w:t>
      </w:r>
      <w:r>
        <w:rPr>
          <w:rStyle w:val="37"/>
          <w:rFonts w:hAnsi="宋体" w:cs="宋体"/>
          <w:color w:val="auto"/>
        </w:rPr>
        <w:fldChar w:fldCharType="end"/>
      </w:r>
      <w:r>
        <w:rPr>
          <w:rFonts w:hint="eastAsia" w:ascii="宋体" w:hAnsi="宋体" w:cs="宋体"/>
          <w:szCs w:val="21"/>
        </w:rPr>
        <w:t>)链接入口。</w:t>
      </w:r>
    </w:p>
    <w:p>
      <w:pPr>
        <w:snapToGrid w:val="0"/>
        <w:spacing w:line="360" w:lineRule="auto"/>
        <w:ind w:firstLine="420" w:firstLineChars="200"/>
        <w:rPr>
          <w:rFonts w:ascii="宋体" w:hAnsi="宋体" w:cs="宋体"/>
          <w:szCs w:val="21"/>
        </w:rPr>
      </w:pPr>
      <w:r>
        <w:rPr>
          <w:rFonts w:hint="eastAsia" w:ascii="宋体" w:hAnsi="宋体" w:cs="宋体"/>
          <w:szCs w:val="21"/>
        </w:rPr>
        <w:t>（2）信用查询截止时点：资格审查结束前。</w:t>
      </w:r>
    </w:p>
    <w:p>
      <w:pPr>
        <w:snapToGrid w:val="0"/>
        <w:spacing w:line="360" w:lineRule="auto"/>
        <w:ind w:firstLine="420" w:firstLineChars="200"/>
        <w:rPr>
          <w:rFonts w:ascii="宋体" w:hAnsi="宋体" w:cs="宋体"/>
          <w:szCs w:val="21"/>
        </w:rPr>
      </w:pPr>
      <w:r>
        <w:rPr>
          <w:rFonts w:hint="eastAsia" w:ascii="宋体" w:hAnsi="宋体" w:cs="宋体"/>
          <w:szCs w:val="21"/>
        </w:rPr>
        <w:t>查询记录和证据留存方式：在查询网站中直接打印查询记录，截图另存为电子文档作为评审资料保存。</w:t>
      </w:r>
    </w:p>
    <w:p>
      <w:pPr>
        <w:spacing w:line="360" w:lineRule="auto"/>
        <w:ind w:firstLine="420" w:firstLineChars="200"/>
        <w:rPr>
          <w:rFonts w:ascii="宋体" w:hAnsi="宋体" w:cs="宋体"/>
          <w:szCs w:val="21"/>
        </w:rPr>
      </w:pPr>
      <w:r>
        <w:rPr>
          <w:rFonts w:hint="eastAsia" w:ascii="宋体" w:hAnsi="宋体" w:cs="宋体"/>
          <w:szCs w:val="21"/>
        </w:rPr>
        <w:t>（3）信用信息使用规则：对在“信用中国”网站(www.creditchina.gov.cn) 、中国政府采购网(www.ccgp.gov.cn)被列入失信被执行人、重大税收违法案件当事人名单、政府采购严重违法失信行为记录名单及其他不符合《中华人民共和国政府采购法》第二十二条规定条件的供应商，资格审查不通过，不得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spacing w:line="360" w:lineRule="auto"/>
        <w:ind w:firstLine="420" w:firstLineChars="200"/>
        <w:rPr>
          <w:rFonts w:ascii="宋体" w:hAnsi="宋体" w:cs="宋体"/>
          <w:szCs w:val="21"/>
        </w:rPr>
      </w:pPr>
      <w:r>
        <w:rPr>
          <w:rFonts w:hint="eastAsia" w:ascii="宋体" w:hAnsi="宋体" w:cs="宋体"/>
          <w:szCs w:val="21"/>
        </w:rPr>
        <w:t>2.2资格审查标准为本磋商文件中载明对供应商资格要求的条件。资格审查采用合格制，凡符合磋商文件规定的供应商资格要求的响应文件均通过资格审查。</w:t>
      </w:r>
    </w:p>
    <w:p>
      <w:pPr>
        <w:spacing w:line="360" w:lineRule="auto"/>
        <w:ind w:firstLine="420" w:firstLineChars="200"/>
        <w:rPr>
          <w:rFonts w:ascii="宋体" w:hAnsi="宋体" w:cs="宋体"/>
          <w:szCs w:val="21"/>
        </w:rPr>
      </w:pPr>
      <w:r>
        <w:rPr>
          <w:rFonts w:hint="eastAsia" w:ascii="宋体" w:hAnsi="宋体" w:cs="宋体"/>
          <w:szCs w:val="21"/>
        </w:rPr>
        <w:t>2.3供应商有下列情形之一的，资格审查不通过，其响应文件按无效响应处理：</w:t>
      </w:r>
    </w:p>
    <w:p>
      <w:pPr>
        <w:snapToGrid w:val="0"/>
        <w:spacing w:line="360" w:lineRule="auto"/>
        <w:ind w:firstLine="420" w:firstLineChars="200"/>
        <w:rPr>
          <w:rFonts w:ascii="宋体" w:hAnsi="宋体" w:cs="宋体"/>
          <w:szCs w:val="21"/>
        </w:rPr>
      </w:pPr>
      <w:r>
        <w:rPr>
          <w:rFonts w:hint="eastAsia" w:ascii="宋体" w:hAnsi="宋体" w:cs="宋体"/>
          <w:szCs w:val="21"/>
        </w:rPr>
        <w:t>（1）不具备磋商文件中规定的资格要求的；</w:t>
      </w:r>
    </w:p>
    <w:p>
      <w:pPr>
        <w:spacing w:line="360" w:lineRule="auto"/>
        <w:ind w:firstLine="420" w:firstLineChars="200"/>
        <w:rPr>
          <w:rFonts w:ascii="宋体" w:hAnsi="宋体" w:cs="宋体"/>
          <w:szCs w:val="21"/>
        </w:rPr>
      </w:pPr>
      <w:r>
        <w:rPr>
          <w:rFonts w:hint="eastAsia" w:ascii="宋体" w:hAnsi="宋体" w:cs="宋体"/>
          <w:szCs w:val="21"/>
        </w:rPr>
        <w:t>（2）响应文件未提供任一项“供应商须知前附表”资格证明文件规定的“必须提供”的文件资料的；</w:t>
      </w:r>
    </w:p>
    <w:p>
      <w:pPr>
        <w:spacing w:line="360" w:lineRule="auto"/>
        <w:ind w:firstLine="420" w:firstLineChars="200"/>
        <w:rPr>
          <w:rFonts w:ascii="宋体" w:hAnsi="宋体" w:cs="宋体"/>
          <w:szCs w:val="21"/>
        </w:rPr>
      </w:pPr>
      <w:r>
        <w:rPr>
          <w:rFonts w:hint="eastAsia" w:ascii="宋体" w:hAnsi="宋体" w:cs="宋体"/>
          <w:szCs w:val="21"/>
        </w:rPr>
        <w:t>（3）响应文件提供的资格证明文件出现任一项不符合“供应商须知前附表”资格证明文件规定的“必须提供”的文件资料要求或者无效的。</w:t>
      </w:r>
    </w:p>
    <w:p>
      <w:pPr>
        <w:spacing w:line="360" w:lineRule="auto"/>
        <w:ind w:firstLine="420" w:firstLineChars="200"/>
        <w:rPr>
          <w:rFonts w:ascii="宋体" w:hAnsi="宋体" w:cs="宋体"/>
          <w:szCs w:val="21"/>
        </w:rPr>
      </w:pPr>
      <w:r>
        <w:rPr>
          <w:rFonts w:hint="eastAsia" w:ascii="宋体" w:hAnsi="宋体" w:cs="宋体"/>
          <w:szCs w:val="21"/>
        </w:rPr>
        <w:t>（4）同一合同项下的不同供应商，单位负责人为同一人或者存在直接控股、管理关系的；为本项目提供过整体设计、规范编制或者项目管理、监理、检测等服务的。</w:t>
      </w:r>
    </w:p>
    <w:p>
      <w:pPr>
        <w:spacing w:line="360" w:lineRule="auto"/>
        <w:ind w:firstLine="420" w:firstLineChars="200"/>
        <w:rPr>
          <w:rFonts w:ascii="宋体" w:hAnsi="宋体" w:cs="宋体"/>
          <w:szCs w:val="21"/>
        </w:rPr>
      </w:pPr>
      <w:r>
        <w:rPr>
          <w:rFonts w:hint="eastAsia" w:ascii="宋体" w:hAnsi="宋体" w:cs="宋体"/>
          <w:szCs w:val="21"/>
        </w:rPr>
        <w:t>2.4通过资格审查的合格供应商不足3家的，不得进入符合性审查环节，</w:t>
      </w:r>
      <w:r>
        <w:rPr>
          <w:rFonts w:hint="eastAsia" w:ascii="宋体" w:hAnsi="宋体"/>
          <w:szCs w:val="21"/>
        </w:rPr>
        <w:t>采购人或者采购代理机构应当重新开展采购活动。</w:t>
      </w:r>
    </w:p>
    <w:p>
      <w:pPr>
        <w:spacing w:line="360" w:lineRule="auto"/>
        <w:ind w:firstLine="482" w:firstLineChars="200"/>
        <w:rPr>
          <w:rFonts w:ascii="黑体" w:hAnsi="黑体" w:eastAsia="黑体" w:cs="宋体"/>
          <w:b/>
          <w:bCs/>
          <w:sz w:val="24"/>
        </w:rPr>
      </w:pPr>
      <w:r>
        <w:rPr>
          <w:rFonts w:hint="eastAsia" w:ascii="黑体" w:hAnsi="黑体" w:eastAsia="黑体" w:cs="宋体"/>
          <w:b/>
          <w:bCs/>
          <w:sz w:val="24"/>
        </w:rPr>
        <w:t>3.符合性审查</w:t>
      </w:r>
    </w:p>
    <w:p>
      <w:pPr>
        <w:spacing w:line="360" w:lineRule="auto"/>
        <w:ind w:firstLine="420" w:firstLineChars="200"/>
        <w:rPr>
          <w:rFonts w:ascii="宋体" w:hAnsi="宋体" w:cs="宋体"/>
          <w:szCs w:val="21"/>
        </w:rPr>
      </w:pPr>
      <w:r>
        <w:rPr>
          <w:rFonts w:hint="eastAsia" w:ascii="宋体" w:hAnsi="宋体" w:cs="宋体"/>
          <w:szCs w:val="21"/>
        </w:rPr>
        <w:t>3.1由磋商小组对</w:t>
      </w:r>
      <w:r>
        <w:rPr>
          <w:rFonts w:hint="eastAsia" w:ascii="宋体" w:hAnsi="宋体"/>
          <w:szCs w:val="21"/>
        </w:rPr>
        <w:t>通过资格审查的合格供应商</w:t>
      </w:r>
      <w:r>
        <w:rPr>
          <w:rFonts w:hint="eastAsia" w:ascii="宋体" w:hAnsi="宋体" w:cs="宋体"/>
          <w:szCs w:val="21"/>
        </w:rPr>
        <w:t>的响应文件的响应报价、商务、技术等实质性要求进行符合性审查，以确定其是否满足磋商文件的实质性要求。</w:t>
      </w:r>
    </w:p>
    <w:p>
      <w:pPr>
        <w:spacing w:line="360" w:lineRule="auto"/>
        <w:ind w:firstLine="420" w:firstLineChars="200"/>
        <w:rPr>
          <w:rFonts w:ascii="宋体" w:hAnsi="宋体" w:cs="宋体"/>
          <w:szCs w:val="21"/>
        </w:rPr>
      </w:pPr>
      <w:r>
        <w:rPr>
          <w:rFonts w:hint="eastAsia" w:ascii="宋体" w:hAnsi="宋体" w:cs="宋体"/>
          <w:szCs w:val="21"/>
        </w:rPr>
        <w:t>3.2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60" w:lineRule="auto"/>
        <w:ind w:firstLine="420" w:firstLineChars="200"/>
        <w:rPr>
          <w:rFonts w:ascii="宋体" w:hAnsi="宋体" w:cs="宋体"/>
          <w:spacing w:val="-6"/>
          <w:szCs w:val="21"/>
        </w:rPr>
      </w:pPr>
      <w:r>
        <w:rPr>
          <w:rFonts w:hint="eastAsia" w:ascii="宋体" w:hAnsi="宋体" w:cs="宋体"/>
          <w:szCs w:val="21"/>
        </w:rPr>
        <w:t>3.3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公章</w:t>
      </w:r>
      <w:r>
        <w:rPr>
          <w:rFonts w:hint="eastAsia" w:ascii="宋体" w:hAnsi="宋体" w:cs="宋体"/>
          <w:spacing w:val="-6"/>
          <w:szCs w:val="21"/>
        </w:rPr>
        <w:t>。供应商为自然人的，必须由本人签字并附身份证明。</w:t>
      </w:r>
    </w:p>
    <w:p>
      <w:pPr>
        <w:spacing w:line="360" w:lineRule="auto"/>
        <w:ind w:firstLine="396" w:firstLineChars="200"/>
        <w:rPr>
          <w:rFonts w:ascii="宋体" w:hAnsi="宋体" w:cs="宋体"/>
          <w:szCs w:val="21"/>
        </w:rPr>
      </w:pPr>
      <w:r>
        <w:rPr>
          <w:rFonts w:hint="eastAsia" w:ascii="宋体" w:hAnsi="宋体" w:cs="宋体"/>
          <w:spacing w:val="-6"/>
          <w:szCs w:val="21"/>
        </w:rPr>
        <w:t>3.4</w:t>
      </w:r>
      <w:r>
        <w:rPr>
          <w:rFonts w:hint="eastAsia" w:ascii="宋体" w:hAnsi="宋体" w:cs="宋体"/>
          <w:szCs w:val="21"/>
        </w:rPr>
        <w:t>首次响应文件报价出现前后不一致的，按照下列规定修正：</w:t>
      </w:r>
    </w:p>
    <w:p>
      <w:pPr>
        <w:spacing w:line="360" w:lineRule="auto"/>
        <w:ind w:firstLine="420" w:firstLineChars="200"/>
        <w:rPr>
          <w:rFonts w:ascii="宋体" w:hAnsi="宋体" w:cs="宋体"/>
          <w:szCs w:val="21"/>
        </w:rPr>
      </w:pPr>
      <w:r>
        <w:rPr>
          <w:rFonts w:hint="eastAsia" w:ascii="宋体" w:hAnsi="宋体" w:cs="宋体"/>
          <w:szCs w:val="21"/>
        </w:rPr>
        <w:t>（1）响应文件中报价表内容与响应文件中相应内容不一致的，以报价表为准；</w:t>
      </w:r>
    </w:p>
    <w:p>
      <w:pPr>
        <w:spacing w:line="360" w:lineRule="auto"/>
        <w:ind w:firstLine="420" w:firstLineChars="200"/>
        <w:rPr>
          <w:rFonts w:ascii="宋体" w:hAnsi="宋体" w:cs="宋体"/>
          <w:szCs w:val="21"/>
        </w:rPr>
      </w:pPr>
      <w:r>
        <w:rPr>
          <w:rFonts w:hint="eastAsia" w:ascii="宋体" w:hAnsi="宋体" w:cs="宋体"/>
          <w:szCs w:val="21"/>
        </w:rPr>
        <w:t>（2）大写金额和小写金额不一致的，以大写金额为准；</w:t>
      </w:r>
    </w:p>
    <w:p>
      <w:pPr>
        <w:spacing w:line="360" w:lineRule="auto"/>
        <w:ind w:firstLine="420" w:firstLineChars="200"/>
        <w:rPr>
          <w:rFonts w:ascii="宋体" w:hAnsi="宋体" w:cs="宋体"/>
          <w:szCs w:val="21"/>
        </w:rPr>
      </w:pPr>
      <w:r>
        <w:rPr>
          <w:rFonts w:hint="eastAsia" w:ascii="宋体" w:hAnsi="宋体" w:cs="宋体"/>
          <w:szCs w:val="21"/>
        </w:rPr>
        <w:t>（3）单价金额小数点或者百分比有明显错位的，以报价表的总价为准，并修改单价；</w:t>
      </w:r>
    </w:p>
    <w:p>
      <w:pPr>
        <w:spacing w:line="360" w:lineRule="auto"/>
        <w:ind w:firstLine="420" w:firstLineChars="200"/>
        <w:rPr>
          <w:rFonts w:ascii="宋体" w:hAnsi="宋体" w:cs="宋体"/>
          <w:szCs w:val="21"/>
        </w:rPr>
      </w:pPr>
      <w:r>
        <w:rPr>
          <w:rFonts w:hint="eastAsia" w:ascii="宋体" w:hAnsi="宋体" w:cs="宋体"/>
          <w:szCs w:val="21"/>
        </w:rPr>
        <w:t>（4）总价金额与按单价汇总金额不一致的，以单价金额计算结果为准。</w:t>
      </w:r>
    </w:p>
    <w:p>
      <w:pPr>
        <w:spacing w:line="360" w:lineRule="auto"/>
        <w:ind w:firstLine="420" w:firstLineChars="200"/>
        <w:rPr>
          <w:rFonts w:ascii="宋体" w:hAnsi="宋体" w:cs="宋体"/>
          <w:szCs w:val="21"/>
        </w:rPr>
      </w:pPr>
      <w:r>
        <w:rPr>
          <w:rFonts w:hint="eastAsia" w:ascii="宋体" w:hAnsi="宋体" w:cs="宋体"/>
          <w:szCs w:val="21"/>
        </w:rPr>
        <w:t>同时出现两种以上不一致的，按照以上（1）-（4）规定的顺序逐条进行修正。修正后的报价经供应商确认后产生约束力，供应商不确认的，其响应文件按无效响应处理。</w:t>
      </w:r>
    </w:p>
    <w:p>
      <w:pPr>
        <w:spacing w:line="360" w:lineRule="auto"/>
        <w:ind w:firstLine="420" w:firstLineChars="200"/>
        <w:rPr>
          <w:rFonts w:ascii="宋体" w:hAnsi="宋体" w:cs="宋体"/>
          <w:szCs w:val="21"/>
        </w:rPr>
      </w:pPr>
      <w:r>
        <w:rPr>
          <w:rFonts w:hint="eastAsia" w:ascii="宋体" w:hAnsi="宋体" w:cs="宋体"/>
          <w:szCs w:val="21"/>
        </w:rPr>
        <w:t>3.5商务技术、报价评审</w:t>
      </w:r>
    </w:p>
    <w:p>
      <w:pPr>
        <w:spacing w:line="360" w:lineRule="auto"/>
        <w:ind w:firstLine="420" w:firstLineChars="200"/>
        <w:rPr>
          <w:rFonts w:ascii="宋体" w:hAnsi="宋体" w:cs="宋体"/>
          <w:szCs w:val="21"/>
        </w:rPr>
      </w:pPr>
      <w:r>
        <w:rPr>
          <w:rFonts w:hint="eastAsia" w:ascii="宋体" w:hAnsi="宋体" w:cs="宋体"/>
          <w:szCs w:val="21"/>
        </w:rPr>
        <w:t>在评审时，如发现下列情形之一的，将被视为响应文件无效处理：</w:t>
      </w:r>
    </w:p>
    <w:p>
      <w:pPr>
        <w:spacing w:line="360" w:lineRule="auto"/>
        <w:ind w:firstLine="420" w:firstLineChars="200"/>
        <w:rPr>
          <w:rFonts w:ascii="宋体" w:hAnsi="宋体" w:cs="宋体"/>
          <w:szCs w:val="21"/>
        </w:rPr>
      </w:pPr>
      <w:r>
        <w:rPr>
          <w:rFonts w:hint="eastAsia" w:ascii="宋体" w:hAnsi="宋体" w:cs="宋体"/>
          <w:szCs w:val="21"/>
        </w:rPr>
        <w:t>（1）商务技术评审</w:t>
      </w:r>
    </w:p>
    <w:p>
      <w:pPr>
        <w:spacing w:line="360" w:lineRule="auto"/>
        <w:ind w:firstLine="420" w:firstLineChars="200"/>
        <w:rPr>
          <w:rFonts w:ascii="宋体" w:hAnsi="宋体" w:cs="宋体"/>
          <w:szCs w:val="21"/>
        </w:rPr>
      </w:pPr>
      <w:r>
        <w:rPr>
          <w:rFonts w:hint="eastAsia" w:ascii="宋体" w:hAnsi="宋体" w:cs="宋体"/>
          <w:szCs w:val="21"/>
        </w:rPr>
        <w:t>1）响应文件未按磋商文件要求签署、盖章；</w:t>
      </w:r>
    </w:p>
    <w:p>
      <w:pPr>
        <w:spacing w:line="360" w:lineRule="auto"/>
        <w:ind w:firstLine="420" w:firstLineChars="200"/>
        <w:rPr>
          <w:rFonts w:ascii="宋体" w:hAnsi="宋体" w:cs="宋体"/>
          <w:szCs w:val="21"/>
        </w:rPr>
      </w:pPr>
      <w:r>
        <w:rPr>
          <w:rFonts w:hint="eastAsia" w:ascii="宋体" w:hAnsi="宋体" w:cs="宋体"/>
          <w:szCs w:val="21"/>
        </w:rPr>
        <w:t xml:space="preserve">2）委托代理人未能出具有效身份证明或者出具的身份证明与授权委托书中的信息不符； </w:t>
      </w:r>
    </w:p>
    <w:p>
      <w:pPr>
        <w:spacing w:line="360" w:lineRule="auto"/>
        <w:ind w:firstLine="420" w:firstLineChars="200"/>
        <w:rPr>
          <w:rFonts w:ascii="宋体" w:hAnsi="宋体" w:cs="宋体"/>
          <w:szCs w:val="21"/>
        </w:rPr>
      </w:pPr>
      <w:r>
        <w:rPr>
          <w:rFonts w:hint="eastAsia" w:ascii="宋体" w:hAnsi="宋体" w:cs="宋体"/>
          <w:szCs w:val="21"/>
        </w:rPr>
        <w:t>3）响应文件未提供任一项“供应商须知前附表” 商务技术文件中 “必须提供”或者“委托时必须提供”的文件资料；响应文件提供的商务技术文件出现任一项不符合“供应商须知前附表”商务技术文件中 “必须提供”或者“委托时必须提供”文件资料要求的规定或者提供的商务技术文件无效。</w:t>
      </w:r>
    </w:p>
    <w:p>
      <w:pPr>
        <w:spacing w:line="360" w:lineRule="auto"/>
        <w:ind w:firstLine="420" w:firstLineChars="200"/>
        <w:rPr>
          <w:rFonts w:ascii="宋体" w:hAnsi="宋体" w:cs="宋体"/>
          <w:szCs w:val="21"/>
        </w:rPr>
      </w:pPr>
      <w:r>
        <w:rPr>
          <w:rFonts w:hint="eastAsia" w:ascii="宋体" w:hAnsi="宋体" w:cs="宋体"/>
          <w:szCs w:val="21"/>
        </w:rPr>
        <w:t>4）商务条款中标“▲”的条款发生负偏离的或者允许负偏离的条款数超过“供应商须知前附表”规定项数的或者标明实质性的要求发生负偏离；</w:t>
      </w:r>
    </w:p>
    <w:p>
      <w:pPr>
        <w:spacing w:line="360" w:lineRule="auto"/>
        <w:ind w:firstLine="420" w:firstLineChars="200"/>
        <w:rPr>
          <w:rFonts w:ascii="宋体" w:hAnsi="宋体" w:cs="宋体"/>
          <w:szCs w:val="21"/>
        </w:rPr>
      </w:pPr>
      <w:r>
        <w:rPr>
          <w:rFonts w:hint="eastAsia" w:ascii="宋体" w:hAnsi="宋体" w:cs="宋体"/>
          <w:szCs w:val="21"/>
        </w:rPr>
        <w:t>5）未对竞标有效期作出响应或者响应文件承诺的竞标有效期不满足磋商文件要求；</w:t>
      </w:r>
    </w:p>
    <w:p>
      <w:pPr>
        <w:spacing w:line="360" w:lineRule="auto"/>
        <w:ind w:firstLine="420" w:firstLineChars="200"/>
        <w:rPr>
          <w:rFonts w:ascii="宋体" w:hAnsi="宋体" w:cs="宋体"/>
          <w:szCs w:val="21"/>
        </w:rPr>
      </w:pPr>
      <w:r>
        <w:rPr>
          <w:rFonts w:hint="eastAsia" w:ascii="宋体" w:hAnsi="宋体" w:cs="宋体"/>
          <w:szCs w:val="21"/>
        </w:rPr>
        <w:t>6）响应文件的实质性内容未使用中文表述、使用计量单位不符合磋商文件要求；</w:t>
      </w:r>
    </w:p>
    <w:p>
      <w:pPr>
        <w:spacing w:line="360" w:lineRule="auto"/>
        <w:ind w:firstLine="420" w:firstLineChars="200"/>
        <w:rPr>
          <w:rFonts w:ascii="宋体" w:hAnsi="宋体" w:cs="宋体"/>
          <w:szCs w:val="21"/>
        </w:rPr>
      </w:pPr>
      <w:r>
        <w:rPr>
          <w:rFonts w:hint="eastAsia" w:ascii="宋体" w:hAnsi="宋体" w:cs="宋体"/>
          <w:szCs w:val="21"/>
        </w:rPr>
        <w:t>7）响应文件中的文件资料因填写不齐全或者内容虚假或者出现其他情形而导致被磋商小组认定无效；</w:t>
      </w:r>
    </w:p>
    <w:p>
      <w:pPr>
        <w:spacing w:line="360" w:lineRule="auto"/>
        <w:ind w:firstLine="420" w:firstLineChars="200"/>
        <w:rPr>
          <w:rFonts w:ascii="宋体" w:hAnsi="宋体" w:cs="宋体"/>
          <w:szCs w:val="21"/>
        </w:rPr>
      </w:pPr>
      <w:r>
        <w:rPr>
          <w:rFonts w:hint="eastAsia" w:ascii="宋体" w:hAnsi="宋体" w:cs="宋体"/>
          <w:szCs w:val="21"/>
        </w:rPr>
        <w:t>8）响应文件含有采购人不能接受的附加条件；</w:t>
      </w:r>
    </w:p>
    <w:p>
      <w:pPr>
        <w:spacing w:line="360" w:lineRule="auto"/>
        <w:ind w:firstLine="420" w:firstLineChars="200"/>
        <w:rPr>
          <w:rFonts w:ascii="宋体" w:hAnsi="宋体" w:cs="宋体"/>
          <w:szCs w:val="21"/>
        </w:rPr>
      </w:pPr>
      <w:r>
        <w:rPr>
          <w:rFonts w:hint="eastAsia" w:ascii="宋体" w:hAnsi="宋体" w:cs="宋体"/>
          <w:szCs w:val="21"/>
        </w:rPr>
        <w:t>9）属于“供应商须知正文”第7.5条情形；</w:t>
      </w:r>
    </w:p>
    <w:p>
      <w:pPr>
        <w:spacing w:line="360" w:lineRule="auto"/>
        <w:ind w:firstLine="420" w:firstLineChars="200"/>
        <w:rPr>
          <w:rFonts w:ascii="宋体" w:hAnsi="宋体" w:cs="宋体"/>
          <w:szCs w:val="21"/>
        </w:rPr>
      </w:pPr>
      <w:r>
        <w:rPr>
          <w:rFonts w:hint="eastAsia" w:ascii="宋体" w:hAnsi="宋体" w:cs="宋体"/>
          <w:szCs w:val="21"/>
        </w:rPr>
        <w:t>10）技术需求允许负偏离的条款数超过“供应商须知前附表”规定项数；</w:t>
      </w:r>
    </w:p>
    <w:p>
      <w:pPr>
        <w:spacing w:line="360" w:lineRule="auto"/>
        <w:ind w:firstLine="420" w:firstLineChars="200"/>
        <w:rPr>
          <w:rFonts w:ascii="宋体" w:hAnsi="宋体" w:cs="宋体"/>
          <w:szCs w:val="21"/>
        </w:rPr>
      </w:pPr>
      <w:r>
        <w:rPr>
          <w:rFonts w:hint="eastAsia" w:ascii="宋体" w:hAnsi="宋体" w:cs="宋体"/>
          <w:szCs w:val="21"/>
        </w:rPr>
        <w:t>11）虚假竞标，或者出现其他情形而导致被磋商小组认定无效；</w:t>
      </w:r>
    </w:p>
    <w:p>
      <w:pPr>
        <w:spacing w:line="360" w:lineRule="auto"/>
        <w:ind w:firstLine="420" w:firstLineChars="200"/>
        <w:rPr>
          <w:rFonts w:ascii="宋体" w:hAnsi="宋体" w:cs="宋体"/>
          <w:szCs w:val="21"/>
        </w:rPr>
      </w:pPr>
      <w:r>
        <w:rPr>
          <w:rFonts w:hint="eastAsia" w:ascii="宋体" w:hAnsi="宋体" w:cs="宋体"/>
          <w:szCs w:val="21"/>
        </w:rPr>
        <w:t>12）竞标技术方案不明确，磋商文件未允许</w:t>
      </w:r>
      <w:r>
        <w:rPr>
          <w:rFonts w:hint="eastAsia" w:ascii="宋体" w:hAnsi="宋体"/>
          <w:szCs w:val="21"/>
        </w:rPr>
        <w:t>但响应文件中</w:t>
      </w:r>
      <w:r>
        <w:rPr>
          <w:rFonts w:hint="eastAsia" w:ascii="宋体" w:hAnsi="宋体" w:cs="宋体"/>
          <w:szCs w:val="21"/>
        </w:rPr>
        <w:t>存在一个或者一个以上备选（替代）竞标方案；</w:t>
      </w:r>
    </w:p>
    <w:p>
      <w:pPr>
        <w:spacing w:line="360" w:lineRule="auto"/>
        <w:ind w:firstLine="420" w:firstLineChars="200"/>
        <w:rPr>
          <w:rFonts w:ascii="宋体" w:hAnsi="宋体" w:cs="宋体"/>
          <w:szCs w:val="21"/>
        </w:rPr>
      </w:pPr>
      <w:r>
        <w:rPr>
          <w:rFonts w:hint="eastAsia" w:ascii="宋体" w:hAnsi="宋体" w:cs="宋体"/>
          <w:szCs w:val="21"/>
        </w:rPr>
        <w:t>13）响应文件标注的项目名称或者项目编号与竞争性磋商文件标注的项目名称或者项目编号不一致的；</w:t>
      </w:r>
    </w:p>
    <w:p>
      <w:pPr>
        <w:spacing w:line="360" w:lineRule="auto"/>
        <w:ind w:firstLine="420" w:firstLineChars="200"/>
        <w:rPr>
          <w:rFonts w:ascii="宋体" w:hAnsi="宋体" w:cs="宋体"/>
          <w:szCs w:val="21"/>
        </w:rPr>
      </w:pPr>
      <w:r>
        <w:rPr>
          <w:rFonts w:hint="eastAsia" w:ascii="宋体" w:hAnsi="宋体" w:cs="宋体"/>
          <w:szCs w:val="21"/>
        </w:rPr>
        <w:t>14）未响应磋商文件实质性要求；</w:t>
      </w:r>
    </w:p>
    <w:p>
      <w:pPr>
        <w:spacing w:line="360" w:lineRule="auto"/>
        <w:ind w:firstLine="420" w:firstLineChars="200"/>
        <w:rPr>
          <w:rFonts w:ascii="宋体" w:hAnsi="宋体" w:cs="宋体"/>
          <w:szCs w:val="21"/>
        </w:rPr>
      </w:pPr>
      <w:r>
        <w:rPr>
          <w:rFonts w:hint="eastAsia" w:ascii="宋体" w:hAnsi="宋体" w:cs="宋体"/>
          <w:szCs w:val="21"/>
        </w:rPr>
        <w:t>15）法律、法规和磋商文件规定的其他无效情形。</w:t>
      </w:r>
    </w:p>
    <w:p>
      <w:pPr>
        <w:spacing w:line="360" w:lineRule="auto"/>
        <w:ind w:firstLine="420" w:firstLineChars="200"/>
        <w:rPr>
          <w:rFonts w:ascii="宋体" w:hAnsi="宋体" w:cs="宋体"/>
          <w:szCs w:val="21"/>
        </w:rPr>
      </w:pPr>
      <w:r>
        <w:rPr>
          <w:rFonts w:hint="eastAsia" w:ascii="宋体" w:hAnsi="宋体" w:cs="宋体"/>
          <w:szCs w:val="21"/>
        </w:rPr>
        <w:t>（2）报价评审</w:t>
      </w:r>
    </w:p>
    <w:p>
      <w:pPr>
        <w:spacing w:line="360" w:lineRule="auto"/>
        <w:ind w:firstLine="420" w:firstLineChars="200"/>
        <w:rPr>
          <w:rFonts w:ascii="宋体" w:hAnsi="宋体" w:cs="宋体"/>
          <w:szCs w:val="21"/>
        </w:rPr>
      </w:pPr>
      <w:r>
        <w:rPr>
          <w:rFonts w:hint="eastAsia" w:ascii="宋体" w:hAnsi="宋体" w:cs="宋体"/>
          <w:szCs w:val="21"/>
        </w:rPr>
        <w:t>1)响应文件未提供任一项“供应商须知前附表”报价文件中“必须提供”的文件资料；响应文件提供的报价文件出现任一项不符合“供应商须知前附表”报价文件中“必须提供”文件资料要求的规定或者提供的报价文件无效；</w:t>
      </w:r>
    </w:p>
    <w:p>
      <w:pPr>
        <w:spacing w:line="360" w:lineRule="auto"/>
        <w:ind w:firstLine="420" w:firstLineChars="200"/>
        <w:rPr>
          <w:rFonts w:ascii="宋体" w:hAnsi="宋体" w:cs="宋体"/>
          <w:szCs w:val="21"/>
        </w:rPr>
      </w:pPr>
      <w:r>
        <w:rPr>
          <w:rFonts w:hint="eastAsia" w:ascii="宋体" w:hAnsi="宋体" w:cs="宋体"/>
          <w:szCs w:val="21"/>
        </w:rPr>
        <w:t>2）未采用人民币报价或者未按照磋商文件标明的币种报价；</w:t>
      </w:r>
    </w:p>
    <w:p>
      <w:pPr>
        <w:spacing w:line="360" w:lineRule="auto"/>
        <w:ind w:firstLine="420" w:firstLineChars="200"/>
        <w:rPr>
          <w:rFonts w:ascii="宋体" w:hAnsi="宋体" w:cs="宋体"/>
          <w:szCs w:val="21"/>
        </w:rPr>
      </w:pPr>
      <w:r>
        <w:rPr>
          <w:rFonts w:hint="eastAsia" w:ascii="宋体" w:hAnsi="宋体" w:cs="宋体"/>
          <w:szCs w:val="21"/>
        </w:rPr>
        <w:t>3）供应商未就所竞标分标进行报价或者存在漏项报价；供应商未就所竞标分标的单项内容作唯一报价；供应商未就所竞标分标的全部内容作唯一总价报价；供应商响应文件中存在有选择、有条件报价的（磋商文件允许有备选方案或者其他约定的除外）；</w:t>
      </w:r>
    </w:p>
    <w:p>
      <w:pPr>
        <w:spacing w:line="360" w:lineRule="auto"/>
        <w:ind w:firstLine="420" w:firstLineChars="200"/>
        <w:rPr>
          <w:rFonts w:ascii="宋体" w:hAnsi="宋体" w:cs="宋体"/>
          <w:szCs w:val="21"/>
        </w:rPr>
      </w:pPr>
      <w:r>
        <w:rPr>
          <w:rFonts w:hint="eastAsia" w:ascii="宋体" w:hAnsi="宋体" w:cs="宋体"/>
          <w:szCs w:val="21"/>
        </w:rPr>
        <w:t>4）响应报价（包含首次报价、最后报价）超过所竞标分标规定的采购预算金额或者最高限价（如本项目公布了最高限价）或者有效报价范围的；响应报价（包含首次报价、最后报价）超过磋商文件分项采购预算金额或者最高限价的（如本项目公布了最高限价）；</w:t>
      </w:r>
    </w:p>
    <w:p>
      <w:pPr>
        <w:spacing w:line="360" w:lineRule="auto"/>
        <w:ind w:firstLine="420" w:firstLineChars="200"/>
        <w:rPr>
          <w:rFonts w:ascii="宋体" w:hAnsi="宋体" w:cs="宋体"/>
          <w:szCs w:val="21"/>
        </w:rPr>
      </w:pPr>
      <w:r>
        <w:rPr>
          <w:rFonts w:hint="eastAsia" w:ascii="宋体" w:hAnsi="宋体" w:cs="宋体"/>
          <w:szCs w:val="21"/>
        </w:rPr>
        <w:t>5）修正后的报价，供应商不确认的；或者经供应商确认修正后的响应报价（包含首次报价、最后报价）超过所竞标分标规定的采购预算金额或者最高限价（如本项目公布了最高限价）或者有效报价范围；或者经供应商确认修正后响应报价（包含首次报价、最后报价）超过磋商文件分项采购预算金额或者最高限价的（如本项目公布了最高限价）。</w:t>
      </w:r>
    </w:p>
    <w:p>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szCs w:val="21"/>
        </w:rPr>
        <w:t>响应文件响应的标的数量及单位与竞争性磋商采购文件要求实质性不一致的。</w:t>
      </w:r>
    </w:p>
    <w:p>
      <w:pPr>
        <w:spacing w:line="360" w:lineRule="auto"/>
        <w:ind w:firstLine="420" w:firstLineChars="200"/>
        <w:rPr>
          <w:rFonts w:ascii="宋体" w:hAnsi="宋体" w:cs="宋体"/>
          <w:szCs w:val="21"/>
        </w:rPr>
      </w:pPr>
      <w:r>
        <w:rPr>
          <w:rFonts w:hint="eastAsia" w:ascii="宋体" w:hAnsi="宋体" w:cs="宋体"/>
          <w:szCs w:val="21"/>
        </w:rPr>
        <w:t>3.6磋商小组对响应文件进行评审，未实质性响应磋商文件的响应文件按无效处理，磋商小组应当将资格和符合性不通过的情况告知有关供应商。磋商小组从符合磋商文件规定的相应资格条件的供应商名单中确定不少于3家的供应商参加磋商。</w:t>
      </w:r>
    </w:p>
    <w:p>
      <w:pPr>
        <w:spacing w:line="360" w:lineRule="auto"/>
        <w:ind w:firstLine="420" w:firstLineChars="200"/>
        <w:rPr>
          <w:rFonts w:ascii="宋体" w:hAnsi="宋体" w:cs="宋体"/>
          <w:szCs w:val="21"/>
        </w:rPr>
      </w:pPr>
      <w:r>
        <w:rPr>
          <w:rFonts w:hint="eastAsia" w:ascii="宋体" w:hAnsi="宋体" w:cs="宋体"/>
          <w:szCs w:val="21"/>
        </w:rPr>
        <w:t>3.7非</w:t>
      </w:r>
      <w:r>
        <w:rPr>
          <w:rFonts w:hint="eastAsia" w:ascii="宋体" w:hAnsi="宋体"/>
          <w:szCs w:val="21"/>
        </w:rPr>
        <w:t>政府购买服务项目，通过符合性审查的合格供应商不足3家的，不得进入磋商环节，采购人或者采购代理机构应当重新开展采购活动。政府购买服务项目，按《财政部关于政府采购竞争性磋商采购方式管理暂行办法有关问题的补充通知》（财库〔2015〕124号）规定，采购过程中通过符合性审查的供应商（社会资本）只有2家的，磋商采购活动可以继续进行。</w:t>
      </w:r>
    </w:p>
    <w:p>
      <w:pPr>
        <w:ind w:firstLine="482" w:firstLineChars="200"/>
        <w:rPr>
          <w:rFonts w:ascii="黑体" w:hAnsi="黑体" w:eastAsia="黑体" w:cs="宋体"/>
          <w:b/>
          <w:bCs/>
          <w:sz w:val="24"/>
        </w:rPr>
      </w:pPr>
      <w:r>
        <w:rPr>
          <w:rFonts w:hint="eastAsia" w:ascii="黑体" w:hAnsi="黑体" w:eastAsia="黑体" w:cs="宋体"/>
          <w:b/>
          <w:bCs/>
          <w:sz w:val="24"/>
        </w:rPr>
        <w:t>4.磋商程序</w:t>
      </w:r>
    </w:p>
    <w:p>
      <w:pPr>
        <w:spacing w:line="360" w:lineRule="auto"/>
        <w:ind w:firstLine="420" w:firstLineChars="200"/>
        <w:rPr>
          <w:rFonts w:ascii="宋体" w:hAnsi="宋体" w:cs="宋体"/>
          <w:kern w:val="0"/>
          <w:szCs w:val="21"/>
        </w:rPr>
      </w:pPr>
      <w:r>
        <w:rPr>
          <w:rFonts w:hint="eastAsia" w:ascii="宋体" w:hAnsi="宋体" w:cs="宋体"/>
          <w:kern w:val="0"/>
          <w:szCs w:val="21"/>
        </w:rPr>
        <w:t>4.1磋商小组按照“供应商须知前附表”确定的</w:t>
      </w:r>
      <w:r>
        <w:rPr>
          <w:rFonts w:hint="eastAsia" w:ascii="宋体" w:hAnsi="宋体" w:cs="宋体"/>
          <w:szCs w:val="21"/>
        </w:rPr>
        <w:t>顺序，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响应处理。</w:t>
      </w:r>
    </w:p>
    <w:p>
      <w:pPr>
        <w:spacing w:line="360" w:lineRule="auto"/>
        <w:ind w:firstLine="420" w:firstLineChars="200"/>
        <w:rPr>
          <w:rFonts w:ascii="宋体" w:hAnsi="宋体" w:cs="宋体"/>
          <w:szCs w:val="21"/>
        </w:rPr>
      </w:pPr>
      <w:r>
        <w:rPr>
          <w:rFonts w:hint="eastAsia" w:ascii="宋体" w:hAnsi="宋体" w:cs="宋体"/>
          <w:szCs w:val="21"/>
        </w:rPr>
        <w:t>4.2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pPr>
        <w:spacing w:line="360" w:lineRule="auto"/>
        <w:ind w:firstLine="420" w:firstLineChars="200"/>
        <w:rPr>
          <w:rFonts w:ascii="宋体" w:hAnsi="宋体" w:cs="宋体"/>
          <w:szCs w:val="21"/>
        </w:rPr>
      </w:pPr>
      <w:r>
        <w:rPr>
          <w:rFonts w:hint="eastAsia" w:ascii="宋体" w:hAnsi="宋体" w:cs="宋体"/>
          <w:szCs w:val="21"/>
        </w:rPr>
        <w:t>4.3对磋商文件作出的实质性变动是磋商文件的有效组成部分，由磋商小组及时以电子澄清函形式同时通知所有参加磋商的供应商。</w:t>
      </w:r>
    </w:p>
    <w:p>
      <w:pPr>
        <w:spacing w:line="360" w:lineRule="auto"/>
        <w:ind w:firstLine="420" w:firstLineChars="200"/>
        <w:rPr>
          <w:rFonts w:ascii="宋体" w:hAnsi="宋体" w:cs="宋体"/>
          <w:szCs w:val="21"/>
        </w:rPr>
      </w:pPr>
      <w:r>
        <w:rPr>
          <w:rFonts w:hint="eastAsia" w:ascii="宋体" w:hAnsi="宋体" w:cs="宋体"/>
          <w:szCs w:val="21"/>
        </w:rPr>
        <w:t>4.4供应商必须按照磋商文件的变动情况和磋商小组的要求以回函的形式重新提交响应文件，并加盖电子公章。供应商为自然人的，必须由本人签字并附身份证明。参加磋商的供应商未在规定时间内重新提交响应文件的，视同退出磋商。</w:t>
      </w:r>
    </w:p>
    <w:p>
      <w:pPr>
        <w:spacing w:line="360" w:lineRule="auto"/>
        <w:ind w:firstLine="420" w:firstLineChars="200"/>
        <w:rPr>
          <w:rFonts w:ascii="宋体" w:hAnsi="宋体" w:cs="宋体"/>
          <w:szCs w:val="21"/>
        </w:rPr>
      </w:pPr>
      <w:r>
        <w:rPr>
          <w:rFonts w:hint="eastAsia" w:ascii="宋体" w:hAnsi="宋体" w:cs="宋体"/>
          <w:szCs w:val="21"/>
        </w:rPr>
        <w:t>4.5磋商中，</w:t>
      </w:r>
      <w:r>
        <w:rPr>
          <w:rFonts w:hint="eastAsia" w:ascii="宋体" w:hAnsi="宋体" w:cs="宋体"/>
          <w:spacing w:val="-6"/>
          <w:szCs w:val="21"/>
        </w:rPr>
        <w:t>磋商的任何一方不得透露与磋商有关的其他供应商的技术资料、价格和其他信息。</w:t>
      </w:r>
    </w:p>
    <w:p>
      <w:pPr>
        <w:widowControl/>
        <w:tabs>
          <w:tab w:val="left" w:pos="540"/>
        </w:tabs>
        <w:spacing w:line="360" w:lineRule="auto"/>
        <w:ind w:firstLine="420" w:firstLineChars="200"/>
        <w:jc w:val="left"/>
        <w:rPr>
          <w:rFonts w:ascii="仿宋" w:hAnsi="仿宋" w:eastAsia="仿宋" w:cs="仿宋_GB2312"/>
          <w:b/>
        </w:rPr>
      </w:pPr>
      <w:r>
        <w:rPr>
          <w:rFonts w:hint="eastAsia" w:ascii="宋体" w:hAnsi="宋体" w:cs="宋体"/>
          <w:szCs w:val="21"/>
        </w:rPr>
        <w:t>4.6磋商小组应对磋商过程和重要磋商内容进行记录，作为评标报告一部分，磋商小组在记录上签字确认。</w:t>
      </w:r>
      <w:r>
        <w:rPr>
          <w:rFonts w:hint="eastAsia" w:ascii="仿宋" w:hAnsi="仿宋" w:eastAsia="仿宋" w:cs="仿宋_GB2312"/>
          <w:b/>
        </w:rPr>
        <w:t>主要内容包括：</w:t>
      </w:r>
    </w:p>
    <w:p>
      <w:pPr>
        <w:pStyle w:val="97"/>
        <w:spacing w:before="0"/>
        <w:ind w:firstLine="396"/>
        <w:rPr>
          <w:rFonts w:ascii="宋体" w:hAnsi="宋体" w:cs="宋体"/>
          <w:spacing w:val="-6"/>
          <w:sz w:val="21"/>
          <w:szCs w:val="21"/>
        </w:rPr>
      </w:pPr>
      <w:r>
        <w:rPr>
          <w:rFonts w:hint="eastAsia" w:ascii="宋体" w:hAnsi="宋体" w:cs="宋体"/>
          <w:spacing w:val="-6"/>
          <w:sz w:val="21"/>
          <w:szCs w:val="21"/>
        </w:rPr>
        <w:t>（1）按照相关规定进行公示的，公示情况说明；</w:t>
      </w:r>
    </w:p>
    <w:p>
      <w:pPr>
        <w:pStyle w:val="97"/>
        <w:spacing w:before="0"/>
        <w:ind w:firstLine="396"/>
        <w:rPr>
          <w:rFonts w:ascii="宋体" w:hAnsi="宋体" w:cs="宋体"/>
          <w:spacing w:val="-6"/>
          <w:sz w:val="21"/>
          <w:szCs w:val="21"/>
        </w:rPr>
      </w:pPr>
      <w:r>
        <w:rPr>
          <w:rFonts w:hint="eastAsia" w:ascii="宋体" w:hAnsi="宋体" w:cs="宋体"/>
          <w:spacing w:val="-6"/>
          <w:sz w:val="21"/>
          <w:szCs w:val="21"/>
        </w:rPr>
        <w:t>（2）磋商日期和地点，磋商人员名单；</w:t>
      </w:r>
    </w:p>
    <w:p>
      <w:pPr>
        <w:pStyle w:val="97"/>
        <w:spacing w:before="0"/>
        <w:ind w:firstLine="396"/>
        <w:rPr>
          <w:rFonts w:ascii="宋体" w:hAnsi="宋体" w:cs="宋体"/>
          <w:spacing w:val="-6"/>
          <w:sz w:val="21"/>
          <w:szCs w:val="21"/>
        </w:rPr>
      </w:pPr>
      <w:r>
        <w:rPr>
          <w:rFonts w:hint="eastAsia" w:ascii="宋体" w:hAnsi="宋体" w:cs="宋体"/>
          <w:spacing w:val="-6"/>
          <w:sz w:val="21"/>
          <w:szCs w:val="21"/>
        </w:rPr>
        <w:t>（3）合同主要条款及价格商定情况。</w:t>
      </w:r>
    </w:p>
    <w:p>
      <w:pPr>
        <w:widowControl/>
        <w:tabs>
          <w:tab w:val="left" w:pos="540"/>
        </w:tabs>
        <w:spacing w:line="360" w:lineRule="auto"/>
        <w:ind w:firstLine="420" w:firstLineChars="200"/>
        <w:jc w:val="left"/>
        <w:rPr>
          <w:rFonts w:ascii="宋体" w:hAnsi="宋体" w:cs="宋体"/>
          <w:szCs w:val="21"/>
        </w:rPr>
      </w:pPr>
      <w:r>
        <w:rPr>
          <w:rFonts w:hint="eastAsia" w:ascii="宋体" w:hAnsi="宋体" w:cs="宋体"/>
          <w:szCs w:val="21"/>
        </w:rPr>
        <w:t>4.7磋商过程中重新提交的响应文件，供应商可以在开启前补充、修改。</w:t>
      </w:r>
    </w:p>
    <w:p>
      <w:pPr>
        <w:tabs>
          <w:tab w:val="left" w:pos="2835"/>
        </w:tabs>
        <w:spacing w:line="360" w:lineRule="auto"/>
        <w:ind w:firstLine="420" w:firstLineChars="200"/>
        <w:rPr>
          <w:rFonts w:ascii="宋体" w:hAnsi="宋体" w:cs="宋体"/>
          <w:szCs w:val="21"/>
        </w:rPr>
      </w:pPr>
      <w:r>
        <w:rPr>
          <w:rFonts w:hint="eastAsia" w:ascii="宋体" w:hAnsi="宋体" w:cs="宋体"/>
          <w:szCs w:val="21"/>
        </w:rPr>
        <w:t>4.8</w:t>
      </w:r>
      <w:r>
        <w:rPr>
          <w:rFonts w:hint="eastAsia" w:ascii="宋体" w:hAnsi="宋体"/>
          <w:szCs w:val="21"/>
        </w:rPr>
        <w:t>对磋商过程提交的响应文件进行有效性、完整性和响应程度审查，通过审查的合格供应商不足3家的，采购人或者采购代理机构应当重新开展采购活动。</w:t>
      </w:r>
    </w:p>
    <w:p>
      <w:pPr>
        <w:ind w:firstLine="200"/>
        <w:rPr>
          <w:rFonts w:ascii="宋体" w:hAnsi="宋体" w:cs="宋体"/>
          <w:szCs w:val="21"/>
        </w:rPr>
      </w:pPr>
      <w:r>
        <w:rPr>
          <w:rFonts w:hint="eastAsia" w:ascii="黑体" w:hAnsi="黑体" w:eastAsia="黑体" w:cs="宋体"/>
          <w:b/>
          <w:bCs/>
          <w:sz w:val="24"/>
        </w:rPr>
        <w:t>5. 最后报价</w:t>
      </w:r>
    </w:p>
    <w:p>
      <w:pPr>
        <w:spacing w:line="360" w:lineRule="auto"/>
        <w:ind w:firstLine="420" w:firstLineChars="200"/>
        <w:rPr>
          <w:rFonts w:ascii="宋体" w:hAnsi="宋体" w:cs="宋体"/>
          <w:szCs w:val="21"/>
        </w:rPr>
      </w:pPr>
      <w:r>
        <w:rPr>
          <w:rFonts w:hint="eastAsia" w:ascii="宋体" w:hAnsi="宋体" w:cs="宋体"/>
          <w:szCs w:val="21"/>
        </w:rPr>
        <w:t>5.1磋商文件能够详细列明采购标的的技术、服务要求的，磋商结束后，由磋商小组要求所有继续参加磋商的供应商在规定时间内密封提交最后报价，除本章第3.7、5.3条外，提交最后报价的供应商不得少于3家，否则必须重新采购。</w:t>
      </w:r>
    </w:p>
    <w:p>
      <w:pPr>
        <w:spacing w:line="360" w:lineRule="auto"/>
        <w:ind w:firstLine="420" w:firstLineChars="200"/>
        <w:rPr>
          <w:rFonts w:ascii="宋体" w:hAnsi="宋体" w:cs="宋体"/>
          <w:szCs w:val="21"/>
        </w:rPr>
      </w:pPr>
      <w:r>
        <w:rPr>
          <w:rFonts w:hint="eastAsia" w:ascii="宋体" w:hAnsi="宋体" w:cs="宋体"/>
          <w:szCs w:val="21"/>
        </w:rPr>
        <w:t>5.2磋商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密封提交最后报价。</w:t>
      </w:r>
    </w:p>
    <w:p>
      <w:pPr>
        <w:spacing w:line="360" w:lineRule="auto"/>
        <w:ind w:firstLine="420" w:firstLineChars="200"/>
        <w:rPr>
          <w:rFonts w:ascii="宋体" w:hAnsi="宋体" w:cs="宋体"/>
          <w:szCs w:val="21"/>
        </w:rPr>
      </w:pPr>
      <w:r>
        <w:rPr>
          <w:rFonts w:hint="eastAsia" w:ascii="宋体" w:hAnsi="宋体" w:cs="宋体"/>
          <w:szCs w:val="21"/>
        </w:rPr>
        <w:t>5.3 最后报价是供应商响应文件的有效组成部分。符合《政府采购竞争性磋商采购方式管理暂行办法》（财库〔2014〕214号）第三条第四项“市场竞争不充分的科研项目，以及需要扶持的科技成果转化项目”的，提交最后报价的供应商可以为2家。</w:t>
      </w:r>
    </w:p>
    <w:p>
      <w:pPr>
        <w:spacing w:line="360" w:lineRule="auto"/>
        <w:ind w:firstLine="420" w:firstLineChars="200"/>
        <w:rPr>
          <w:rFonts w:ascii="宋体" w:hAnsi="宋体" w:cs="宋体"/>
          <w:szCs w:val="21"/>
        </w:rPr>
      </w:pPr>
      <w:r>
        <w:rPr>
          <w:rFonts w:hint="eastAsia" w:ascii="宋体" w:hAnsi="宋体" w:cs="宋体"/>
          <w:szCs w:val="21"/>
        </w:rPr>
        <w:t>5.4已经提交响应文件的供应商，在提交最后报价之前，可以根据磋商情况退出磋商，退出磋商的供应商的响应文件按无效响应处理。</w:t>
      </w:r>
    </w:p>
    <w:p>
      <w:pPr>
        <w:spacing w:line="360" w:lineRule="auto"/>
        <w:ind w:firstLine="420" w:firstLineChars="200"/>
        <w:rPr>
          <w:rFonts w:ascii="宋体" w:hAnsi="宋体" w:cs="宋体"/>
          <w:szCs w:val="21"/>
        </w:rPr>
      </w:pPr>
      <w:r>
        <w:rPr>
          <w:rFonts w:hint="eastAsia" w:ascii="宋体" w:hAnsi="宋体" w:cs="宋体"/>
          <w:szCs w:val="21"/>
        </w:rPr>
        <w:t>5.5供应商未在规定时间内提交最后报价的，视同退出磋商。</w:t>
      </w:r>
    </w:p>
    <w:p>
      <w:pPr>
        <w:spacing w:line="360" w:lineRule="auto"/>
        <w:ind w:firstLine="420" w:firstLineChars="200"/>
        <w:rPr>
          <w:rFonts w:ascii="宋体" w:hAnsi="宋体" w:cs="宋体"/>
          <w:szCs w:val="21"/>
        </w:rPr>
      </w:pPr>
      <w:r>
        <w:rPr>
          <w:rFonts w:hint="eastAsia" w:ascii="宋体" w:hAnsi="宋体" w:cs="宋体"/>
          <w:szCs w:val="21"/>
        </w:rPr>
        <w:t>5.6磋商小组收齐某一分标最后报价后统一开启，磋商小组对最后报价进行有效性、完整性和响应程度的审查。</w:t>
      </w:r>
    </w:p>
    <w:p>
      <w:pPr>
        <w:spacing w:line="360" w:lineRule="auto"/>
        <w:ind w:firstLine="420" w:firstLineChars="200"/>
        <w:rPr>
          <w:rFonts w:ascii="宋体" w:hAnsi="宋体" w:cs="宋体"/>
          <w:szCs w:val="21"/>
        </w:rPr>
      </w:pPr>
      <w:r>
        <w:rPr>
          <w:rFonts w:hint="eastAsia" w:ascii="宋体" w:hAnsi="宋体" w:cs="宋体"/>
          <w:szCs w:val="21"/>
        </w:rPr>
        <w:t xml:space="preserve">5.7最终响应文件的报价出现前后不一致的，按照本章第3.4条的规定修正。 </w:t>
      </w:r>
    </w:p>
    <w:p>
      <w:pPr>
        <w:spacing w:line="360" w:lineRule="auto"/>
        <w:ind w:firstLine="420" w:firstLineChars="200"/>
        <w:rPr>
          <w:rFonts w:ascii="宋体" w:hAnsi="宋体" w:cs="宋体"/>
          <w:szCs w:val="21"/>
        </w:rPr>
      </w:pPr>
      <w:r>
        <w:rPr>
          <w:rFonts w:hint="eastAsia" w:ascii="宋体" w:hAnsi="宋体" w:cs="宋体"/>
          <w:szCs w:val="21"/>
        </w:rPr>
        <w:t>5.8修正后的最终报价出现下列情形的，按无效响应处理：</w:t>
      </w:r>
    </w:p>
    <w:p>
      <w:pPr>
        <w:spacing w:line="360" w:lineRule="auto"/>
        <w:ind w:firstLine="420" w:firstLineChars="200"/>
        <w:rPr>
          <w:rFonts w:ascii="宋体" w:hAnsi="宋体" w:cs="宋体"/>
          <w:szCs w:val="21"/>
        </w:rPr>
      </w:pPr>
      <w:r>
        <w:rPr>
          <w:rFonts w:hint="eastAsia" w:ascii="宋体" w:hAnsi="宋体" w:cs="宋体"/>
          <w:szCs w:val="21"/>
        </w:rPr>
        <w:t>（1）供应商不确认的（全流程电子化评标采取在线确认）；</w:t>
      </w:r>
    </w:p>
    <w:p>
      <w:pPr>
        <w:spacing w:line="360" w:lineRule="auto"/>
        <w:ind w:firstLine="420" w:firstLineChars="200"/>
        <w:rPr>
          <w:rFonts w:ascii="宋体" w:hAnsi="宋体" w:cs="宋体"/>
          <w:szCs w:val="21"/>
        </w:rPr>
      </w:pPr>
      <w:r>
        <w:rPr>
          <w:rFonts w:hint="eastAsia" w:ascii="宋体" w:hAnsi="宋体" w:cs="宋体"/>
          <w:szCs w:val="21"/>
        </w:rPr>
        <w:t>（2）经供应商确认修正后的响应报价（包含首次报价、最后报价）超过所竞标分标规定的采购预算金额或者最高限价（如本项目公布了最高限价）或者有效报价范围的；</w:t>
      </w:r>
    </w:p>
    <w:p>
      <w:pPr>
        <w:spacing w:line="360" w:lineRule="auto"/>
        <w:ind w:firstLine="420" w:firstLineChars="200"/>
        <w:rPr>
          <w:rFonts w:ascii="宋体" w:hAnsi="宋体" w:cs="宋体"/>
          <w:szCs w:val="21"/>
        </w:rPr>
      </w:pPr>
      <w:r>
        <w:rPr>
          <w:rFonts w:hint="eastAsia" w:ascii="宋体" w:hAnsi="宋体" w:cs="宋体"/>
          <w:szCs w:val="21"/>
        </w:rPr>
        <w:t>（3）经供应商确认修正后的响应报价（包含首次报价、最后报价）超过分项采购预算金额或者最高限价的（如本项目公布了最高限价）。</w:t>
      </w:r>
    </w:p>
    <w:p>
      <w:pPr>
        <w:spacing w:line="360" w:lineRule="auto"/>
        <w:ind w:firstLine="420" w:firstLineChars="200"/>
        <w:rPr>
          <w:rFonts w:ascii="宋体" w:hAnsi="宋体" w:cs="宋体"/>
          <w:szCs w:val="21"/>
        </w:rPr>
      </w:pPr>
      <w:r>
        <w:rPr>
          <w:rFonts w:hint="eastAsia" w:ascii="宋体" w:hAnsi="宋体" w:cs="宋体"/>
          <w:szCs w:val="21"/>
        </w:rPr>
        <w:t>5.9经供应商确认修正后的最后报价作为评审及签订合同的依据。</w:t>
      </w:r>
    </w:p>
    <w:p>
      <w:pPr>
        <w:spacing w:line="360" w:lineRule="auto"/>
        <w:ind w:firstLine="420" w:firstLineChars="200"/>
        <w:rPr>
          <w:rFonts w:ascii="宋体" w:hAnsi="宋体" w:cs="宋体"/>
          <w:szCs w:val="21"/>
        </w:rPr>
      </w:pPr>
      <w:r>
        <w:rPr>
          <w:rFonts w:hint="eastAsia" w:ascii="宋体" w:hAnsi="宋体" w:cs="宋体"/>
          <w:szCs w:val="21"/>
        </w:rPr>
        <w:t>5.10供应商出现最后报价按无效响应处理或者响应文件按无效处理时</w:t>
      </w:r>
      <w:r>
        <w:rPr>
          <w:rFonts w:hint="eastAsia" w:ascii="宋体" w:hAnsi="宋体"/>
          <w:sz w:val="22"/>
          <w:szCs w:val="22"/>
        </w:rPr>
        <w:t>，磋商小组应当告知有关供应商</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5.11最后报价结束后，磋商小组不得再与供应商进行任何形式的商谈。</w:t>
      </w:r>
    </w:p>
    <w:p>
      <w:pPr>
        <w:ind w:firstLine="200"/>
        <w:rPr>
          <w:rFonts w:ascii="黑体" w:hAnsi="黑体" w:eastAsia="黑体" w:cs="宋体"/>
          <w:b/>
          <w:bCs/>
          <w:sz w:val="24"/>
        </w:rPr>
      </w:pPr>
      <w:r>
        <w:rPr>
          <w:rFonts w:hint="eastAsia" w:ascii="黑体" w:hAnsi="黑体" w:eastAsia="黑体" w:cs="宋体"/>
          <w:b/>
          <w:bCs/>
          <w:sz w:val="24"/>
        </w:rPr>
        <w:t>6.比较与评价</w:t>
      </w:r>
    </w:p>
    <w:p>
      <w:pPr>
        <w:spacing w:line="360" w:lineRule="auto"/>
        <w:ind w:firstLine="420" w:firstLineChars="200"/>
        <w:rPr>
          <w:rFonts w:ascii="宋体" w:hAnsi="宋体" w:cs="宋体"/>
          <w:szCs w:val="21"/>
        </w:rPr>
      </w:pPr>
      <w:r>
        <w:rPr>
          <w:rFonts w:hint="eastAsia" w:ascii="宋体" w:hAnsi="宋体" w:cs="宋体"/>
          <w:szCs w:val="21"/>
        </w:rPr>
        <w:t>6.1评审方法：综合评分法。</w:t>
      </w:r>
    </w:p>
    <w:p>
      <w:pPr>
        <w:spacing w:line="360" w:lineRule="auto"/>
        <w:ind w:firstLine="420" w:firstLineChars="200"/>
        <w:rPr>
          <w:rFonts w:ascii="宋体" w:hAnsi="宋体" w:cs="宋体"/>
          <w:szCs w:val="21"/>
        </w:rPr>
      </w:pPr>
      <w:r>
        <w:rPr>
          <w:rFonts w:hint="eastAsia" w:ascii="宋体" w:hAnsi="宋体" w:cs="宋体"/>
          <w:szCs w:val="21"/>
        </w:rPr>
        <w:t>6.2经磋商确定最终采购需求和提交最后报价的供应商后，由磋商小组采用综合评分法对提交最后报价的供应商的响应文件和最后报价进行综合评分。</w:t>
      </w:r>
    </w:p>
    <w:p>
      <w:pPr>
        <w:spacing w:line="360" w:lineRule="auto"/>
        <w:ind w:firstLine="420" w:firstLineChars="200"/>
        <w:rPr>
          <w:rFonts w:ascii="宋体" w:hAnsi="宋体" w:cs="宋体"/>
          <w:szCs w:val="21"/>
        </w:rPr>
      </w:pPr>
      <w:r>
        <w:rPr>
          <w:rFonts w:hint="eastAsia" w:ascii="宋体" w:hAnsi="宋体" w:cs="宋体"/>
          <w:szCs w:val="21"/>
        </w:rPr>
        <w:t>6.3评审时，磋商小组各成员应当独立对每个有效响应的文件进行评价、打分，然后汇总每个供应商每项评分因素的得分。</w:t>
      </w:r>
    </w:p>
    <w:p>
      <w:pPr>
        <w:spacing w:line="360" w:lineRule="auto"/>
        <w:ind w:firstLine="420" w:firstLineChars="200"/>
        <w:rPr>
          <w:rFonts w:ascii="宋体" w:hAnsi="宋体" w:cs="宋体"/>
          <w:szCs w:val="21"/>
        </w:rPr>
      </w:pPr>
      <w:r>
        <w:rPr>
          <w:rFonts w:hint="eastAsia" w:ascii="宋体" w:hAnsi="宋体" w:cs="宋体"/>
          <w:szCs w:val="21"/>
        </w:rPr>
        <w:t>（1）评审委员会成员要根据政府采购法律法规和采购文件所载明的评审方法、标准进行评审。对供应商的价格分等客观评分项的评分应当一致，对其他需要借助专业知识评判的主观评分项，应当严格按照评分细则公正评分。</w:t>
      </w:r>
    </w:p>
    <w:p>
      <w:pPr>
        <w:spacing w:line="360" w:lineRule="auto"/>
        <w:ind w:firstLine="420" w:firstLineChars="200"/>
        <w:rPr>
          <w:rFonts w:ascii="宋体" w:hAnsi="宋体" w:cs="宋体"/>
          <w:szCs w:val="21"/>
        </w:rPr>
      </w:pPr>
      <w:r>
        <w:rPr>
          <w:rFonts w:hint="eastAsia" w:ascii="宋体" w:hAnsi="宋体" w:cs="宋体"/>
          <w:szCs w:val="21"/>
        </w:rPr>
        <w:t>（2）磋商小组按照磋商文件中规定的评审标准计算各供应商的报价得分。项目评审过程中，不得去掉最后报价中的最高报价和最低报价。</w:t>
      </w:r>
    </w:p>
    <w:p>
      <w:pPr>
        <w:spacing w:line="360" w:lineRule="auto"/>
        <w:ind w:firstLine="420" w:firstLineChars="200"/>
        <w:rPr>
          <w:rFonts w:ascii="宋体" w:hAnsi="宋体" w:cs="宋体"/>
          <w:szCs w:val="21"/>
        </w:rPr>
      </w:pPr>
      <w:r>
        <w:rPr>
          <w:rFonts w:hint="eastAsia" w:ascii="宋体" w:hAnsi="宋体" w:cs="宋体"/>
          <w:szCs w:val="21"/>
        </w:rPr>
        <w:t>（3）各供应商的得分为磋商小组所有成员的有效评分的算术平均数。</w:t>
      </w:r>
    </w:p>
    <w:p>
      <w:pPr>
        <w:spacing w:line="360" w:lineRule="auto"/>
        <w:ind w:firstLine="420" w:firstLineChars="200"/>
        <w:rPr>
          <w:rFonts w:ascii="宋体" w:hAnsi="宋体" w:cs="宋体"/>
          <w:szCs w:val="21"/>
        </w:rPr>
      </w:pPr>
      <w:r>
        <w:rPr>
          <w:rFonts w:hint="eastAsia" w:ascii="宋体" w:hAnsi="宋体" w:cs="宋体"/>
          <w:szCs w:val="21"/>
        </w:rPr>
        <w:t>6.4评审价为供应商的最后报价进行政策性扣除后的价格，评审价只是作为评审时使用。最终成交供应商的成交金额等于最后报价（如有修正，以确认修正后的最后报价为准）。</w:t>
      </w:r>
    </w:p>
    <w:p>
      <w:pPr>
        <w:spacing w:line="360" w:lineRule="auto"/>
        <w:ind w:firstLine="420" w:firstLineChars="200"/>
        <w:rPr>
          <w:rFonts w:ascii="宋体" w:hAnsi="宋体"/>
          <w:kern w:val="0"/>
          <w:szCs w:val="21"/>
        </w:rPr>
      </w:pPr>
      <w:r>
        <w:rPr>
          <w:rFonts w:hint="eastAsia" w:ascii="宋体" w:hAnsi="宋体" w:cs="宋体"/>
          <w:szCs w:val="21"/>
        </w:rPr>
        <w:t>6.5由磋商小组根据综合评分情况，按照评审得分由高到低顺序推荐3名以上成交候选供应商，并编写评</w:t>
      </w:r>
      <w:r>
        <w:rPr>
          <w:rFonts w:hint="eastAsia" w:ascii="宋体" w:hAnsi="宋体"/>
          <w:kern w:val="0"/>
          <w:szCs w:val="21"/>
        </w:rPr>
        <w:t>审报告。符合本章第3.7、5.3条情形的，可以推荐2家成交候选供应商。评审得分相同的，按照最后报价由低到高的顺序推荐。评审得分且最后报价相同的，按照技术指标优劣顺序推荐。</w:t>
      </w:r>
    </w:p>
    <w:p>
      <w:pPr>
        <w:spacing w:line="360" w:lineRule="auto"/>
        <w:ind w:firstLine="420" w:firstLineChars="200"/>
        <w:rPr>
          <w:rFonts w:ascii="宋体" w:hAnsi="宋体"/>
          <w:kern w:val="0"/>
          <w:szCs w:val="21"/>
        </w:rPr>
      </w:pPr>
      <w:r>
        <w:rPr>
          <w:rFonts w:hint="eastAsia" w:ascii="宋体" w:hAnsi="宋体"/>
          <w:kern w:val="0"/>
          <w:szCs w:val="21"/>
        </w:rPr>
        <w:t>6.6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spacing w:line="360" w:lineRule="auto"/>
        <w:ind w:firstLine="200"/>
        <w:rPr>
          <w:rFonts w:ascii="黑体" w:hAnsi="黑体" w:eastAsia="黑体" w:cs="宋体"/>
          <w:b/>
          <w:bCs/>
          <w:sz w:val="24"/>
        </w:rPr>
      </w:pPr>
      <w:r>
        <w:rPr>
          <w:rFonts w:hint="eastAsia" w:ascii="黑体" w:hAnsi="黑体" w:eastAsia="黑体" w:cs="宋体"/>
          <w:b/>
          <w:bCs/>
          <w:sz w:val="24"/>
        </w:rPr>
        <w:t>7.评审复核</w:t>
      </w:r>
    </w:p>
    <w:p>
      <w:pPr>
        <w:spacing w:line="360" w:lineRule="auto"/>
        <w:ind w:firstLine="420" w:firstLineChars="200"/>
        <w:rPr>
          <w:rFonts w:ascii="宋体" w:hAnsi="宋体"/>
          <w:szCs w:val="21"/>
        </w:rPr>
      </w:pPr>
      <w:r>
        <w:rPr>
          <w:rFonts w:hint="eastAsia" w:ascii="宋体" w:hAnsi="宋体"/>
          <w:szCs w:val="21"/>
        </w:rPr>
        <w:t>7.1评审报告签署前，评审委员会要对评审结果进行复核，复核意见要体现在评审报告中。</w:t>
      </w:r>
    </w:p>
    <w:p>
      <w:pPr>
        <w:widowControl/>
        <w:spacing w:line="360" w:lineRule="auto"/>
        <w:ind w:firstLine="420" w:firstLineChars="200"/>
        <w:jc w:val="left"/>
        <w:rPr>
          <w:rFonts w:ascii="宋体" w:hAnsi="宋体"/>
          <w:kern w:val="0"/>
          <w:szCs w:val="21"/>
        </w:rPr>
      </w:pPr>
      <w:r>
        <w:rPr>
          <w:rFonts w:hint="eastAsia" w:ascii="宋体" w:hAnsi="宋体" w:cs="宋体"/>
          <w:kern w:val="0"/>
          <w:szCs w:val="21"/>
        </w:rPr>
        <w:t>7.2评审结果汇总完成后，采购人、采购代理机构和评审委员会均不得修改评审结果或者要求重新评审，但资格性检查认定错误、分值汇总计算错误、分项评分超出评分标准范围、客观分评分不一致、经评审委员会一致认定评分畸高、畸低的情形除外。出现上述除外情形的，评审委员会应当现场修改评审结果，并在评审报告中明确记载。</w:t>
      </w:r>
    </w:p>
    <w:p>
      <w:r>
        <w:rPr>
          <w:rFonts w:hint="eastAsia"/>
        </w:rPr>
        <w:br w:type="page"/>
      </w:r>
    </w:p>
    <w:p>
      <w:pPr>
        <w:pStyle w:val="7"/>
      </w:pPr>
      <w:r>
        <w:rPr>
          <w:rFonts w:hint="eastAsia"/>
        </w:rPr>
        <w:t>8.评审标准</w:t>
      </w:r>
    </w:p>
    <w:p>
      <w:pPr>
        <w:spacing w:line="360" w:lineRule="auto"/>
        <w:ind w:firstLine="422" w:firstLineChars="200"/>
        <w:rPr>
          <w:rFonts w:ascii="宋体" w:hAnsi="宋体"/>
          <w:bCs/>
          <w:szCs w:val="21"/>
        </w:rPr>
      </w:pPr>
      <w:r>
        <w:rPr>
          <w:rFonts w:hint="eastAsia" w:ascii="宋体" w:hAnsi="宋体"/>
          <w:b/>
        </w:rPr>
        <w:t>8.</w:t>
      </w:r>
      <w:r>
        <w:rPr>
          <w:rFonts w:hint="eastAsia" w:ascii="宋体" w:hAnsi="宋体"/>
          <w:bCs/>
          <w:szCs w:val="21"/>
        </w:rPr>
        <w:t>1评审依据：磋商小组将以磋商响应文件为评审依据，对供应商的报价、技术、商务等方面内容按百分制打分。（计分方法按四舍五入取至百分位）</w:t>
      </w:r>
    </w:p>
    <w:p>
      <w:pPr>
        <w:spacing w:line="360" w:lineRule="auto"/>
        <w:ind w:firstLine="420" w:firstLineChars="200"/>
        <w:rPr>
          <w:rFonts w:ascii="宋体" w:hAnsi="宋体"/>
          <w:bCs/>
          <w:szCs w:val="21"/>
          <w:u w:val="single"/>
        </w:rPr>
      </w:pPr>
      <w:r>
        <w:rPr>
          <w:rFonts w:hint="eastAsia" w:ascii="宋体" w:hAnsi="宋体"/>
          <w:bCs/>
          <w:szCs w:val="21"/>
        </w:rPr>
        <w:t>总得分=</w:t>
      </w:r>
      <w:r>
        <w:rPr>
          <w:rFonts w:hint="eastAsia" w:ascii="宋体" w:hAnsi="宋体"/>
          <w:bCs/>
          <w:szCs w:val="21"/>
          <w:u w:val="single"/>
        </w:rPr>
        <w:t xml:space="preserve">   价格分+技术分+商务分       </w:t>
      </w:r>
    </w:p>
    <w:p>
      <w:pPr>
        <w:spacing w:line="360" w:lineRule="auto"/>
        <w:ind w:firstLine="420" w:firstLineChars="200"/>
        <w:rPr>
          <w:rFonts w:ascii="宋体" w:hAnsi="宋体"/>
          <w:bCs/>
          <w:szCs w:val="21"/>
        </w:rPr>
      </w:pPr>
      <w:bookmarkStart w:id="52" w:name="PO_TDCUS_ITEM_SM_TITLE_1"/>
      <w:r>
        <w:rPr>
          <w:rFonts w:hint="eastAsia" w:ascii="宋体" w:hAnsi="宋体"/>
          <w:bCs/>
          <w:szCs w:val="21"/>
        </w:rPr>
        <w:t>评分方法</w:t>
      </w:r>
      <w:bookmarkEnd w:id="52"/>
      <w:bookmarkStart w:id="53" w:name="PO_TDCUS_ITEM_SM_TABLE_1"/>
    </w:p>
    <w:p>
      <w:pPr>
        <w:pStyle w:val="20"/>
        <w:adjustRightInd w:val="0"/>
        <w:snapToGrid w:val="0"/>
        <w:spacing w:line="360" w:lineRule="auto"/>
        <w:ind w:firstLine="402" w:firstLineChars="200"/>
        <w:rPr>
          <w:rFonts w:hAnsi="宋体" w:cs="宋体"/>
          <w:b/>
          <w:bCs/>
          <w:color w:val="auto"/>
          <w:highlight w:val="none"/>
        </w:rPr>
      </w:pPr>
      <w:r>
        <w:rPr>
          <w:rFonts w:hint="eastAsia" w:hAnsi="宋体" w:cs="宋体"/>
          <w:b/>
          <w:bCs/>
          <w:color w:val="auto"/>
          <w:highlight w:val="none"/>
        </w:rPr>
        <w:t>（一）报价分………………………………………………………………………………满分20分</w:t>
      </w:r>
    </w:p>
    <w:p>
      <w:pPr>
        <w:snapToGrid w:val="0"/>
        <w:spacing w:line="360" w:lineRule="auto"/>
        <w:ind w:firstLine="420" w:firstLineChars="200"/>
        <w:rPr>
          <w:rFonts w:ascii="宋体" w:hAnsi="宋体"/>
          <w:color w:val="auto"/>
          <w:szCs w:val="21"/>
          <w:highlight w:val="none"/>
        </w:rPr>
      </w:pPr>
      <w:r>
        <w:rPr>
          <w:rFonts w:hint="eastAsia" w:ascii="宋体" w:hAnsi="宋体" w:cs="Courier New"/>
          <w:bCs/>
          <w:color w:val="auto"/>
          <w:szCs w:val="21"/>
          <w:highlight w:val="none"/>
        </w:rPr>
        <w:t>1.</w:t>
      </w:r>
      <w:r>
        <w:rPr>
          <w:rFonts w:hint="eastAsia" w:ascii="宋体" w:hAnsi="宋体"/>
          <w:color w:val="auto"/>
          <w:szCs w:val="21"/>
          <w:highlight w:val="none"/>
        </w:rPr>
        <w:t>评审价为供应商的最后报价进行政策性扣除后的价格，评审价只是作为评审时使用。最终成交供应商的成交金额等于最后报价（如有修正，以确认修正后的最后报价为准）。</w:t>
      </w:r>
    </w:p>
    <w:p>
      <w:pPr>
        <w:pStyle w:val="20"/>
        <w:snapToGrid w:val="0"/>
        <w:spacing w:line="360" w:lineRule="auto"/>
        <w:ind w:firstLine="420" w:firstLineChars="200"/>
        <w:rPr>
          <w:rFonts w:hAnsi="宋体"/>
          <w:color w:val="auto"/>
          <w:sz w:val="21"/>
          <w:highlight w:val="none"/>
        </w:rPr>
      </w:pPr>
      <w:r>
        <w:rPr>
          <w:rFonts w:hint="eastAsia" w:hAnsi="宋体" w:cs="Courier New"/>
          <w:bCs/>
          <w:color w:val="auto"/>
          <w:kern w:val="2"/>
          <w:sz w:val="21"/>
          <w:highlight w:val="none"/>
        </w:rPr>
        <w:t>2.政府采购政策性扣除计算方法</w:t>
      </w:r>
    </w:p>
    <w:p>
      <w:pPr>
        <w:snapToGrid w:val="0"/>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按照《政府采购促进中小企业发展管理办法》（财库[2020]46号）及《广西壮族自治区财政厅关于进一步发挥政府采购政策功能促进企业发展的通知》（桂财采〔2022〕30号），本项目专门面向中小微企业采购，不再执行价格评审优惠的扶持政策；监狱企业或残疾人福利性单位视同小型、微型企业。</w:t>
      </w:r>
    </w:p>
    <w:p>
      <w:pPr>
        <w:snapToGrid w:val="0"/>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评审报价＝最后报价</w:t>
      </w:r>
      <w:r>
        <w:rPr>
          <w:rFonts w:hint="eastAsia" w:ascii="宋体" w:hAnsi="宋体"/>
          <w:color w:val="auto"/>
          <w:szCs w:val="21"/>
          <w:highlight w:val="none"/>
        </w:rPr>
        <w:t>。</w:t>
      </w:r>
    </w:p>
    <w:p>
      <w:pPr>
        <w:pStyle w:val="20"/>
        <w:snapToGrid w:val="0"/>
        <w:spacing w:line="360" w:lineRule="auto"/>
        <w:ind w:firstLine="420" w:firstLineChars="200"/>
        <w:rPr>
          <w:rFonts w:hAnsi="宋体" w:cs="Courier New"/>
          <w:bCs/>
          <w:color w:val="auto"/>
          <w:kern w:val="2"/>
          <w:sz w:val="21"/>
          <w:highlight w:val="none"/>
        </w:rPr>
      </w:pPr>
      <w:r>
        <w:rPr>
          <w:rFonts w:hint="eastAsia" w:hAnsi="宋体" w:cs="Courier New"/>
          <w:bCs/>
          <w:color w:val="auto"/>
          <w:kern w:val="2"/>
          <w:sz w:val="21"/>
          <w:highlight w:val="none"/>
          <w:lang w:val="en-US" w:eastAsia="zh-CN"/>
        </w:rPr>
        <w:t>3</w:t>
      </w:r>
      <w:r>
        <w:rPr>
          <w:rFonts w:hint="eastAsia" w:hAnsi="宋体" w:cs="Courier New"/>
          <w:bCs/>
          <w:color w:val="auto"/>
          <w:kern w:val="2"/>
          <w:sz w:val="21"/>
          <w:highlight w:val="none"/>
        </w:rPr>
        <w:t>.以进入比较与评价环节的下浮最多的评审下浮系数为基准价，基准价得分为</w:t>
      </w:r>
      <w:r>
        <w:rPr>
          <w:rFonts w:hint="eastAsia" w:hAnsi="宋体" w:cs="Courier New"/>
          <w:bCs/>
          <w:color w:val="auto"/>
          <w:kern w:val="2"/>
          <w:sz w:val="21"/>
          <w:highlight w:val="none"/>
          <w:u w:val="single"/>
        </w:rPr>
        <w:t>20分</w:t>
      </w:r>
      <w:r>
        <w:rPr>
          <w:rFonts w:hint="eastAsia" w:hAnsi="宋体" w:cs="Courier New"/>
          <w:bCs/>
          <w:color w:val="auto"/>
          <w:kern w:val="2"/>
          <w:sz w:val="21"/>
          <w:highlight w:val="none"/>
        </w:rPr>
        <w:t>。</w:t>
      </w:r>
    </w:p>
    <w:p>
      <w:pPr>
        <w:pStyle w:val="20"/>
        <w:snapToGrid w:val="0"/>
        <w:spacing w:line="360" w:lineRule="auto"/>
        <w:ind w:firstLine="420" w:firstLineChars="200"/>
        <w:rPr>
          <w:color w:val="auto"/>
          <w:highlight w:val="none"/>
        </w:rPr>
      </w:pPr>
      <w:r>
        <w:rPr>
          <w:rFonts w:hint="eastAsia" w:hAnsi="宋体" w:cs="Courier New"/>
          <w:bCs/>
          <w:color w:val="auto"/>
          <w:kern w:val="2"/>
          <w:sz w:val="21"/>
          <w:highlight w:val="none"/>
          <w:lang w:val="en-US" w:eastAsia="zh-CN"/>
        </w:rPr>
        <w:t>4</w:t>
      </w:r>
      <w:r>
        <w:rPr>
          <w:rFonts w:hint="eastAsia" w:hAnsi="宋体" w:cs="Courier New"/>
          <w:bCs/>
          <w:color w:val="auto"/>
          <w:kern w:val="2"/>
          <w:sz w:val="21"/>
          <w:highlight w:val="none"/>
        </w:rPr>
        <w:t>.价格分计算公式：报价得分=【（1-基准价）/（1-某竞标标人评审下浮系数）】×</w:t>
      </w:r>
      <w:r>
        <w:rPr>
          <w:rFonts w:hint="eastAsia" w:hAnsi="宋体" w:cs="Courier New"/>
          <w:bCs/>
          <w:color w:val="auto"/>
          <w:kern w:val="2"/>
          <w:sz w:val="21"/>
          <w:highlight w:val="none"/>
          <w:u w:val="single"/>
        </w:rPr>
        <w:t>20分</w:t>
      </w:r>
    </w:p>
    <w:p>
      <w:pPr>
        <w:pStyle w:val="100"/>
        <w:snapToGrid w:val="0"/>
        <w:spacing w:line="360" w:lineRule="auto"/>
        <w:ind w:firstLine="422" w:firstLineChars="200"/>
        <w:rPr>
          <w:color w:val="auto"/>
          <w:kern w:val="2"/>
          <w:highlight w:val="none"/>
        </w:rPr>
      </w:pPr>
      <w:r>
        <w:rPr>
          <w:rFonts w:hint="eastAsia"/>
          <w:b/>
          <w:bCs/>
          <w:color w:val="auto"/>
          <w:kern w:val="2"/>
          <w:highlight w:val="none"/>
        </w:rPr>
        <w:t>（二）</w:t>
      </w:r>
      <w:r>
        <w:rPr>
          <w:rFonts w:hint="eastAsia"/>
          <w:b/>
          <w:color w:val="auto"/>
          <w:highlight w:val="none"/>
        </w:rPr>
        <w:t>技术分</w:t>
      </w:r>
      <w:r>
        <w:rPr>
          <w:rFonts w:hint="eastAsia"/>
          <w:b/>
          <w:bCs/>
          <w:color w:val="auto"/>
          <w:kern w:val="2"/>
          <w:highlight w:val="none"/>
        </w:rPr>
        <w:t>…………………………………………………………………</w:t>
      </w:r>
      <w:r>
        <w:rPr>
          <w:rFonts w:hint="eastAsia"/>
          <w:b/>
          <w:bCs/>
          <w:color w:val="auto"/>
          <w:highlight w:val="none"/>
        </w:rPr>
        <w:t>满分</w:t>
      </w:r>
      <w:r>
        <w:rPr>
          <w:rFonts w:hint="eastAsia"/>
          <w:b/>
          <w:bCs/>
          <w:color w:val="auto"/>
          <w:kern w:val="2"/>
          <w:highlight w:val="none"/>
        </w:rPr>
        <w:t>60分</w:t>
      </w:r>
    </w:p>
    <w:p>
      <w:pPr>
        <w:snapToGrid w:val="0"/>
        <w:spacing w:line="360" w:lineRule="auto"/>
        <w:ind w:firstLine="422" w:firstLineChars="200"/>
        <w:rPr>
          <w:rFonts w:ascii="宋体" w:hAnsi="宋体"/>
          <w:bCs/>
          <w:color w:val="auto"/>
          <w:szCs w:val="21"/>
          <w:highlight w:val="none"/>
        </w:rPr>
      </w:pPr>
      <w:r>
        <w:rPr>
          <w:rFonts w:hint="eastAsia" w:ascii="宋体" w:hAnsi="宋体" w:cs="宋体"/>
          <w:b/>
          <w:bCs/>
          <w:color w:val="auto"/>
          <w:highlight w:val="none"/>
        </w:rPr>
        <w:t>1.基本分（满分10分）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完全满足采购文件要求得基本分10分，非▲号项参数及及功能负偏离一项扣5分、漏项的每一项扣5分，最多扣完本项分值（在采购文件允许偏离的项数内）。</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2.项目组织实施方案（满分16分）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一档（4分）项目实施方案简单说明了供货服务方案、医用食品供应程序、货源组织方案；</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二档（8分）项目实施方案详细说明了整体供货服务方案、医用食品供应程序、货源组织方案，内容可行，采购人紧急采购任务响应措施、食品安全事件应急预案内容简单；</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三档（12分）项目组织实施方案符合医用食品配送需求，整体供货服务方案、医用食品供应程序、货源组织方案内容详细完整、可行，采购人紧急采购任务响应措施、食品安全事件应急预案内容较详细。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四档（16分）项目组织实施方案完全满足医用食品配送需求，整体供货服务方案、医用食品供应程序、货源组织方案内容详细完整、可行，采购人紧急采购任务响应措施、食品安全事件应急预案、重大或突发事件应急预案内容详尽、切实可行。</w:t>
      </w:r>
    </w:p>
    <w:p>
      <w:pPr>
        <w:pStyle w:val="20"/>
        <w:snapToGrid w:val="0"/>
        <w:spacing w:line="360" w:lineRule="auto"/>
        <w:ind w:firstLine="402" w:firstLineChars="200"/>
        <w:rPr>
          <w:color w:val="auto"/>
          <w:highlight w:val="none"/>
        </w:rPr>
      </w:pPr>
      <w:r>
        <w:rPr>
          <w:rFonts w:hint="eastAsia" w:hAnsi="宋体" w:cs="宋体"/>
          <w:b/>
          <w:bCs/>
          <w:color w:val="auto"/>
          <w:highlight w:val="none"/>
        </w:rPr>
        <w:t>注：未提供或不满足一档要求不得分。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3.医用食品质量及安全保证措施（满分12分）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4分）医用食品质量及安全保证措施简单，医用食品货源质量标准、医用食品供应品质量标准及管理措施、医用食品储存保管方案、食品入库检验流程、食品冷库卫生以及消毒方法、食品配送及装卸环节卫生安全保证措施简单；</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8分）医用食品质量及安全保证措施较详细，具有规范的进货采购渠道，医用食品货源质量标准、医用食品供应品质量标准及管理措施、医用食品储存保管方案、食品入库检验流程、食品冷库卫生以及消毒方法、食品仓库安全教育及管理措施、食品配送及装卸环节卫生安全保证措施内容较详细、可行。</w:t>
      </w:r>
    </w:p>
    <w:p>
      <w:pPr>
        <w:snapToGrid w:val="0"/>
        <w:spacing w:line="360" w:lineRule="auto"/>
        <w:ind w:firstLine="420" w:firstLineChars="200"/>
        <w:rPr>
          <w:rFonts w:hAnsi="宋体" w:cs="宋体"/>
          <w:color w:val="auto"/>
          <w:szCs w:val="21"/>
          <w:highlight w:val="none"/>
        </w:rPr>
      </w:pPr>
      <w:r>
        <w:rPr>
          <w:rFonts w:hint="eastAsia" w:ascii="宋体" w:hAnsi="宋体"/>
          <w:bCs/>
          <w:color w:val="auto"/>
          <w:szCs w:val="21"/>
          <w:highlight w:val="none"/>
        </w:rPr>
        <w:t>三档（12分）医用食品质量及安全保证措施切实可行，具有规范的进货采购渠道，医用食品货源质量标准、医用食品供应品质量标准及管理措施、医用食品储存保管方案、食品入库检验流程、食品冷库卫生以及消毒方法、食品仓库安全教育及管理措施、食品配送及装卸环节卫生安全保证措施内容详尽、科学合理，具有系统化的追溯管理方</w:t>
      </w:r>
      <w:r>
        <w:rPr>
          <w:rFonts w:hint="eastAsia" w:hAnsi="宋体" w:cs="宋体"/>
          <w:color w:val="auto"/>
          <w:szCs w:val="21"/>
          <w:highlight w:val="none"/>
        </w:rPr>
        <w:t>案。</w:t>
      </w:r>
    </w:p>
    <w:p>
      <w:pPr>
        <w:pStyle w:val="20"/>
        <w:snapToGrid w:val="0"/>
        <w:spacing w:line="360" w:lineRule="auto"/>
        <w:ind w:firstLine="402" w:firstLineChars="200"/>
        <w:rPr>
          <w:rFonts w:hAnsi="宋体" w:cs="宋体"/>
          <w:b/>
          <w:bCs/>
          <w:color w:val="auto"/>
          <w:highlight w:val="none"/>
        </w:rPr>
      </w:pPr>
      <w:r>
        <w:rPr>
          <w:rFonts w:hint="eastAsia" w:hAnsi="宋体" w:cs="宋体"/>
          <w:b/>
          <w:bCs/>
          <w:color w:val="auto"/>
          <w:highlight w:val="none"/>
        </w:rPr>
        <w:t>注：未提供或不满足一档要求不得分。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4.医用食品配送方案（满分12分）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一档（4分）配送方案简单，配送服务流程、服务响应时间及配送时间安排、运输过程管理措施简单；</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二档（8分）配送方案较详细，配送服务流程、服务响应及配送时间安排、准时交货管理措施、运输条件及运输过程管理措施、医用食品装卸要求、配送过程突发事件预案内容较详细、可行；</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三档（12分）配送方案完全满足医用食品配送需求，配送服务流程、服务响应及配送时间安排、准时交货管理措施、运输条件及运输过程管理措施、医用食品装卸要求、配送过程突发事件预案内容详尽、合理可行。</w:t>
      </w:r>
    </w:p>
    <w:p>
      <w:pPr>
        <w:pStyle w:val="20"/>
        <w:snapToGrid w:val="0"/>
        <w:spacing w:line="360" w:lineRule="auto"/>
        <w:ind w:firstLine="402" w:firstLineChars="200"/>
        <w:rPr>
          <w:rFonts w:hAnsi="宋体" w:cs="宋体"/>
          <w:b/>
          <w:bCs/>
          <w:color w:val="auto"/>
          <w:highlight w:val="none"/>
        </w:rPr>
      </w:pPr>
      <w:r>
        <w:rPr>
          <w:rFonts w:hint="eastAsia" w:hAnsi="宋体" w:cs="宋体"/>
          <w:b/>
          <w:bCs/>
          <w:color w:val="auto"/>
          <w:highlight w:val="none"/>
        </w:rPr>
        <w:t>注：未提供或不满足一档要求不得分。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5.拟投入配送人员（满分3分）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①竞标供应商拟投入的固定配送员为3-4人的得1分，投入的固定配送员达到5人或以上的得2分，满分2分。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（响应文件中提供配送员的健康证及响应文件递交截止时间前6个月内任意1个月竞标供应商为该人员缴纳的社保证明复印件，并加盖竞标人公章，否则不得分。）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②竞标供应商拟投入的项目经理具备食品相关专业中级（或以上）职称的得1分。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（响应文件中提供项目经理的健康证、职称证及响应文件递交截止时间前6个月内任意1个月竞标供应商为该人员缴纳的社保证明复印件，并加盖竞标人公章，否则不得分。）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6.拟投入配送车辆（满分3分）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竞标供应商投入两辆专用配送的冷链车或货车或面包车或其它载货车辆的得1分，投入三辆的得2分，投入四辆或以上的得3分，满分3分。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(竞标供应商自有车辆的，响应文件中提供配送车辆的行驶证、车辆照片，车辆为竞标供应商租赁的，响应文件中提供配送车辆行驶证、车辆照片及车辆租用合同复印件，并加盖竞标人公章，否则不得分。)</w:t>
      </w:r>
    </w:p>
    <w:p>
      <w:pPr>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7.供应商拟投入仓储场地（满分4分）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竞标供应商拟投入仓储场地功能划区清晰，具备区域划分清晰的独立的成品储藏区、恒温冷藏区、分拣区、检验检查实验室的，每项得1分，满分4分。</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竞标供应商自有仓储场地的，响应文件中提供场地各独立功能区的场景图片、场地产权证明复印件，仓储场地为竞标供应商租赁的，响应文件中提供场地各独立功能区的场景图片、场地租赁合同复印件，并加盖竞标人公章，否则不得分。)</w:t>
      </w:r>
    </w:p>
    <w:p>
      <w:pPr>
        <w:pStyle w:val="100"/>
        <w:snapToGrid w:val="0"/>
        <w:spacing w:line="360" w:lineRule="auto"/>
        <w:ind w:firstLine="422" w:firstLineChars="200"/>
        <w:rPr>
          <w:color w:val="auto"/>
          <w:kern w:val="2"/>
          <w:highlight w:val="none"/>
        </w:rPr>
      </w:pPr>
      <w:r>
        <w:rPr>
          <w:rFonts w:hint="eastAsia"/>
          <w:b/>
          <w:bCs/>
          <w:color w:val="auto"/>
          <w:kern w:val="2"/>
          <w:highlight w:val="none"/>
        </w:rPr>
        <w:t>（三）商务</w:t>
      </w:r>
      <w:r>
        <w:rPr>
          <w:rFonts w:hint="eastAsia"/>
          <w:b/>
          <w:color w:val="auto"/>
          <w:highlight w:val="none"/>
        </w:rPr>
        <w:t>分</w:t>
      </w:r>
      <w:r>
        <w:rPr>
          <w:rFonts w:hint="eastAsia"/>
          <w:b/>
          <w:bCs/>
          <w:color w:val="auto"/>
          <w:kern w:val="2"/>
          <w:highlight w:val="none"/>
        </w:rPr>
        <w:t>………………………………………………………………</w:t>
      </w:r>
      <w:r>
        <w:rPr>
          <w:rFonts w:hint="eastAsia"/>
          <w:b/>
          <w:bCs/>
          <w:color w:val="auto"/>
          <w:highlight w:val="none"/>
        </w:rPr>
        <w:t>满分</w:t>
      </w:r>
      <w:r>
        <w:rPr>
          <w:rFonts w:hint="eastAsia"/>
          <w:b/>
          <w:bCs/>
          <w:color w:val="auto"/>
          <w:kern w:val="2"/>
          <w:highlight w:val="none"/>
        </w:rPr>
        <w:t>20分</w:t>
      </w:r>
    </w:p>
    <w:p>
      <w:pPr>
        <w:snapToGrid w:val="0"/>
        <w:spacing w:line="360" w:lineRule="auto"/>
        <w:ind w:firstLine="422" w:firstLineChars="200"/>
        <w:rPr>
          <w:rFonts w:ascii="宋体" w:hAnsi="宋体"/>
          <w:bCs/>
          <w:color w:val="auto"/>
          <w:szCs w:val="21"/>
          <w:highlight w:val="none"/>
        </w:rPr>
      </w:pPr>
      <w:r>
        <w:rPr>
          <w:rFonts w:hint="eastAsia" w:ascii="宋体" w:hAnsi="宋体" w:cs="宋体"/>
          <w:b/>
          <w:bCs/>
          <w:color w:val="auto"/>
          <w:highlight w:val="none"/>
        </w:rPr>
        <w:t>1.售后服务承诺（满分10分）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一档（2分）：售后服务承诺简单，服务响应及配送时效满足采购要求，有简单的退换货响应措施、售后服务措施；</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二档（6分）：售后服务承诺内容较详细，服务响应及配送时效满足采购要求，退换货响应措施、售后服务措施、售后服务监督和定期回访机制较详细。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三档（10分）：售后服务承诺内容详尽，服务响应及配送时效优于采购要求，退换货响应措施、售后服务措施、售后服务监督和定期回访机制详细可行，食品供应链渠道成熟、物资储备充足，能保证采购人的紧急采购需求和节假日供应需求。</w:t>
      </w:r>
    </w:p>
    <w:p>
      <w:pPr>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注:未提供或不满足一档要求不得分。</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2.供应商2021年1月1日至今具有</w:t>
      </w:r>
      <w:r>
        <w:rPr>
          <w:rFonts w:hint="eastAsia" w:ascii="宋体" w:hAnsi="宋体"/>
          <w:b/>
          <w:color w:val="auto"/>
          <w:szCs w:val="21"/>
          <w:highlight w:val="none"/>
        </w:rPr>
        <w:t>食品配送</w:t>
      </w:r>
      <w:r>
        <w:rPr>
          <w:rFonts w:hint="eastAsia" w:ascii="宋体" w:hAnsi="宋体"/>
          <w:bCs/>
          <w:color w:val="auto"/>
          <w:szCs w:val="21"/>
          <w:highlight w:val="none"/>
        </w:rPr>
        <w:t>项目业绩，每提供一个项目业绩得2.5分，满分10分。</w:t>
      </w:r>
      <w:r>
        <w:rPr>
          <w:rFonts w:hint="eastAsia" w:ascii="宋体" w:hAnsi="宋体"/>
          <w:b/>
          <w:bCs/>
          <w:color w:val="auto"/>
          <w:highlight w:val="none"/>
        </w:rPr>
        <w:t>（响应文件中提供合同扫描件（或中标（成交）通知书扫描件）加盖供应商公章，否则不得分。）</w:t>
      </w:r>
    </w:p>
    <w:bookmarkEnd w:id="53"/>
    <w:p>
      <w:pPr>
        <w:snapToGrid w:val="0"/>
        <w:spacing w:line="360" w:lineRule="auto"/>
        <w:rPr>
          <w:rFonts w:ascii="宋体" w:hAnsi="宋体"/>
          <w:bCs/>
          <w:color w:val="auto"/>
          <w:szCs w:val="21"/>
          <w:highlight w:val="none"/>
        </w:rPr>
      </w:pP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8.2.终止竞争性磋商采购活动</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磋商小组发现竞争性磋商文件存在歧义、重大缺陷导致评审工作无法进行，或者竞争性磋商文件内容违反国家有关规定的，要停止评审工作并向采购人或采购代理机构书面说明情况，采购人或采购代理机构应当修改竞争性磋商文件后重新组织采购活动；发现供应商提供虚假材料、串通等违法违规行为的，要及时向采购人或采购代理机构报告。</w:t>
      </w:r>
    </w:p>
    <w:p>
      <w:pPr>
        <w:spacing w:line="360" w:lineRule="auto"/>
        <w:ind w:firstLine="422" w:firstLineChars="200"/>
        <w:jc w:val="center"/>
        <w:rPr>
          <w:rFonts w:ascii="宋体" w:hAnsi="宋体" w:cs="宋体"/>
          <w:b/>
          <w:color w:val="auto"/>
          <w:highlight w:val="none"/>
        </w:rPr>
      </w:pPr>
    </w:p>
    <w:p>
      <w:pPr>
        <w:pStyle w:val="6"/>
        <w:spacing w:before="0" w:after="0" w:line="360" w:lineRule="auto"/>
        <w:ind w:firstLine="640" w:firstLineChars="200"/>
        <w:jc w:val="center"/>
        <w:rPr>
          <w:rFonts w:ascii="宋体" w:hAnsi="宋体"/>
          <w:b w:val="0"/>
          <w:color w:val="auto"/>
          <w:highlight w:val="none"/>
        </w:rPr>
      </w:pPr>
      <w:bookmarkStart w:id="54" w:name="_Toc31464"/>
      <w:bookmarkStart w:id="55" w:name="_Toc32746"/>
      <w:bookmarkStart w:id="56" w:name="_Toc3774"/>
      <w:bookmarkStart w:id="57" w:name="_Toc1709"/>
      <w:bookmarkStart w:id="58" w:name="_Toc13277"/>
      <w:bookmarkStart w:id="59" w:name="_Toc9104"/>
      <w:r>
        <w:rPr>
          <w:rFonts w:hint="eastAsia" w:ascii="宋体" w:hAnsi="宋体"/>
          <w:b w:val="0"/>
          <w:color w:val="auto"/>
          <w:highlight w:val="none"/>
        </w:rPr>
        <w:t>第二节 评审报告</w:t>
      </w:r>
      <w:bookmarkEnd w:id="54"/>
      <w:bookmarkEnd w:id="55"/>
      <w:bookmarkEnd w:id="56"/>
      <w:bookmarkEnd w:id="57"/>
      <w:bookmarkEnd w:id="58"/>
      <w:bookmarkEnd w:id="59"/>
    </w:p>
    <w:p>
      <w:pPr>
        <w:spacing w:line="360" w:lineRule="auto"/>
        <w:ind w:firstLine="480" w:firstLineChars="200"/>
        <w:rPr>
          <w:rFonts w:ascii="黑体" w:hAnsi="黑体" w:eastAsia="黑体" w:cs="宋体"/>
          <w:color w:val="auto"/>
          <w:sz w:val="24"/>
          <w:szCs w:val="32"/>
          <w:highlight w:val="none"/>
        </w:rPr>
      </w:pPr>
      <w:r>
        <w:rPr>
          <w:rFonts w:hint="eastAsia" w:ascii="黑体" w:hAnsi="黑体" w:eastAsia="黑体" w:cs="宋体"/>
          <w:color w:val="auto"/>
          <w:sz w:val="24"/>
          <w:szCs w:val="32"/>
          <w:highlight w:val="none"/>
        </w:rPr>
        <w:t>1.成交标准</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由磋商小组根据各分标综合评分情况，按照评审得分由高到低顺序每个分标推荐3名以上成交候选供应商</w:t>
      </w:r>
      <w:r>
        <w:rPr>
          <w:rFonts w:hint="eastAsia" w:ascii="宋体" w:hAnsi="宋体" w:cs="宋体"/>
          <w:color w:val="auto"/>
          <w:highlight w:val="none"/>
        </w:rPr>
        <w:t>,并在线编写电子评审报告</w:t>
      </w:r>
      <w:r>
        <w:rPr>
          <w:rFonts w:hint="eastAsia" w:ascii="宋体" w:hAnsi="宋体"/>
          <w:bCs/>
          <w:color w:val="auto"/>
          <w:szCs w:val="21"/>
          <w:highlight w:val="none"/>
        </w:rPr>
        <w:t>。符合本章第一节第3.7、5.3条情形的，可以推荐2家成交候选供应商。评审得分相同的，按照最后报价下浮系数（不计算价格折扣）由多到少的顺序推荐。评审得分且最后报价下浮系数（不计算价格折扣）相同的，按照技术指标优劣顺序推荐（按技术得分由高到低排序，技术得分相同的按照服务需求偏离分由高到低排序）。评审得分、最后报价下浮系数（不计算价格折扣）、技术得分、服务需求偏离分均相同的，由磋商小组随机抽取推荐。</w:t>
      </w:r>
    </w:p>
    <w:p>
      <w:pPr>
        <w:spacing w:line="360" w:lineRule="auto"/>
        <w:ind w:firstLine="422" w:firstLineChars="200"/>
        <w:rPr>
          <w:b/>
          <w:bCs/>
          <w:color w:val="auto"/>
          <w:highlight w:val="none"/>
        </w:rPr>
      </w:pPr>
      <w:r>
        <w:rPr>
          <w:rFonts w:hint="eastAsia"/>
          <w:b/>
          <w:bCs/>
          <w:color w:val="auto"/>
          <w:highlight w:val="none"/>
        </w:rPr>
        <w:t>本次项目分为1分标营养科医用食品配送服务（二）、2分标营养科医用食品配送服务（三）两个标段，一个竞标供应商可同时竞标多个分标，但一个竞标供应商最多只能成交一个分标。评审时按1分标营养科医用食品配送服务（二）→2分标营养科医用食品配送服务（三）的先后顺序进行评审。营养科医用食品配送服务（一）的成交供应商不再参与营养科医用食品配送服务（二）、营养科医用食品配送服务（三）的成交候选人排名推荐，营养科医用食品配送服务（二）排名第一的成交候选人不再参与营养科医用食品配送服务（三）的成交候选人排名推荐。</w:t>
      </w:r>
    </w:p>
    <w:p>
      <w:pPr>
        <w:spacing w:line="360" w:lineRule="auto"/>
        <w:ind w:firstLine="480" w:firstLineChars="200"/>
        <w:rPr>
          <w:rFonts w:ascii="黑体" w:hAnsi="黑体" w:eastAsia="黑体" w:cs="宋体"/>
          <w:color w:val="auto"/>
          <w:sz w:val="24"/>
          <w:szCs w:val="32"/>
          <w:highlight w:val="none"/>
        </w:rPr>
      </w:pPr>
      <w:r>
        <w:rPr>
          <w:rFonts w:hint="eastAsia" w:ascii="黑体" w:hAnsi="黑体" w:eastAsia="黑体" w:cs="宋体"/>
          <w:color w:val="auto"/>
          <w:sz w:val="24"/>
          <w:szCs w:val="32"/>
          <w:highlight w:val="none"/>
        </w:rPr>
        <w:t>2.评标争议事项处理</w:t>
      </w:r>
    </w:p>
    <w:p>
      <w:pPr>
        <w:pStyle w:val="97"/>
        <w:spacing w:before="0"/>
        <w:ind w:firstLine="420"/>
        <w:rPr>
          <w:rFonts w:ascii="宋体" w:hAnsi="宋体" w:cs="宋体"/>
          <w:sz w:val="21"/>
          <w:szCs w:val="24"/>
        </w:rPr>
      </w:pPr>
      <w:r>
        <w:rPr>
          <w:rFonts w:hint="eastAsia" w:ascii="宋体" w:hAnsi="宋体" w:cs="宋体"/>
          <w:sz w:val="21"/>
          <w:szCs w:val="24"/>
        </w:rPr>
        <w:t>磋商小组成员对需要共同认定的事项存在争议的，应当按照少数服从多数的原则作出结论。持不同意见的磋商小组成员应当在评标报告上签署不同意见及理由，否则视为同意评标报告。</w:t>
      </w:r>
    </w:p>
    <w:p>
      <w:pPr>
        <w:pStyle w:val="6"/>
        <w:spacing w:before="0" w:after="0" w:line="360" w:lineRule="auto"/>
        <w:ind w:firstLine="640" w:firstLineChars="200"/>
        <w:jc w:val="center"/>
        <w:rPr>
          <w:rFonts w:ascii="宋体" w:hAnsi="宋体" w:cs="宋体"/>
          <w:b w:val="0"/>
        </w:rPr>
      </w:pPr>
      <w:bookmarkStart w:id="60" w:name="_Toc28186"/>
      <w:bookmarkStart w:id="61" w:name="_Toc27820"/>
      <w:bookmarkStart w:id="62" w:name="_Toc3174"/>
      <w:bookmarkStart w:id="63" w:name="_Toc29027"/>
      <w:bookmarkStart w:id="64" w:name="_Toc32317"/>
      <w:bookmarkStart w:id="65" w:name="_Toc4183"/>
      <w:r>
        <w:rPr>
          <w:rFonts w:hint="eastAsia" w:ascii="宋体" w:hAnsi="宋体"/>
          <w:b w:val="0"/>
        </w:rPr>
        <w:t>第三节 评审过程的保密与录像</w:t>
      </w:r>
      <w:bookmarkEnd w:id="60"/>
      <w:bookmarkEnd w:id="61"/>
      <w:bookmarkEnd w:id="62"/>
      <w:bookmarkEnd w:id="63"/>
      <w:bookmarkEnd w:id="64"/>
      <w:bookmarkEnd w:id="65"/>
    </w:p>
    <w:p>
      <w:pPr>
        <w:spacing w:line="360" w:lineRule="auto"/>
        <w:ind w:firstLine="480" w:firstLineChars="200"/>
        <w:rPr>
          <w:rFonts w:ascii="黑体" w:hAnsi="黑体" w:eastAsia="黑体" w:cs="宋体"/>
          <w:sz w:val="24"/>
          <w:szCs w:val="32"/>
        </w:rPr>
      </w:pPr>
      <w:r>
        <w:rPr>
          <w:rFonts w:hint="eastAsia" w:ascii="黑体" w:hAnsi="黑体" w:eastAsia="黑体" w:cs="宋体"/>
          <w:sz w:val="24"/>
          <w:szCs w:val="32"/>
        </w:rPr>
        <w:t>1.保密。</w:t>
      </w:r>
    </w:p>
    <w:p>
      <w:pPr>
        <w:widowControl/>
        <w:spacing w:line="360" w:lineRule="auto"/>
        <w:ind w:firstLine="420" w:firstLineChars="200"/>
        <w:rPr>
          <w:rFonts w:ascii="宋体" w:hAnsi="宋体" w:cs="宋体"/>
        </w:rPr>
      </w:pPr>
      <w:r>
        <w:rPr>
          <w:rFonts w:hint="eastAsia" w:ascii="宋体" w:hAnsi="宋体" w:cs="宋体"/>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pPr>
        <w:widowControl/>
        <w:spacing w:line="360" w:lineRule="auto"/>
        <w:ind w:firstLine="480" w:firstLineChars="200"/>
        <w:rPr>
          <w:rFonts w:ascii="黑体" w:hAnsi="黑体" w:eastAsia="黑体" w:cs="宋体"/>
          <w:sz w:val="24"/>
          <w:szCs w:val="32"/>
        </w:rPr>
      </w:pPr>
      <w:r>
        <w:rPr>
          <w:rFonts w:hint="eastAsia" w:ascii="黑体" w:hAnsi="黑体" w:eastAsia="黑体" w:cs="宋体"/>
          <w:sz w:val="24"/>
          <w:szCs w:val="32"/>
        </w:rPr>
        <w:t>2.录音录像。</w:t>
      </w:r>
    </w:p>
    <w:p>
      <w:pPr>
        <w:spacing w:line="360" w:lineRule="auto"/>
        <w:ind w:firstLine="420" w:firstLineChars="200"/>
        <w:rPr>
          <w:rFonts w:ascii="宋体" w:hAnsi="宋体" w:cs="宋体"/>
        </w:rPr>
      </w:pPr>
      <w:r>
        <w:rPr>
          <w:rFonts w:hint="eastAsia" w:ascii="宋体" w:hAnsi="宋体" w:cs="宋体"/>
        </w:rPr>
        <w:t>采购代理机构对评审工作现场及操作屏幕进行全过程录音录像，录音录像资料作为采购项目文件随其他文件一并存档。</w:t>
      </w:r>
    </w:p>
    <w:p>
      <w:pPr>
        <w:rPr>
          <w:rFonts w:ascii="宋体" w:hAnsi="宋体" w:cs="宋体"/>
        </w:rPr>
      </w:pPr>
    </w:p>
    <w:p>
      <w:pPr>
        <w:rPr>
          <w:rFonts w:ascii="宋体" w:hAnsi="宋体" w:cs="宋体"/>
        </w:rPr>
      </w:pPr>
    </w:p>
    <w:p/>
    <w:p>
      <w:pPr>
        <w:rPr>
          <w:rFonts w:ascii="宋体" w:hAnsi="宋体" w:cs="宋体"/>
        </w:rPr>
      </w:pPr>
      <w:r>
        <w:rPr>
          <w:rFonts w:hint="eastAsia" w:ascii="宋体" w:hAnsi="宋体" w:cs="宋体"/>
        </w:rPr>
        <w:br w:type="page"/>
      </w:r>
    </w:p>
    <w:p>
      <w:pPr>
        <w:pStyle w:val="5"/>
        <w:jc w:val="center"/>
        <w:rPr>
          <w:rFonts w:ascii="宋体" w:hAnsi="宋体" w:cs="宋体"/>
        </w:rPr>
      </w:pPr>
      <w:bookmarkStart w:id="66" w:name="_Toc11570"/>
      <w:bookmarkStart w:id="67" w:name="_Toc17223"/>
      <w:bookmarkStart w:id="68" w:name="_Toc923"/>
      <w:bookmarkStart w:id="69" w:name="_Toc427"/>
      <w:bookmarkStart w:id="70" w:name="_Toc9845"/>
      <w:r>
        <w:rPr>
          <w:rFonts w:hint="eastAsia" w:ascii="宋体" w:hAnsi="宋体" w:cs="宋体"/>
        </w:rPr>
        <w:t>第五章 响应文件格式</w:t>
      </w:r>
      <w:bookmarkEnd w:id="66"/>
      <w:bookmarkEnd w:id="67"/>
      <w:bookmarkEnd w:id="68"/>
      <w:bookmarkEnd w:id="69"/>
      <w:bookmarkEnd w:id="70"/>
    </w:p>
    <w:p>
      <w:pPr>
        <w:pStyle w:val="6"/>
      </w:pPr>
      <w:bookmarkStart w:id="71" w:name="_Toc24163"/>
      <w:bookmarkStart w:id="72" w:name="_Toc23648"/>
      <w:bookmarkStart w:id="73" w:name="_Toc17271"/>
      <w:bookmarkStart w:id="74" w:name="_Toc14939"/>
      <w:bookmarkStart w:id="75" w:name="_Toc619"/>
      <w:r>
        <w:rPr>
          <w:rFonts w:hint="eastAsia"/>
        </w:rPr>
        <w:t>一、封面格式</w:t>
      </w:r>
      <w:bookmarkEnd w:id="71"/>
      <w:bookmarkEnd w:id="72"/>
      <w:bookmarkEnd w:id="73"/>
      <w:bookmarkEnd w:id="74"/>
      <w:bookmarkEnd w:id="75"/>
    </w:p>
    <w:p>
      <w:pPr>
        <w:snapToGrid w:val="0"/>
        <w:spacing w:beforeLines="50" w:after="50"/>
        <w:jc w:val="right"/>
        <w:rPr>
          <w:rFonts w:ascii="宋体" w:hAnsi="宋体" w:cs="宋体"/>
          <w:bCs/>
          <w:sz w:val="36"/>
          <w:szCs w:val="36"/>
        </w:rPr>
      </w:pPr>
      <w:r>
        <w:rPr>
          <w:rFonts w:hint="eastAsia" w:ascii="宋体" w:hAnsi="宋体" w:cs="宋体"/>
          <w:bCs/>
          <w:color w:val="FFFFFF" w:themeColor="background1"/>
          <w:sz w:val="36"/>
          <w:szCs w:val="36"/>
          <w14:textFill>
            <w14:solidFill>
              <w14:schemeClr w14:val="bg1"/>
            </w14:solidFill>
          </w14:textFill>
        </w:rPr>
        <w:t>（正本/副本）</w:t>
      </w:r>
    </w:p>
    <w:p>
      <w:pPr>
        <w:pStyle w:val="2"/>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44"/>
          <w:szCs w:val="44"/>
        </w:rPr>
      </w:pPr>
    </w:p>
    <w:p>
      <w:pPr>
        <w:snapToGrid w:val="0"/>
        <w:spacing w:beforeLines="50" w:after="50"/>
        <w:jc w:val="center"/>
        <w:rPr>
          <w:rFonts w:ascii="宋体" w:hAnsi="宋体" w:cs="宋体"/>
          <w:bCs/>
          <w:sz w:val="32"/>
          <w:szCs w:val="32"/>
        </w:rPr>
      </w:pPr>
    </w:p>
    <w:p>
      <w:pPr>
        <w:snapToGrid w:val="0"/>
        <w:spacing w:beforeLines="50" w:after="50"/>
        <w:rPr>
          <w:rFonts w:ascii="宋体" w:hAnsi="宋体" w:cs="宋体"/>
          <w:bCs/>
          <w:sz w:val="24"/>
          <w:szCs w:val="20"/>
        </w:rPr>
      </w:pPr>
    </w:p>
    <w:p>
      <w:pPr>
        <w:snapToGrid w:val="0"/>
        <w:spacing w:beforeLines="50" w:after="50"/>
        <w:rPr>
          <w:rFonts w:ascii="宋体" w:hAnsi="宋体" w:cs="宋体"/>
          <w:bCs/>
          <w:sz w:val="22"/>
          <w:szCs w:val="18"/>
        </w:rPr>
      </w:pPr>
    </w:p>
    <w:p>
      <w:pPr>
        <w:snapToGrid w:val="0"/>
        <w:spacing w:beforeLines="50" w:after="50"/>
        <w:rPr>
          <w:rFonts w:ascii="宋体" w:hAnsi="宋体" w:cs="宋体"/>
          <w:bCs/>
          <w:sz w:val="22"/>
          <w:szCs w:val="18"/>
        </w:rPr>
      </w:pP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项目名称：</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项目编号：</w:t>
      </w:r>
    </w:p>
    <w:p>
      <w:pPr>
        <w:snapToGrid w:val="0"/>
        <w:spacing w:beforeLines="50" w:after="50"/>
        <w:ind w:firstLine="2396" w:firstLineChars="856"/>
        <w:rPr>
          <w:rFonts w:hint="eastAsia" w:ascii="宋体" w:hAnsi="宋体" w:eastAsia="宋体" w:cs="宋体"/>
          <w:bCs/>
          <w:sz w:val="28"/>
          <w:szCs w:val="28"/>
          <w:lang w:eastAsia="zh-CN"/>
        </w:rPr>
      </w:pPr>
      <w:r>
        <w:rPr>
          <w:rFonts w:hint="eastAsia" w:ascii="宋体" w:hAnsi="宋体" w:cs="宋体"/>
          <w:bCs/>
          <w:sz w:val="28"/>
          <w:szCs w:val="28"/>
        </w:rPr>
        <w:t>所竞</w:t>
      </w:r>
      <w:r>
        <w:rPr>
          <w:rFonts w:hint="eastAsia" w:ascii="宋体" w:hAnsi="宋体" w:cs="宋体"/>
          <w:bCs/>
          <w:sz w:val="28"/>
          <w:szCs w:val="28"/>
          <w:lang w:eastAsia="zh-CN"/>
        </w:rPr>
        <w:t>标项名称</w:t>
      </w:r>
      <w:r>
        <w:rPr>
          <w:rFonts w:hint="eastAsia" w:ascii="宋体" w:hAnsi="宋体" w:cs="宋体"/>
          <w:bCs/>
          <w:sz w:val="28"/>
          <w:szCs w:val="28"/>
        </w:rPr>
        <w:t>：</w:t>
      </w:r>
      <w:r>
        <w:rPr>
          <w:rFonts w:hint="eastAsia" w:ascii="宋体" w:hAnsi="宋体" w:cs="宋体"/>
          <w:bCs/>
          <w:sz w:val="32"/>
          <w:szCs w:val="32"/>
          <w:u w:val="single"/>
          <w:lang w:val="en-US" w:eastAsia="zh-CN"/>
        </w:rPr>
        <w:t xml:space="preserve">  </w:t>
      </w:r>
      <w:r>
        <w:rPr>
          <w:rFonts w:hint="eastAsia" w:ascii="宋体" w:hAnsi="宋体" w:cs="宋体"/>
          <w:bCs/>
          <w:sz w:val="28"/>
          <w:szCs w:val="28"/>
          <w:u w:val="single"/>
          <w:lang w:val="en-US" w:eastAsia="zh-CN"/>
        </w:rPr>
        <w:t>[</w:t>
      </w:r>
      <w:r>
        <w:rPr>
          <w:rFonts w:hint="eastAsia" w:ascii="宋体" w:hAnsi="宋体" w:cs="宋体"/>
          <w:bCs/>
          <w:sz w:val="28"/>
          <w:szCs w:val="28"/>
          <w:u w:val="single"/>
          <w:lang w:eastAsia="zh-CN"/>
        </w:rPr>
        <w:t>营养科医用食品配送服务（二）</w:t>
      </w:r>
      <w:r>
        <w:rPr>
          <w:rFonts w:hint="eastAsia" w:ascii="宋体" w:hAnsi="宋体" w:cs="宋体"/>
          <w:bCs/>
          <w:sz w:val="28"/>
          <w:szCs w:val="28"/>
          <w:u w:val="single"/>
          <w:lang w:val="en-US" w:eastAsia="zh-CN"/>
        </w:rPr>
        <w:t>/</w:t>
      </w:r>
      <w:r>
        <w:rPr>
          <w:rFonts w:hint="eastAsia" w:ascii="宋体" w:hAnsi="宋体" w:cs="宋体"/>
          <w:bCs/>
          <w:sz w:val="28"/>
          <w:szCs w:val="28"/>
          <w:u w:val="single"/>
          <w:lang w:eastAsia="zh-CN"/>
        </w:rPr>
        <w:t>营养科医用食品配送服务（三）</w:t>
      </w:r>
      <w:r>
        <w:rPr>
          <w:rFonts w:hint="eastAsia" w:ascii="宋体" w:hAnsi="宋体" w:cs="宋体"/>
          <w:bCs/>
          <w:sz w:val="28"/>
          <w:szCs w:val="28"/>
          <w:u w:val="single"/>
          <w:lang w:val="en-US" w:eastAsia="zh-CN"/>
        </w:rPr>
        <w:t>]</w:t>
      </w:r>
      <w:r>
        <w:rPr>
          <w:rFonts w:hint="eastAsia" w:ascii="宋体" w:hAnsi="宋体" w:cs="宋体"/>
          <w:bCs/>
          <w:sz w:val="32"/>
          <w:szCs w:val="32"/>
          <w:u w:val="single"/>
          <w:lang w:val="en-US" w:eastAsia="zh-CN"/>
        </w:rPr>
        <w:t xml:space="preserve">  </w:t>
      </w:r>
    </w:p>
    <w:p>
      <w:pPr>
        <w:pStyle w:val="10"/>
        <w:snapToGrid w:val="0"/>
        <w:spacing w:before="50" w:after="50"/>
        <w:ind w:firstLine="2396" w:firstLineChars="856"/>
        <w:rPr>
          <w:rFonts w:ascii="宋体" w:hAnsi="宋体" w:cs="宋体"/>
          <w:bCs/>
          <w:sz w:val="28"/>
          <w:szCs w:val="28"/>
        </w:rPr>
      </w:pPr>
      <w:r>
        <w:rPr>
          <w:rFonts w:hint="eastAsia" w:ascii="宋体" w:hAnsi="宋体" w:cs="宋体"/>
          <w:bCs/>
          <w:sz w:val="28"/>
          <w:szCs w:val="28"/>
        </w:rPr>
        <w:t>供应商名称：</w:t>
      </w: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1120" w:firstLineChars="400"/>
        <w:rPr>
          <w:rFonts w:ascii="宋体" w:hAnsi="宋体" w:cs="宋体"/>
          <w:bCs/>
          <w:sz w:val="28"/>
          <w:szCs w:val="28"/>
        </w:rPr>
      </w:pPr>
    </w:p>
    <w:p>
      <w:pPr>
        <w:snapToGrid w:val="0"/>
        <w:spacing w:beforeLines="50" w:after="50"/>
        <w:jc w:val="center"/>
        <w:rPr>
          <w:rFonts w:ascii="宋体" w:hAnsi="宋体" w:cs="宋体"/>
          <w:sz w:val="28"/>
          <w:szCs w:val="28"/>
        </w:rPr>
      </w:pPr>
      <w:r>
        <w:rPr>
          <w:rFonts w:hint="eastAsia" w:ascii="宋体" w:hAnsi="宋体" w:cs="宋体"/>
          <w:sz w:val="28"/>
          <w:szCs w:val="28"/>
        </w:rPr>
        <w:t>年    月    日</w:t>
      </w:r>
    </w:p>
    <w:p>
      <w:pPr>
        <w:spacing w:line="240" w:lineRule="atLeast"/>
        <w:rPr>
          <w:rFonts w:ascii="宋体" w:hAnsi="宋体" w:cs="宋体"/>
          <w:b/>
          <w:sz w:val="32"/>
          <w:szCs w:val="32"/>
        </w:rPr>
      </w:pPr>
    </w:p>
    <w:p>
      <w:pPr>
        <w:spacing w:line="240" w:lineRule="atLeast"/>
        <w:rPr>
          <w:rFonts w:ascii="宋体" w:hAnsi="宋体" w:cs="宋体"/>
          <w:bCs/>
          <w:sz w:val="32"/>
          <w:szCs w:val="32"/>
        </w:rPr>
      </w:pPr>
    </w:p>
    <w:p>
      <w:bookmarkStart w:id="76" w:name="_Toc44229899"/>
      <w:bookmarkStart w:id="77" w:name="_Toc23769"/>
      <w:bookmarkStart w:id="78" w:name="_Toc35611516"/>
      <w:bookmarkStart w:id="79" w:name="_Toc71365925"/>
      <w:bookmarkStart w:id="80" w:name="_Toc35611438"/>
      <w:bookmarkStart w:id="81" w:name="_Toc31723070"/>
      <w:bookmarkStart w:id="82" w:name="_Toc31728084"/>
      <w:r>
        <w:rPr>
          <w:rFonts w:hint="eastAsia"/>
        </w:rPr>
        <w:br w:type="page"/>
      </w:r>
    </w:p>
    <w:p>
      <w:pPr>
        <w:pStyle w:val="6"/>
      </w:pPr>
      <w:bookmarkStart w:id="83" w:name="_Toc3918"/>
      <w:bookmarkStart w:id="84" w:name="_Toc31171"/>
      <w:bookmarkStart w:id="85" w:name="_Toc26721"/>
      <w:bookmarkStart w:id="86" w:name="_Toc17977"/>
      <w:bookmarkStart w:id="87" w:name="_Toc9732"/>
      <w:r>
        <w:rPr>
          <w:rFonts w:hint="eastAsia"/>
        </w:rPr>
        <w:t>二、资格证明文件格式</w:t>
      </w:r>
      <w:bookmarkEnd w:id="76"/>
      <w:bookmarkEnd w:id="77"/>
      <w:bookmarkEnd w:id="78"/>
      <w:bookmarkEnd w:id="79"/>
      <w:bookmarkEnd w:id="80"/>
      <w:bookmarkEnd w:id="81"/>
      <w:bookmarkEnd w:id="82"/>
      <w:bookmarkEnd w:id="83"/>
      <w:bookmarkEnd w:id="84"/>
      <w:bookmarkEnd w:id="85"/>
      <w:bookmarkEnd w:id="86"/>
      <w:bookmarkEnd w:id="87"/>
    </w:p>
    <w:p>
      <w:pPr>
        <w:snapToGrid w:val="0"/>
        <w:spacing w:beforeLines="50" w:after="50" w:line="360" w:lineRule="auto"/>
        <w:jc w:val="center"/>
        <w:rPr>
          <w:rFonts w:ascii="宋体" w:hAnsi="宋体" w:cs="宋体"/>
          <w:b/>
          <w:sz w:val="24"/>
        </w:rPr>
      </w:pPr>
      <w:r>
        <w:rPr>
          <w:rFonts w:hint="eastAsia" w:ascii="宋体" w:hAnsi="宋体" w:cs="宋体"/>
          <w:b/>
          <w:sz w:val="32"/>
          <w:szCs w:val="32"/>
        </w:rPr>
        <w:t>1.资格证明文件封面格式：</w:t>
      </w:r>
    </w:p>
    <w:p>
      <w:pPr>
        <w:snapToGrid w:val="0"/>
        <w:spacing w:beforeLines="50" w:after="50"/>
        <w:jc w:val="right"/>
        <w:rPr>
          <w:rFonts w:ascii="宋体" w:hAnsi="宋体" w:cs="宋体"/>
          <w:bCs/>
          <w:color w:val="FFFFFF" w:themeColor="background1"/>
          <w:sz w:val="36"/>
          <w:szCs w:val="36"/>
          <w14:textFill>
            <w14:solidFill>
              <w14:schemeClr w14:val="bg1"/>
            </w14:solidFill>
          </w14:textFill>
        </w:rPr>
      </w:pPr>
      <w:r>
        <w:rPr>
          <w:rFonts w:hint="eastAsia" w:ascii="宋体" w:hAnsi="宋体" w:cs="宋体"/>
          <w:bCs/>
          <w:color w:val="FFFFFF" w:themeColor="background1"/>
          <w:sz w:val="36"/>
          <w:szCs w:val="36"/>
          <w14:textFill>
            <w14:solidFill>
              <w14:schemeClr w14:val="bg1"/>
            </w14:solidFill>
          </w14:textFill>
        </w:rPr>
        <w:t>（正本/副本）</w:t>
      </w:r>
    </w:p>
    <w:p>
      <w:pPr>
        <w:snapToGrid w:val="0"/>
        <w:spacing w:beforeLines="50" w:after="50"/>
        <w:rPr>
          <w:rFonts w:ascii="宋体" w:hAnsi="宋体" w:cs="宋体"/>
          <w:bCs/>
          <w:sz w:val="32"/>
          <w:szCs w:val="20"/>
        </w:rPr>
      </w:pPr>
    </w:p>
    <w:p>
      <w:pPr>
        <w:snapToGrid w:val="0"/>
        <w:spacing w:beforeLines="50" w:after="50"/>
        <w:rPr>
          <w:rFonts w:ascii="宋体" w:hAnsi="宋体" w:cs="宋体"/>
          <w:sz w:val="24"/>
          <w:szCs w:val="20"/>
        </w:rPr>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44"/>
          <w:szCs w:val="44"/>
        </w:rPr>
      </w:pPr>
    </w:p>
    <w:p>
      <w:pPr>
        <w:snapToGrid w:val="0"/>
        <w:spacing w:beforeLines="50" w:after="50"/>
        <w:jc w:val="center"/>
        <w:rPr>
          <w:rFonts w:ascii="宋体" w:hAnsi="宋体" w:cs="宋体"/>
          <w:bCs/>
          <w:sz w:val="32"/>
          <w:szCs w:val="32"/>
        </w:rPr>
      </w:pPr>
      <w:r>
        <w:rPr>
          <w:rFonts w:hint="eastAsia" w:ascii="宋体" w:hAnsi="宋体" w:cs="宋体"/>
          <w:bCs/>
          <w:sz w:val="32"/>
          <w:szCs w:val="32"/>
        </w:rPr>
        <w:t>资  格  证  明  文  件</w:t>
      </w:r>
    </w:p>
    <w:p>
      <w:pPr>
        <w:snapToGrid w:val="0"/>
        <w:spacing w:beforeLines="50" w:after="50"/>
        <w:rPr>
          <w:rFonts w:ascii="宋体" w:hAnsi="宋体" w:cs="宋体"/>
          <w:bCs/>
          <w:sz w:val="24"/>
          <w:szCs w:val="20"/>
        </w:rPr>
      </w:pPr>
    </w:p>
    <w:p>
      <w:pPr>
        <w:snapToGrid w:val="0"/>
        <w:spacing w:beforeLines="50" w:after="50"/>
        <w:rPr>
          <w:rFonts w:ascii="宋体" w:hAnsi="宋体" w:cs="宋体"/>
          <w:bCs/>
          <w:sz w:val="22"/>
          <w:szCs w:val="18"/>
        </w:rPr>
      </w:pPr>
    </w:p>
    <w:p>
      <w:pPr>
        <w:snapToGrid w:val="0"/>
        <w:spacing w:beforeLines="50" w:after="50"/>
        <w:rPr>
          <w:rFonts w:ascii="宋体" w:hAnsi="宋体" w:cs="宋体"/>
          <w:bCs/>
          <w:sz w:val="22"/>
          <w:szCs w:val="18"/>
        </w:rPr>
      </w:pP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项目名称：</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项目编号：</w:t>
      </w:r>
    </w:p>
    <w:p>
      <w:pPr>
        <w:snapToGrid w:val="0"/>
        <w:spacing w:beforeLines="50" w:after="50"/>
        <w:ind w:firstLine="2396" w:firstLineChars="856"/>
        <w:rPr>
          <w:rFonts w:ascii="宋体" w:hAnsi="宋体" w:cs="宋体"/>
          <w:bCs/>
          <w:sz w:val="28"/>
          <w:szCs w:val="28"/>
        </w:rPr>
      </w:pPr>
      <w:r>
        <w:rPr>
          <w:rFonts w:hint="eastAsia" w:ascii="宋体" w:hAnsi="宋体" w:cs="宋体"/>
          <w:bCs/>
          <w:sz w:val="28"/>
          <w:szCs w:val="28"/>
        </w:rPr>
        <w:t>所竞</w:t>
      </w:r>
      <w:r>
        <w:rPr>
          <w:rFonts w:hint="eastAsia" w:ascii="宋体" w:hAnsi="宋体" w:cs="宋体"/>
          <w:bCs/>
          <w:sz w:val="28"/>
          <w:szCs w:val="28"/>
          <w:lang w:eastAsia="zh-CN"/>
        </w:rPr>
        <w:t>标项名称</w:t>
      </w:r>
      <w:r>
        <w:rPr>
          <w:rFonts w:hint="eastAsia" w:ascii="宋体" w:hAnsi="宋体" w:cs="宋体"/>
          <w:bCs/>
          <w:sz w:val="28"/>
          <w:szCs w:val="28"/>
        </w:rPr>
        <w:t>：</w:t>
      </w:r>
      <w:r>
        <w:rPr>
          <w:rFonts w:hint="eastAsia" w:ascii="宋体" w:hAnsi="宋体" w:cs="宋体"/>
          <w:bCs/>
          <w:sz w:val="32"/>
          <w:szCs w:val="32"/>
          <w:u w:val="single"/>
          <w:lang w:val="en-US" w:eastAsia="zh-CN"/>
        </w:rPr>
        <w:t xml:space="preserve">  </w:t>
      </w:r>
      <w:r>
        <w:rPr>
          <w:rFonts w:hint="eastAsia" w:ascii="宋体" w:hAnsi="宋体" w:cs="宋体"/>
          <w:bCs/>
          <w:sz w:val="28"/>
          <w:szCs w:val="28"/>
          <w:u w:val="single"/>
          <w:lang w:val="en-US" w:eastAsia="zh-CN"/>
        </w:rPr>
        <w:t>[</w:t>
      </w:r>
      <w:r>
        <w:rPr>
          <w:rFonts w:hint="eastAsia" w:ascii="宋体" w:hAnsi="宋体" w:cs="宋体"/>
          <w:bCs/>
          <w:sz w:val="28"/>
          <w:szCs w:val="28"/>
          <w:u w:val="single"/>
          <w:lang w:eastAsia="zh-CN"/>
        </w:rPr>
        <w:t>营养科医用食品配送服务（二）</w:t>
      </w:r>
      <w:r>
        <w:rPr>
          <w:rFonts w:hint="eastAsia" w:ascii="宋体" w:hAnsi="宋体" w:cs="宋体"/>
          <w:bCs/>
          <w:sz w:val="28"/>
          <w:szCs w:val="28"/>
          <w:u w:val="single"/>
          <w:lang w:val="en-US" w:eastAsia="zh-CN"/>
        </w:rPr>
        <w:t>/</w:t>
      </w:r>
      <w:r>
        <w:rPr>
          <w:rFonts w:hint="eastAsia" w:ascii="宋体" w:hAnsi="宋体" w:cs="宋体"/>
          <w:bCs/>
          <w:sz w:val="28"/>
          <w:szCs w:val="28"/>
          <w:u w:val="single"/>
          <w:lang w:eastAsia="zh-CN"/>
        </w:rPr>
        <w:t>营养科医用食品配送服务（三）</w:t>
      </w:r>
      <w:r>
        <w:rPr>
          <w:rFonts w:hint="eastAsia" w:ascii="宋体" w:hAnsi="宋体" w:cs="宋体"/>
          <w:bCs/>
          <w:sz w:val="28"/>
          <w:szCs w:val="28"/>
          <w:u w:val="single"/>
          <w:lang w:val="en-US" w:eastAsia="zh-CN"/>
        </w:rPr>
        <w:t>]</w:t>
      </w:r>
      <w:r>
        <w:rPr>
          <w:rFonts w:hint="eastAsia" w:ascii="宋体" w:hAnsi="宋体" w:cs="宋体"/>
          <w:bCs/>
          <w:sz w:val="32"/>
          <w:szCs w:val="32"/>
          <w:u w:val="single"/>
          <w:lang w:val="en-US" w:eastAsia="zh-CN"/>
        </w:rPr>
        <w:t xml:space="preserve">  </w:t>
      </w:r>
    </w:p>
    <w:p>
      <w:pPr>
        <w:pStyle w:val="10"/>
        <w:snapToGrid w:val="0"/>
        <w:spacing w:before="50" w:after="50"/>
        <w:ind w:firstLine="2396" w:firstLineChars="856"/>
        <w:rPr>
          <w:rFonts w:ascii="宋体" w:hAnsi="宋体" w:cs="宋体"/>
          <w:bCs/>
          <w:sz w:val="28"/>
          <w:szCs w:val="28"/>
        </w:rPr>
      </w:pPr>
      <w:r>
        <w:rPr>
          <w:rFonts w:hint="eastAsia" w:ascii="宋体" w:hAnsi="宋体" w:cs="宋体"/>
          <w:bCs/>
          <w:sz w:val="28"/>
          <w:szCs w:val="28"/>
        </w:rPr>
        <w:t>供应商名称：</w:t>
      </w: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630" w:firstLineChars="225"/>
        <w:rPr>
          <w:rFonts w:ascii="宋体" w:hAnsi="宋体" w:cs="宋体"/>
          <w:bCs/>
          <w:sz w:val="28"/>
          <w:szCs w:val="28"/>
        </w:rPr>
      </w:pPr>
    </w:p>
    <w:p>
      <w:pPr>
        <w:pStyle w:val="10"/>
        <w:snapToGrid w:val="0"/>
        <w:spacing w:before="50" w:after="50"/>
        <w:ind w:firstLine="1120" w:firstLineChars="400"/>
        <w:rPr>
          <w:rFonts w:ascii="宋体" w:hAnsi="宋体" w:cs="宋体"/>
          <w:bCs/>
          <w:sz w:val="28"/>
          <w:szCs w:val="28"/>
        </w:rPr>
      </w:pPr>
    </w:p>
    <w:p>
      <w:pPr>
        <w:snapToGrid w:val="0"/>
        <w:spacing w:beforeLines="50" w:after="50"/>
        <w:jc w:val="center"/>
        <w:rPr>
          <w:rFonts w:ascii="宋体" w:hAnsi="宋体" w:cs="宋体"/>
          <w:sz w:val="28"/>
          <w:szCs w:val="28"/>
        </w:rPr>
      </w:pPr>
      <w:r>
        <w:rPr>
          <w:rFonts w:hint="eastAsia" w:ascii="宋体" w:hAnsi="宋体" w:cs="宋体"/>
          <w:sz w:val="28"/>
          <w:szCs w:val="28"/>
        </w:rPr>
        <w:t>年    月    日</w:t>
      </w:r>
    </w:p>
    <w:p>
      <w:pPr>
        <w:snapToGrid w:val="0"/>
        <w:spacing w:beforeLines="50" w:after="50"/>
        <w:ind w:left="142"/>
        <w:jc w:val="left"/>
        <w:rPr>
          <w:rFonts w:ascii="宋体" w:hAnsi="宋体" w:cs="宋体"/>
          <w:b/>
          <w:bCs/>
          <w:sz w:val="32"/>
          <w:szCs w:val="32"/>
        </w:rPr>
      </w:pPr>
      <w:r>
        <w:rPr>
          <w:rFonts w:hint="eastAsia" w:ascii="宋体" w:hAnsi="宋体" w:cs="宋体"/>
          <w:sz w:val="22"/>
          <w:szCs w:val="22"/>
        </w:rPr>
        <w:br w:type="page"/>
      </w:r>
      <w:r>
        <w:rPr>
          <w:rFonts w:hint="eastAsia" w:ascii="宋体" w:hAnsi="宋体" w:cs="宋体"/>
          <w:b/>
          <w:bCs/>
          <w:sz w:val="32"/>
          <w:szCs w:val="32"/>
        </w:rPr>
        <w:t>2.资格证明文件目录</w:t>
      </w:r>
    </w:p>
    <w:p>
      <w:pPr>
        <w:snapToGrid w:val="0"/>
        <w:spacing w:beforeLines="50" w:after="50" w:line="360" w:lineRule="auto"/>
        <w:ind w:firstLine="645"/>
        <w:rPr>
          <w:rFonts w:ascii="宋体" w:hAnsi="宋体" w:cs="宋体"/>
          <w:sz w:val="28"/>
          <w:szCs w:val="28"/>
        </w:rPr>
      </w:pPr>
      <w:r>
        <w:rPr>
          <w:rFonts w:hint="eastAsia" w:ascii="宋体" w:hAnsi="宋体" w:cs="宋体"/>
          <w:sz w:val="28"/>
          <w:szCs w:val="28"/>
        </w:rPr>
        <w:t>根据磋商文件规定及供应商提供的材料自行编写目录（部分格式后附）。</w:t>
      </w:r>
    </w:p>
    <w:p>
      <w:pPr>
        <w:snapToGrid w:val="0"/>
        <w:spacing w:beforeLines="50" w:after="50"/>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spacing w:line="300" w:lineRule="auto"/>
        <w:rPr>
          <w:rFonts w:ascii="宋体" w:hAnsi="宋体" w:cs="宋体"/>
          <w:szCs w:val="21"/>
        </w:rPr>
      </w:pPr>
    </w:p>
    <w:p>
      <w:pPr>
        <w:jc w:val="center"/>
        <w:rPr>
          <w:rFonts w:ascii="宋体" w:hAnsi="宋体" w:cs="宋体"/>
          <w:b/>
          <w:sz w:val="32"/>
          <w:szCs w:val="32"/>
        </w:rPr>
      </w:pPr>
      <w:r>
        <w:rPr>
          <w:rFonts w:hint="eastAsia" w:ascii="宋体" w:hAnsi="宋体" w:cs="宋体"/>
          <w:szCs w:val="21"/>
        </w:rPr>
        <w:br w:type="page"/>
      </w:r>
    </w:p>
    <w:p>
      <w:pPr>
        <w:jc w:val="center"/>
        <w:rPr>
          <w:rFonts w:ascii="宋体" w:hAnsi="宋体" w:cs="宋体"/>
          <w:b/>
          <w:sz w:val="32"/>
          <w:szCs w:val="32"/>
        </w:rPr>
      </w:pPr>
      <w:r>
        <w:rPr>
          <w:rFonts w:hint="eastAsia" w:ascii="宋体" w:hAnsi="宋体" w:cs="宋体"/>
          <w:b/>
          <w:sz w:val="32"/>
          <w:szCs w:val="32"/>
        </w:rPr>
        <w:t>供应商直接控股、管理关系信息表</w:t>
      </w:r>
    </w:p>
    <w:p>
      <w:pPr>
        <w:jc w:val="center"/>
        <w:rPr>
          <w:rFonts w:ascii="宋体" w:hAnsi="宋体" w:cs="宋体"/>
          <w:b/>
          <w:sz w:val="32"/>
          <w:szCs w:val="32"/>
        </w:rPr>
      </w:pPr>
      <w:r>
        <w:rPr>
          <w:rFonts w:hint="eastAsia" w:ascii="宋体" w:hAnsi="宋体" w:cs="宋体"/>
          <w:b/>
          <w:sz w:val="32"/>
          <w:szCs w:val="32"/>
        </w:rPr>
        <w:t>（一）供应商</w:t>
      </w:r>
      <w:r>
        <w:rPr>
          <w:rFonts w:hint="eastAsia" w:ascii="宋体" w:hAnsi="宋体" w:cs="宋体"/>
          <w:b/>
          <w:kern w:val="0"/>
          <w:sz w:val="32"/>
          <w:szCs w:val="32"/>
        </w:rPr>
        <w:t>直接控股股东信息表</w:t>
      </w:r>
    </w:p>
    <w:p>
      <w:pPr>
        <w:snapToGrid w:val="0"/>
        <w:spacing w:beforeLines="50" w:after="50"/>
        <w:jc w:val="center"/>
        <w:rPr>
          <w:rFonts w:ascii="宋体" w:hAnsi="宋体" w:cs="宋体"/>
          <w:b/>
          <w:sz w:val="24"/>
        </w:rPr>
      </w:pPr>
    </w:p>
    <w:p>
      <w:pPr>
        <w:spacing w:line="360" w:lineRule="auto"/>
        <w:contextualSpacing/>
        <w:jc w:val="center"/>
        <w:rPr>
          <w:rFonts w:ascii="宋体" w:hAnsi="宋体" w:cs="宋体"/>
          <w:b/>
          <w:sz w:val="24"/>
        </w:rPr>
      </w:pPr>
    </w:p>
    <w:tbl>
      <w:tblPr>
        <w:tblStyle w:val="32"/>
        <w:tblW w:w="9557" w:type="dxa"/>
        <w:jc w:val="center"/>
        <w:shd w:val="clear" w:color="auto" w:fill="FBFBFB"/>
        <w:tblLayout w:type="fixed"/>
        <w:tblCellMar>
          <w:top w:w="0" w:type="dxa"/>
          <w:left w:w="0" w:type="dxa"/>
          <w:bottom w:w="0" w:type="dxa"/>
          <w:right w:w="0" w:type="dxa"/>
        </w:tblCellMar>
      </w:tblPr>
      <w:tblGrid>
        <w:gridCol w:w="828"/>
        <w:gridCol w:w="2500"/>
        <w:gridCol w:w="1371"/>
        <w:gridCol w:w="4039"/>
        <w:gridCol w:w="819"/>
      </w:tblGrid>
      <w:tr>
        <w:tblPrEx>
          <w:shd w:val="clear" w:color="auto" w:fill="FBFBFB"/>
          <w:tblCellMar>
            <w:top w:w="0" w:type="dxa"/>
            <w:left w:w="0" w:type="dxa"/>
            <w:bottom w:w="0" w:type="dxa"/>
            <w:right w:w="0" w:type="dxa"/>
          </w:tblCellMar>
        </w:tblPrEx>
        <w:trPr>
          <w:trHeight w:val="532" w:hRule="atLeast"/>
          <w:tblHeader/>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序号</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直接控股股东名称</w:t>
            </w: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出资比例</w:t>
            </w: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身份证号码或者统一社会信用代码</w:t>
            </w: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备注</w:t>
            </w:r>
          </w:p>
        </w:tc>
      </w:tr>
      <w:tr>
        <w:tblPrEx>
          <w:tblCellMar>
            <w:top w:w="0" w:type="dxa"/>
            <w:left w:w="0" w:type="dxa"/>
            <w:bottom w:w="0" w:type="dxa"/>
            <w:right w:w="0" w:type="dxa"/>
          </w:tblCellMar>
        </w:tblPrEx>
        <w:trPr>
          <w:trHeight w:val="532" w:hRule="atLeast"/>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1</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trHeight w:val="532" w:hRule="atLeast"/>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2</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trHeight w:val="544" w:hRule="atLeast"/>
          <w:jc w:val="center"/>
        </w:trPr>
        <w:tc>
          <w:tcPr>
            <w:tcW w:w="82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w:t>
            </w:r>
          </w:p>
        </w:tc>
        <w:tc>
          <w:tcPr>
            <w:tcW w:w="25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37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03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1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bl>
    <w:p>
      <w:pPr>
        <w:spacing w:line="360" w:lineRule="auto"/>
        <w:contextualSpacing/>
        <w:jc w:val="left"/>
        <w:rPr>
          <w:rFonts w:ascii="楷体" w:hAnsi="楷体" w:eastAsia="楷体" w:cs="宋体"/>
          <w:b/>
          <w:sz w:val="24"/>
        </w:rPr>
      </w:pPr>
      <w:r>
        <w:rPr>
          <w:rFonts w:hint="eastAsia" w:ascii="楷体" w:hAnsi="楷体" w:eastAsia="楷体" w:cs="宋体"/>
          <w:b/>
          <w:sz w:val="24"/>
        </w:rPr>
        <w:t>注：</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2.本表所指的控股关系仅限于直接控股关系，不包括间接的控股关系。公司实际控制人与公司之间的关系不属于本表所指的直接控股关系。</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3.供应商不存在直接控股股东的，则填“无”。</w:t>
      </w:r>
    </w:p>
    <w:p>
      <w:pPr>
        <w:snapToGrid w:val="0"/>
        <w:spacing w:line="360" w:lineRule="auto"/>
        <w:jc w:val="left"/>
        <w:rPr>
          <w:rFonts w:ascii="宋体" w:hAnsi="宋体" w:cs="宋体"/>
          <w:sz w:val="24"/>
        </w:rPr>
      </w:pPr>
    </w:p>
    <w:p>
      <w:pPr>
        <w:snapToGrid w:val="0"/>
        <w:spacing w:line="360" w:lineRule="auto"/>
        <w:jc w:val="left"/>
        <w:rPr>
          <w:rFonts w:ascii="宋体" w:hAnsi="宋体" w:cs="宋体"/>
          <w:sz w:val="24"/>
        </w:rPr>
      </w:pPr>
    </w:p>
    <w:p>
      <w:pPr>
        <w:snapToGrid w:val="0"/>
        <w:spacing w:line="360" w:lineRule="auto"/>
        <w:jc w:val="left"/>
        <w:rPr>
          <w:rFonts w:ascii="宋体" w:hAnsi="宋体" w:cs="宋体"/>
          <w:sz w:val="24"/>
        </w:rPr>
      </w:pPr>
    </w:p>
    <w:p>
      <w:pPr>
        <w:autoSpaceDE w:val="0"/>
        <w:autoSpaceDN w:val="0"/>
        <w:spacing w:line="360" w:lineRule="auto"/>
        <w:ind w:left="4365" w:leftChars="1850" w:hanging="480" w:hangingChars="2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120" w:firstLineChars="2550"/>
        <w:rPr>
          <w:rFonts w:ascii="仿宋_GB2312" w:hAnsi="仿宋" w:eastAsia="仿宋_GB2312" w:cs="仿宋_GB2312"/>
          <w:b/>
          <w:bCs/>
          <w:sz w:val="24"/>
        </w:rPr>
      </w:pPr>
      <w:r>
        <w:rPr>
          <w:rFonts w:hint="eastAsia" w:ascii="仿宋_GB2312" w:hAnsi="仿宋" w:eastAsia="仿宋_GB2312" w:cs="仿宋_GB2312"/>
          <w:kern w:val="0"/>
          <w:sz w:val="24"/>
          <w:lang w:val="zh-CN"/>
        </w:rPr>
        <w:t>日期：  年  月   日</w:t>
      </w:r>
    </w:p>
    <w:p>
      <w:pPr>
        <w:snapToGrid w:val="0"/>
        <w:jc w:val="center"/>
        <w:rPr>
          <w:rFonts w:ascii="宋体" w:hAnsi="宋体" w:cs="宋体"/>
          <w:b/>
          <w:sz w:val="28"/>
          <w:szCs w:val="28"/>
        </w:rPr>
      </w:pPr>
      <w:r>
        <w:rPr>
          <w:rFonts w:hint="eastAsia" w:ascii="宋体" w:hAnsi="宋体" w:cs="宋体"/>
          <w:b/>
          <w:sz w:val="28"/>
          <w:szCs w:val="28"/>
        </w:rPr>
        <w:br w:type="page"/>
      </w:r>
    </w:p>
    <w:p>
      <w:pPr>
        <w:jc w:val="center"/>
        <w:rPr>
          <w:rFonts w:ascii="宋体" w:hAnsi="宋体" w:cs="宋体"/>
          <w:b/>
          <w:sz w:val="32"/>
          <w:szCs w:val="32"/>
        </w:rPr>
      </w:pPr>
      <w:r>
        <w:rPr>
          <w:rFonts w:hint="eastAsia" w:ascii="宋体" w:hAnsi="宋体" w:cs="宋体"/>
          <w:b/>
          <w:sz w:val="32"/>
          <w:szCs w:val="32"/>
        </w:rPr>
        <w:t>（二）供应商直接管理关系信息表</w:t>
      </w:r>
    </w:p>
    <w:p>
      <w:pPr>
        <w:snapToGrid w:val="0"/>
        <w:spacing w:line="360" w:lineRule="auto"/>
        <w:jc w:val="center"/>
        <w:rPr>
          <w:rFonts w:ascii="宋体" w:hAnsi="宋体" w:cs="宋体"/>
          <w:b/>
          <w:sz w:val="24"/>
        </w:rPr>
      </w:pPr>
    </w:p>
    <w:tbl>
      <w:tblPr>
        <w:tblStyle w:val="32"/>
        <w:tblW w:w="0" w:type="auto"/>
        <w:jc w:val="center"/>
        <w:shd w:val="clear" w:color="auto" w:fill="FBFBFB"/>
        <w:tblLayout w:type="fixed"/>
        <w:tblCellMar>
          <w:top w:w="0" w:type="dxa"/>
          <w:left w:w="0" w:type="dxa"/>
          <w:bottom w:w="0" w:type="dxa"/>
          <w:right w:w="0" w:type="dxa"/>
        </w:tblCellMar>
      </w:tblPr>
      <w:tblGrid>
        <w:gridCol w:w="808"/>
        <w:gridCol w:w="3600"/>
        <w:gridCol w:w="3555"/>
        <w:gridCol w:w="1689"/>
      </w:tblGrid>
      <w:tr>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备注</w:t>
            </w: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bl>
    <w:p>
      <w:pPr>
        <w:spacing w:line="360" w:lineRule="auto"/>
        <w:contextualSpacing/>
        <w:jc w:val="left"/>
        <w:rPr>
          <w:rFonts w:ascii="楷体" w:hAnsi="楷体" w:eastAsia="楷体" w:cs="宋体"/>
          <w:b/>
          <w:sz w:val="24"/>
        </w:rPr>
      </w:pPr>
      <w:r>
        <w:rPr>
          <w:rFonts w:hint="eastAsia" w:ascii="楷体" w:hAnsi="楷体" w:eastAsia="楷体" w:cs="宋体"/>
          <w:b/>
          <w:sz w:val="24"/>
        </w:rPr>
        <w:t>注：</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1.管理关系：是指不具有出资持股关系的其他单位之间存在的管理与被管理关系，如一些上下级关系的事业单位和团体组织。</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2.</w:t>
      </w:r>
      <w:r>
        <w:rPr>
          <w:rFonts w:hint="eastAsia" w:ascii="楷体" w:hAnsi="楷体" w:eastAsia="楷体" w:cs="宋体"/>
          <w:spacing w:val="-6"/>
          <w:sz w:val="24"/>
        </w:rPr>
        <w:t>本表所指的管理关系仅限于直接管理关系，不包括间接的管理关系。</w:t>
      </w:r>
    </w:p>
    <w:p>
      <w:pPr>
        <w:spacing w:line="360" w:lineRule="auto"/>
        <w:ind w:firstLine="480" w:firstLineChars="200"/>
        <w:contextualSpacing/>
        <w:jc w:val="left"/>
        <w:rPr>
          <w:rFonts w:ascii="楷体" w:hAnsi="楷体" w:eastAsia="楷体" w:cs="宋体"/>
          <w:sz w:val="24"/>
        </w:rPr>
      </w:pPr>
      <w:r>
        <w:rPr>
          <w:rFonts w:ascii="楷体" w:hAnsi="楷体" w:eastAsia="楷体" w:cs="宋体"/>
          <w:sz w:val="24"/>
        </w:rPr>
        <w:t>3.供应商不存在直接管理关系的，则填“无”。</w:t>
      </w: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pacing w:line="360" w:lineRule="auto"/>
        <w:contextualSpacing/>
        <w:jc w:val="left"/>
        <w:rPr>
          <w:rFonts w:ascii="宋体" w:hAnsi="宋体" w:cs="宋体"/>
          <w:sz w:val="24"/>
        </w:rPr>
      </w:pPr>
    </w:p>
    <w:p>
      <w:pPr>
        <w:snapToGrid w:val="0"/>
        <w:spacing w:line="360" w:lineRule="auto"/>
        <w:jc w:val="left"/>
        <w:rPr>
          <w:rFonts w:ascii="宋体" w:hAnsi="宋体" w:cs="宋体"/>
          <w:sz w:val="24"/>
        </w:rPr>
      </w:pPr>
    </w:p>
    <w:p>
      <w:pPr>
        <w:autoSpaceDE w:val="0"/>
        <w:autoSpaceDN w:val="0"/>
        <w:spacing w:line="360" w:lineRule="auto"/>
        <w:ind w:left="4365" w:leftChars="1850" w:hanging="480" w:hangingChars="2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120" w:firstLineChars="2550"/>
        <w:rPr>
          <w:rFonts w:ascii="仿宋_GB2312" w:hAnsi="仿宋" w:eastAsia="仿宋_GB2312" w:cs="仿宋_GB2312"/>
          <w:b/>
          <w:bCs/>
          <w:sz w:val="24"/>
        </w:rPr>
      </w:pPr>
      <w:r>
        <w:rPr>
          <w:rFonts w:hint="eastAsia" w:ascii="仿宋_GB2312" w:hAnsi="仿宋" w:eastAsia="仿宋_GB2312" w:cs="仿宋_GB2312"/>
          <w:kern w:val="0"/>
          <w:sz w:val="24"/>
          <w:lang w:val="zh-CN"/>
        </w:rPr>
        <w:t>日期：  年  月   日</w:t>
      </w:r>
    </w:p>
    <w:p>
      <w:pPr>
        <w:jc w:val="center"/>
        <w:rPr>
          <w:rFonts w:ascii="宋体" w:hAnsi="宋体" w:cs="宋体"/>
          <w:b/>
          <w:sz w:val="32"/>
          <w:szCs w:val="32"/>
        </w:rPr>
      </w:pPr>
      <w:r>
        <w:rPr>
          <w:rFonts w:hint="eastAsia" w:ascii="宋体" w:hAnsi="宋体" w:cs="宋体"/>
          <w:sz w:val="28"/>
          <w:szCs w:val="28"/>
        </w:rPr>
        <w:br w:type="page"/>
      </w:r>
      <w:r>
        <w:rPr>
          <w:rFonts w:hint="eastAsia" w:ascii="宋体" w:hAnsi="宋体" w:cs="宋体"/>
          <w:b/>
          <w:sz w:val="32"/>
          <w:szCs w:val="32"/>
        </w:rPr>
        <w:t>竞标声明函</w:t>
      </w:r>
    </w:p>
    <w:p>
      <w:pPr>
        <w:spacing w:line="320" w:lineRule="exact"/>
        <w:jc w:val="center"/>
        <w:rPr>
          <w:rFonts w:ascii="宋体" w:hAnsi="宋体" w:cs="宋体"/>
          <w:sz w:val="24"/>
          <w:szCs w:val="20"/>
        </w:rPr>
      </w:pPr>
    </w:p>
    <w:p>
      <w:pPr>
        <w:spacing w:line="360" w:lineRule="auto"/>
        <w:contextualSpacing/>
        <w:rPr>
          <w:rFonts w:ascii="宋体" w:hAnsi="宋体" w:cs="宋体"/>
          <w:sz w:val="24"/>
        </w:rPr>
      </w:pPr>
      <w:r>
        <w:rPr>
          <w:rFonts w:hint="eastAsia" w:ascii="宋体" w:hAnsi="宋体" w:cs="宋体"/>
          <w:sz w:val="24"/>
        </w:rPr>
        <w:t>致</w:t>
      </w:r>
      <w:r>
        <w:rPr>
          <w:rFonts w:hint="eastAsia" w:ascii="宋体" w:hAnsi="宋体" w:cs="宋体"/>
          <w:sz w:val="24"/>
          <w:u w:val="single"/>
        </w:rPr>
        <w:t>（采购人名称）</w:t>
      </w:r>
      <w:r>
        <w:rPr>
          <w:rFonts w:hint="eastAsia" w:ascii="宋体" w:hAnsi="宋体" w:cs="宋体"/>
          <w:sz w:val="24"/>
        </w:rPr>
        <w:t>：</w:t>
      </w:r>
    </w:p>
    <w:p>
      <w:pPr>
        <w:spacing w:line="360" w:lineRule="auto"/>
        <w:ind w:firstLine="480" w:firstLineChars="200"/>
        <w:contextualSpacing/>
        <w:rPr>
          <w:rFonts w:ascii="宋体" w:hAnsi="宋体" w:cs="宋体"/>
          <w:sz w:val="24"/>
        </w:rPr>
      </w:pPr>
      <w:r>
        <w:rPr>
          <w:rFonts w:hint="eastAsia" w:ascii="宋体" w:hAnsi="宋体" w:cs="宋体"/>
          <w:sz w:val="24"/>
          <w:u w:val="single"/>
        </w:rPr>
        <w:t>（供应商名称）</w:t>
      </w:r>
      <w:r>
        <w:rPr>
          <w:rFonts w:hint="eastAsia" w:ascii="宋体" w:hAnsi="宋体" w:cs="宋体"/>
          <w:sz w:val="24"/>
        </w:rPr>
        <w:t>系中华人民共和国合法供应商，经营地址</w:t>
      </w:r>
      <w:r>
        <w:rPr>
          <w:rFonts w:hint="eastAsia" w:ascii="宋体" w:hAnsi="宋体" w:cs="宋体"/>
          <w:sz w:val="24"/>
          <w:u w:val="single"/>
          <w:lang w:val="en-US" w:eastAsia="zh-CN"/>
        </w:rPr>
        <w:t xml:space="preserve">        </w:t>
      </w:r>
      <w:r>
        <w:rPr>
          <w:rFonts w:hint="eastAsia" w:ascii="宋体" w:hAnsi="宋体" w:cs="宋体"/>
          <w:sz w:val="24"/>
        </w:rPr>
        <w:t>。</w:t>
      </w:r>
    </w:p>
    <w:p>
      <w:pPr>
        <w:spacing w:line="360" w:lineRule="auto"/>
        <w:ind w:firstLine="480" w:firstLineChars="200"/>
        <w:contextualSpacing/>
        <w:rPr>
          <w:rFonts w:ascii="宋体" w:hAnsi="宋体" w:cs="宋体"/>
          <w:sz w:val="24"/>
        </w:rPr>
      </w:pPr>
      <w:r>
        <w:rPr>
          <w:rFonts w:hint="eastAsia" w:ascii="宋体" w:hAnsi="宋体" w:cs="宋体"/>
          <w:sz w:val="24"/>
        </w:rPr>
        <w:t>我方愿意参加贵方组织的</w:t>
      </w:r>
      <w:r>
        <w:rPr>
          <w:rFonts w:hint="eastAsia" w:ascii="宋体" w:hAnsi="宋体" w:cs="宋体"/>
          <w:sz w:val="24"/>
          <w:u w:val="single"/>
        </w:rPr>
        <w:t>（项目名称）</w:t>
      </w:r>
      <w:r>
        <w:rPr>
          <w:rFonts w:hint="eastAsia" w:ascii="宋体" w:hAnsi="宋体" w:cs="宋体"/>
          <w:sz w:val="24"/>
        </w:rPr>
        <w:t>项目的竞争性磋商，为便于贵方公正、择优地确定成交供应商及其参与竞争性磋商提供的产品和服务，我方就本次参与竞争性磋商有关事项郑重声明如下：</w:t>
      </w:r>
    </w:p>
    <w:p>
      <w:pPr>
        <w:spacing w:line="360" w:lineRule="auto"/>
        <w:ind w:firstLine="480" w:firstLineChars="200"/>
        <w:contextualSpacing/>
        <w:rPr>
          <w:rFonts w:ascii="宋体" w:hAnsi="宋体" w:cs="宋体"/>
          <w:sz w:val="24"/>
        </w:rPr>
      </w:pPr>
      <w:r>
        <w:rPr>
          <w:rFonts w:hint="eastAsia" w:ascii="宋体" w:hAnsi="宋体" w:cs="宋体"/>
          <w:sz w:val="24"/>
        </w:rPr>
        <w:t>1.我方向贵方提交的所有响应文件、资料都是准确的和真实的。</w:t>
      </w:r>
    </w:p>
    <w:p>
      <w:pPr>
        <w:spacing w:line="360" w:lineRule="auto"/>
        <w:ind w:firstLine="480" w:firstLineChars="200"/>
        <w:contextualSpacing/>
        <w:rPr>
          <w:rFonts w:ascii="宋体" w:hAnsi="宋体" w:cs="宋体"/>
          <w:sz w:val="24"/>
        </w:rPr>
      </w:pPr>
      <w:r>
        <w:rPr>
          <w:rFonts w:hint="eastAsia" w:ascii="宋体" w:hAnsi="宋体" w:cs="宋体"/>
          <w:sz w:val="24"/>
        </w:rPr>
        <w:t>2.我方不是为本次采购项目提供整体设计、规范编制或者项目管理、监理、检测等服务的供应商。</w:t>
      </w:r>
    </w:p>
    <w:p>
      <w:pPr>
        <w:spacing w:line="360" w:lineRule="auto"/>
        <w:ind w:firstLine="480" w:firstLineChars="200"/>
        <w:contextualSpacing/>
        <w:rPr>
          <w:rFonts w:ascii="宋体" w:hAnsi="宋体" w:cs="宋体"/>
          <w:sz w:val="24"/>
        </w:rPr>
      </w:pPr>
      <w:r>
        <w:rPr>
          <w:rFonts w:hint="eastAsia" w:ascii="宋体" w:hAnsi="宋体" w:cs="宋体"/>
          <w:sz w:val="24"/>
        </w:rPr>
        <w:t>3.在此，我方宣布同意如下：</w:t>
      </w:r>
    </w:p>
    <w:p>
      <w:pPr>
        <w:spacing w:line="360" w:lineRule="auto"/>
        <w:ind w:firstLine="480" w:firstLineChars="200"/>
        <w:contextualSpacing/>
        <w:rPr>
          <w:rFonts w:ascii="宋体" w:hAnsi="宋体" w:cs="宋体"/>
          <w:sz w:val="24"/>
        </w:rPr>
      </w:pPr>
      <w:r>
        <w:rPr>
          <w:rFonts w:hint="eastAsia" w:ascii="宋体" w:hAnsi="宋体" w:cs="宋体"/>
          <w:sz w:val="24"/>
        </w:rPr>
        <w:t>（1）将按磋商文件的约定履行合同责任和义务；</w:t>
      </w:r>
    </w:p>
    <w:p>
      <w:pPr>
        <w:spacing w:line="360" w:lineRule="auto"/>
        <w:ind w:firstLine="480" w:firstLineChars="200"/>
        <w:contextualSpacing/>
        <w:rPr>
          <w:rFonts w:ascii="宋体" w:hAnsi="宋体" w:cs="宋体"/>
          <w:sz w:val="24"/>
        </w:rPr>
      </w:pPr>
      <w:r>
        <w:rPr>
          <w:rFonts w:hint="eastAsia" w:ascii="宋体" w:hAnsi="宋体" w:cs="宋体"/>
          <w:sz w:val="24"/>
        </w:rPr>
        <w:t>（2）已详细审查全部磋商文件，包括澄清或者更正公告（如有）；</w:t>
      </w:r>
    </w:p>
    <w:p>
      <w:pPr>
        <w:spacing w:line="360" w:lineRule="auto"/>
        <w:ind w:firstLine="480" w:firstLineChars="200"/>
        <w:contextualSpacing/>
        <w:rPr>
          <w:rFonts w:ascii="宋体" w:hAnsi="宋体" w:cs="宋体"/>
          <w:sz w:val="24"/>
        </w:rPr>
      </w:pPr>
      <w:r>
        <w:rPr>
          <w:rFonts w:hint="eastAsia" w:ascii="宋体" w:hAnsi="宋体" w:cs="宋体"/>
          <w:sz w:val="24"/>
        </w:rPr>
        <w:t>（3）同意提供按照贵方可能要求的与磋商有关的一切数据或者资料；</w:t>
      </w:r>
    </w:p>
    <w:p>
      <w:pPr>
        <w:spacing w:line="360" w:lineRule="auto"/>
        <w:ind w:firstLine="480" w:firstLineChars="200"/>
        <w:contextualSpacing/>
        <w:rPr>
          <w:rFonts w:ascii="宋体" w:hAnsi="宋体" w:cs="宋体"/>
          <w:sz w:val="24"/>
        </w:rPr>
      </w:pPr>
      <w:r>
        <w:rPr>
          <w:rFonts w:hint="eastAsia" w:ascii="宋体" w:hAnsi="宋体" w:cs="宋体"/>
          <w:sz w:val="24"/>
        </w:rPr>
        <w:t>（4）响应磋商文件规定的竞争性磋商有效期。</w:t>
      </w:r>
    </w:p>
    <w:p>
      <w:pPr>
        <w:spacing w:line="360" w:lineRule="auto"/>
        <w:ind w:firstLine="480" w:firstLineChars="200"/>
        <w:contextualSpacing/>
        <w:rPr>
          <w:rFonts w:ascii="宋体" w:hAnsi="宋体" w:cs="宋体"/>
          <w:sz w:val="24"/>
        </w:rPr>
      </w:pPr>
      <w:r>
        <w:rPr>
          <w:rFonts w:hint="eastAsia" w:ascii="宋体" w:hAnsi="宋体" w:cs="宋体"/>
          <w:sz w:val="24"/>
        </w:rPr>
        <w:t>4.我方承诺符合《中华人民共和国政府采购法》第二十二条规定：</w:t>
      </w:r>
    </w:p>
    <w:p>
      <w:pPr>
        <w:spacing w:line="360" w:lineRule="auto"/>
        <w:ind w:firstLine="480" w:firstLineChars="200"/>
        <w:contextualSpacing/>
        <w:rPr>
          <w:rFonts w:ascii="宋体" w:hAnsi="宋体" w:cs="宋体"/>
          <w:sz w:val="24"/>
        </w:rPr>
      </w:pPr>
      <w:r>
        <w:rPr>
          <w:rFonts w:hint="eastAsia" w:ascii="宋体" w:hAnsi="宋体" w:cs="宋体"/>
          <w:sz w:val="24"/>
        </w:rPr>
        <w:t>（1）具有独立承担民事责任的能力；</w:t>
      </w:r>
    </w:p>
    <w:p>
      <w:pPr>
        <w:spacing w:line="360" w:lineRule="auto"/>
        <w:ind w:firstLine="480" w:firstLineChars="200"/>
        <w:contextualSpacing/>
        <w:rPr>
          <w:rFonts w:ascii="宋体" w:hAnsi="宋体" w:cs="宋体"/>
          <w:sz w:val="24"/>
        </w:rPr>
      </w:pPr>
      <w:r>
        <w:rPr>
          <w:rFonts w:hint="eastAsia" w:ascii="宋体" w:hAnsi="宋体" w:cs="宋体"/>
          <w:sz w:val="24"/>
        </w:rPr>
        <w:t>（2）具有良好的商业信誉和健全的财务会计制度；</w:t>
      </w:r>
    </w:p>
    <w:p>
      <w:pPr>
        <w:spacing w:line="360" w:lineRule="auto"/>
        <w:ind w:firstLine="480" w:firstLineChars="200"/>
        <w:contextualSpacing/>
        <w:rPr>
          <w:rFonts w:ascii="宋体" w:hAnsi="宋体" w:cs="宋体"/>
          <w:sz w:val="24"/>
        </w:rPr>
      </w:pPr>
      <w:r>
        <w:rPr>
          <w:rFonts w:hint="eastAsia" w:ascii="宋体" w:hAnsi="宋体" w:cs="宋体"/>
          <w:sz w:val="24"/>
        </w:rPr>
        <w:t>（3）具有履行合同所必需的设备和专业技术能力；</w:t>
      </w:r>
    </w:p>
    <w:p>
      <w:pPr>
        <w:spacing w:line="360" w:lineRule="auto"/>
        <w:ind w:firstLine="480" w:firstLineChars="200"/>
        <w:contextualSpacing/>
        <w:rPr>
          <w:rFonts w:ascii="宋体" w:hAnsi="宋体" w:cs="宋体"/>
          <w:sz w:val="24"/>
        </w:rPr>
      </w:pPr>
      <w:r>
        <w:rPr>
          <w:rFonts w:hint="eastAsia" w:ascii="宋体" w:hAnsi="宋体" w:cs="宋体"/>
          <w:sz w:val="24"/>
        </w:rPr>
        <w:t>（4）有依法缴纳税收和社会保障资金的良好记录；</w:t>
      </w:r>
    </w:p>
    <w:p>
      <w:pPr>
        <w:spacing w:line="360" w:lineRule="auto"/>
        <w:ind w:firstLine="480" w:firstLineChars="200"/>
        <w:contextualSpacing/>
        <w:rPr>
          <w:rFonts w:ascii="宋体" w:hAnsi="宋体" w:cs="宋体"/>
          <w:sz w:val="24"/>
        </w:rPr>
      </w:pPr>
      <w:r>
        <w:rPr>
          <w:rFonts w:hint="eastAsia" w:ascii="宋体" w:hAnsi="宋体" w:cs="宋体"/>
          <w:sz w:val="24"/>
        </w:rPr>
        <w:t>（5）参加采购活动前三年内，在经营活动中没有重大违法记录；</w:t>
      </w:r>
    </w:p>
    <w:p>
      <w:pPr>
        <w:spacing w:line="360" w:lineRule="auto"/>
        <w:ind w:firstLine="480" w:firstLineChars="200"/>
        <w:contextualSpacing/>
        <w:rPr>
          <w:rFonts w:ascii="宋体" w:hAnsi="宋体" w:cs="宋体"/>
          <w:sz w:val="24"/>
        </w:rPr>
      </w:pPr>
      <w:r>
        <w:rPr>
          <w:rFonts w:hint="eastAsia" w:ascii="宋体" w:hAnsi="宋体" w:cs="宋体"/>
          <w:sz w:val="24"/>
        </w:rPr>
        <w:t>（6）法律、行政法规规定的其他条件。</w:t>
      </w:r>
    </w:p>
    <w:p>
      <w:pPr>
        <w:spacing w:line="360" w:lineRule="auto"/>
        <w:ind w:firstLine="480" w:firstLineChars="200"/>
        <w:contextualSpacing/>
        <w:rPr>
          <w:rFonts w:ascii="宋体" w:hAnsi="宋体" w:cs="宋体"/>
          <w:sz w:val="24"/>
        </w:rPr>
      </w:pPr>
      <w:r>
        <w:rPr>
          <w:rFonts w:hint="eastAsia" w:ascii="宋体" w:hAnsi="宋体" w:cs="宋体"/>
          <w:sz w:val="24"/>
        </w:rPr>
        <w:t>5.我方在此声明，我方在参加本项目的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pPr>
        <w:spacing w:line="360" w:lineRule="auto"/>
        <w:ind w:firstLine="480" w:firstLineChars="200"/>
        <w:contextualSpacing/>
        <w:rPr>
          <w:rFonts w:ascii="宋体" w:hAnsi="宋体" w:cs="宋体"/>
          <w:sz w:val="24"/>
        </w:rPr>
      </w:pPr>
      <w:r>
        <w:rPr>
          <w:rFonts w:hint="eastAsia" w:ascii="宋体" w:hAnsi="宋体" w:cs="宋体"/>
          <w:sz w:val="24"/>
        </w:rPr>
        <w:t>6.我方就对本次响应文件进行注明如下：（两项内容中必须选择一项）</w:t>
      </w:r>
    </w:p>
    <w:p>
      <w:pPr>
        <w:spacing w:line="360" w:lineRule="auto"/>
        <w:ind w:firstLine="480" w:firstLineChars="200"/>
        <w:contextualSpacing/>
        <w:rPr>
          <w:rFonts w:ascii="宋体" w:hAnsi="宋体" w:cs="宋体"/>
          <w:sz w:val="24"/>
        </w:rPr>
      </w:pPr>
      <w:r>
        <w:rPr>
          <w:rFonts w:hint="eastAsia" w:ascii="宋体" w:hAnsi="宋体" w:cs="宋体"/>
          <w:sz w:val="24"/>
        </w:rPr>
        <w:t>□我方本次响应文件</w:t>
      </w:r>
      <w:r>
        <w:rPr>
          <w:rFonts w:hint="eastAsia" w:ascii="宋体" w:hAnsi="宋体" w:cs="宋体"/>
          <w:kern w:val="0"/>
          <w:sz w:val="24"/>
        </w:rPr>
        <w:t>内容中</w:t>
      </w:r>
      <w:r>
        <w:rPr>
          <w:rFonts w:hint="eastAsia" w:ascii="宋体" w:hAnsi="宋体" w:cs="宋体"/>
          <w:sz w:val="24"/>
        </w:rPr>
        <w:t>未</w:t>
      </w:r>
      <w:r>
        <w:rPr>
          <w:rFonts w:hint="eastAsia" w:ascii="宋体" w:hAnsi="宋体" w:cs="宋体"/>
          <w:kern w:val="0"/>
          <w:sz w:val="24"/>
        </w:rPr>
        <w:t>涉及商业秘密；</w:t>
      </w:r>
    </w:p>
    <w:p>
      <w:pPr>
        <w:spacing w:line="360" w:lineRule="auto"/>
        <w:ind w:firstLine="480" w:firstLineChars="200"/>
        <w:contextualSpacing/>
        <w:rPr>
          <w:rFonts w:ascii="宋体" w:hAnsi="宋体" w:cs="宋体"/>
          <w:sz w:val="24"/>
        </w:rPr>
      </w:pPr>
      <w:r>
        <w:rPr>
          <w:rFonts w:hint="eastAsia" w:ascii="宋体" w:hAnsi="宋体" w:cs="宋体"/>
          <w:sz w:val="24"/>
        </w:rPr>
        <w:t>□我方本次响应文件</w:t>
      </w:r>
      <w:r>
        <w:rPr>
          <w:rFonts w:hint="eastAsia" w:ascii="宋体" w:hAnsi="宋体" w:cs="宋体"/>
          <w:kern w:val="0"/>
          <w:sz w:val="24"/>
        </w:rPr>
        <w:t>涉及商业秘密的内容有：</w:t>
      </w:r>
      <w:r>
        <w:rPr>
          <w:rFonts w:hint="eastAsia" w:ascii="宋体" w:hAnsi="宋体" w:cs="宋体"/>
          <w:kern w:val="0"/>
          <w:sz w:val="24"/>
          <w:u w:val="single"/>
          <w:lang w:val="en-US" w:eastAsia="zh-CN"/>
        </w:rPr>
        <w:t xml:space="preserve">     </w:t>
      </w:r>
      <w:r>
        <w:rPr>
          <w:rFonts w:hint="eastAsia" w:ascii="宋体" w:hAnsi="宋体" w:cs="宋体"/>
          <w:kern w:val="0"/>
          <w:sz w:val="24"/>
        </w:rPr>
        <w:t>；</w:t>
      </w:r>
    </w:p>
    <w:p>
      <w:pPr>
        <w:pStyle w:val="20"/>
        <w:spacing w:line="360" w:lineRule="auto"/>
        <w:ind w:firstLine="480" w:firstLineChars="200"/>
        <w:contextualSpacing/>
        <w:rPr>
          <w:rFonts w:hAnsi="宋体" w:cs="宋体"/>
          <w:sz w:val="24"/>
          <w:szCs w:val="24"/>
          <w:u w:val="single"/>
        </w:rPr>
      </w:pPr>
      <w:r>
        <w:rPr>
          <w:rFonts w:hint="eastAsia" w:hAnsi="宋体" w:cs="宋体"/>
          <w:sz w:val="24"/>
          <w:szCs w:val="24"/>
        </w:rPr>
        <w:t>7.与本磋商有关的一切正式往来信函请寄：</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r>
        <w:rPr>
          <w:rFonts w:hint="eastAsia" w:ascii="宋体" w:hAnsi="宋体" w:cs="宋体"/>
          <w:kern w:val="0"/>
          <w:sz w:val="24"/>
          <w:u w:val="single"/>
          <w:lang w:val="en-US" w:eastAsia="zh-CN"/>
        </w:rPr>
        <w:t xml:space="preserve"> </w:t>
      </w:r>
      <w:r>
        <w:rPr>
          <w:rFonts w:hint="eastAsia" w:hAnsi="宋体" w:cs="宋体"/>
          <w:sz w:val="24"/>
          <w:szCs w:val="24"/>
        </w:rPr>
        <w:t>邮政编号：</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r>
        <w:rPr>
          <w:rFonts w:hint="eastAsia" w:ascii="宋体" w:hAnsi="宋体" w:cs="宋体"/>
          <w:kern w:val="0"/>
          <w:sz w:val="24"/>
          <w:u w:val="single"/>
          <w:lang w:val="en-US" w:eastAsia="zh-CN"/>
        </w:rPr>
        <w:t xml:space="preserve"> </w:t>
      </w:r>
    </w:p>
    <w:p>
      <w:pPr>
        <w:pStyle w:val="20"/>
        <w:spacing w:line="360" w:lineRule="auto"/>
        <w:ind w:firstLine="480" w:firstLineChars="200"/>
        <w:contextualSpacing/>
        <w:rPr>
          <w:rFonts w:hint="default" w:hAnsi="宋体" w:cs="宋体"/>
          <w:sz w:val="24"/>
          <w:szCs w:val="24"/>
          <w:lang w:val="en-US"/>
        </w:rPr>
      </w:pPr>
      <w:r>
        <w:rPr>
          <w:rFonts w:hint="eastAsia" w:hAnsi="宋体" w:cs="宋体"/>
          <w:sz w:val="24"/>
          <w:szCs w:val="24"/>
        </w:rPr>
        <w:t>电话/传真：</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r>
        <w:rPr>
          <w:rFonts w:hint="eastAsia" w:ascii="宋体" w:hAnsi="宋体" w:cs="宋体"/>
          <w:kern w:val="0"/>
          <w:sz w:val="24"/>
          <w:u w:val="single"/>
          <w:lang w:val="en-US" w:eastAsia="zh-CN"/>
        </w:rPr>
        <w:t xml:space="preserve"> </w:t>
      </w:r>
      <w:r>
        <w:rPr>
          <w:rFonts w:hint="eastAsia" w:hAnsi="宋体" w:cs="宋体"/>
          <w:sz w:val="24"/>
          <w:szCs w:val="24"/>
        </w:rPr>
        <w:t>电子函件：</w:t>
      </w:r>
      <w:r>
        <w:rPr>
          <w:rFonts w:hint="eastAsia" w:ascii="宋体" w:hAnsi="宋体" w:cs="宋体"/>
          <w:kern w:val="0"/>
          <w:sz w:val="24"/>
          <w:u w:val="single"/>
          <w:lang w:val="en-US" w:eastAsia="zh-CN"/>
        </w:rPr>
        <w:t xml:space="preserve">  </w:t>
      </w:r>
      <w:r>
        <w:rPr>
          <w:rFonts w:hint="eastAsia" w:hAnsi="宋体" w:cs="宋体"/>
          <w:kern w:val="0"/>
          <w:sz w:val="24"/>
          <w:u w:val="single"/>
          <w:lang w:val="en-US" w:eastAsia="zh-CN"/>
        </w:rPr>
        <w:t xml:space="preserve">     </w:t>
      </w:r>
    </w:p>
    <w:p>
      <w:pPr>
        <w:pStyle w:val="19"/>
        <w:tabs>
          <w:tab w:val="left" w:pos="939"/>
        </w:tabs>
        <w:spacing w:line="360" w:lineRule="auto"/>
        <w:ind w:left="0" w:leftChars="0" w:firstLine="360" w:firstLineChars="150"/>
        <w:rPr>
          <w:rFonts w:hint="default" w:ascii="宋体" w:hAnsi="宋体" w:cs="宋体"/>
          <w:sz w:val="24"/>
          <w:lang w:val="en-US"/>
        </w:rPr>
      </w:pPr>
      <w:r>
        <w:rPr>
          <w:rFonts w:hint="eastAsia" w:ascii="宋体" w:hAnsi="宋体" w:cs="宋体"/>
          <w:sz w:val="24"/>
        </w:rPr>
        <w:t>开户银行：</w:t>
      </w:r>
      <w:r>
        <w:rPr>
          <w:rFonts w:hint="eastAsia" w:ascii="宋体" w:hAnsi="宋体" w:cs="宋体"/>
          <w:kern w:val="0"/>
          <w:sz w:val="24"/>
          <w:u w:val="single"/>
          <w:lang w:val="en-US" w:eastAsia="zh-CN"/>
        </w:rPr>
        <w:t xml:space="preserve">           </w:t>
      </w:r>
      <w:r>
        <w:rPr>
          <w:rFonts w:hint="eastAsia" w:ascii="宋体" w:hAnsi="宋体" w:cs="宋体"/>
          <w:sz w:val="24"/>
        </w:rPr>
        <w:t>帐号：</w:t>
      </w:r>
      <w:r>
        <w:rPr>
          <w:rFonts w:hint="eastAsia" w:ascii="宋体" w:hAnsi="宋体" w:cs="宋体"/>
          <w:kern w:val="0"/>
          <w:sz w:val="24"/>
          <w:u w:val="single"/>
          <w:lang w:val="en-US" w:eastAsia="zh-CN"/>
        </w:rPr>
        <w:t xml:space="preserve">          </w:t>
      </w:r>
    </w:p>
    <w:p>
      <w:pPr>
        <w:pStyle w:val="19"/>
        <w:tabs>
          <w:tab w:val="left" w:pos="939"/>
        </w:tabs>
        <w:spacing w:line="360" w:lineRule="auto"/>
        <w:ind w:left="0" w:leftChars="0" w:firstLine="480" w:firstLineChars="200"/>
        <w:rPr>
          <w:rFonts w:ascii="宋体" w:hAnsi="宋体" w:cs="宋体"/>
          <w:sz w:val="24"/>
        </w:rPr>
      </w:pPr>
      <w:r>
        <w:rPr>
          <w:rFonts w:hint="eastAsia" w:ascii="宋体" w:hAnsi="宋体" w:cs="宋体"/>
          <w:sz w:val="24"/>
        </w:rPr>
        <w:t>8.以上事项如有虚假或者隐瞒，我方愿意承担一切后果，并不再寻求任何旨在减轻或者免除法律责任的辩解。</w:t>
      </w:r>
    </w:p>
    <w:p>
      <w:pPr>
        <w:pStyle w:val="19"/>
        <w:tabs>
          <w:tab w:val="left" w:pos="939"/>
        </w:tabs>
        <w:spacing w:line="360" w:lineRule="auto"/>
        <w:ind w:left="0" w:leftChars="0" w:firstLine="360" w:firstLineChars="150"/>
        <w:rPr>
          <w:rFonts w:ascii="宋体" w:hAnsi="宋体" w:cs="宋体"/>
          <w:sz w:val="24"/>
        </w:rPr>
      </w:pPr>
      <w:r>
        <w:rPr>
          <w:rFonts w:hint="eastAsia" w:ascii="宋体" w:hAnsi="宋体" w:cs="宋体"/>
          <w:sz w:val="24"/>
        </w:rPr>
        <w:t>特此承诺。</w:t>
      </w:r>
    </w:p>
    <w:p>
      <w:pPr>
        <w:pStyle w:val="19"/>
        <w:tabs>
          <w:tab w:val="left" w:pos="939"/>
        </w:tabs>
        <w:spacing w:line="360" w:lineRule="auto"/>
        <w:ind w:left="0" w:leftChars="0" w:firstLine="482" w:firstLineChars="200"/>
        <w:rPr>
          <w:rFonts w:ascii="楷体" w:hAnsi="楷体" w:eastAsia="楷体" w:cs="宋体"/>
          <w:b/>
          <w:sz w:val="24"/>
        </w:rPr>
      </w:pPr>
    </w:p>
    <w:p>
      <w:pPr>
        <w:pStyle w:val="19"/>
        <w:tabs>
          <w:tab w:val="left" w:pos="939"/>
        </w:tabs>
        <w:spacing w:line="360" w:lineRule="auto"/>
        <w:ind w:left="0" w:leftChars="0" w:firstLine="480" w:firstLineChars="200"/>
        <w:rPr>
          <w:rFonts w:ascii="宋体" w:hAnsi="宋体" w:cs="宋体"/>
          <w:sz w:val="24"/>
        </w:rPr>
      </w:pPr>
    </w:p>
    <w:p>
      <w:pPr>
        <w:snapToGrid w:val="0"/>
        <w:spacing w:line="360" w:lineRule="auto"/>
        <w:jc w:val="left"/>
        <w:rPr>
          <w:rFonts w:ascii="宋体" w:hAnsi="宋体" w:cs="宋体"/>
          <w:sz w:val="24"/>
        </w:rPr>
      </w:pPr>
    </w:p>
    <w:p>
      <w:pPr>
        <w:autoSpaceDE w:val="0"/>
        <w:autoSpaceDN w:val="0"/>
        <w:spacing w:line="360" w:lineRule="auto"/>
        <w:ind w:left="4365" w:leftChars="1850" w:hanging="480" w:hangingChars="2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120" w:firstLineChars="255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autoSpaceDE/>
        <w:autoSpaceDN/>
        <w:spacing w:line="240" w:lineRule="auto"/>
        <w:ind w:firstLine="0" w:firstLineChars="0"/>
        <w:rPr>
          <w:rFonts w:hint="eastAsia" w:ascii="仿宋_GB2312" w:hAnsi="仿宋" w:eastAsia="仿宋_GB2312" w:cs="仿宋_GB2312"/>
          <w:kern w:val="0"/>
          <w:sz w:val="24"/>
          <w:lang w:val="zh-CN"/>
        </w:rPr>
      </w:pPr>
      <w:r>
        <w:rPr>
          <w:rFonts w:hint="eastAsia" w:ascii="仿宋_GB2312" w:hAnsi="仿宋" w:eastAsia="仿宋_GB2312" w:cs="仿宋_GB2312"/>
          <w:kern w:val="0"/>
          <w:sz w:val="24"/>
          <w:lang w:val="zh-CN"/>
        </w:rPr>
        <w:br w:type="page"/>
      </w:r>
    </w:p>
    <w:p>
      <w:pPr>
        <w:spacing w:line="300" w:lineRule="auto"/>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中小企业声明函（服务）</w:t>
      </w:r>
    </w:p>
    <w:p>
      <w:pPr>
        <w:pStyle w:val="2"/>
        <w:spacing w:line="500" w:lineRule="exact"/>
        <w:ind w:right="142" w:firstLine="480" w:firstLineChars="200"/>
        <w:rPr>
          <w:rFonts w:ascii="仿宋_GB2312" w:hAnsi="宋体" w:eastAsia="仿宋_GB2312"/>
          <w:sz w:val="24"/>
        </w:rPr>
      </w:pPr>
      <w:r>
        <w:rPr>
          <w:rFonts w:hint="eastAsia" w:ascii="仿宋_GB2312" w:hAnsi="宋体" w:eastAsia="仿宋_GB2312"/>
          <w:sz w:val="24"/>
        </w:rPr>
        <w:t>本公司（联合体）郑重声明，根据《政府采购促进中小企业发展管理办法》（财库</w:t>
      </w:r>
      <w:r>
        <w:rPr>
          <w:rFonts w:hint="eastAsia" w:ascii="仿宋_GB2312" w:hAnsi="宋体"/>
          <w:sz w:val="24"/>
        </w:rPr>
        <w:t>﹝</w:t>
      </w:r>
      <w:r>
        <w:rPr>
          <w:rFonts w:hint="eastAsia" w:ascii="仿宋_GB2312" w:hAnsi="宋体" w:eastAsia="仿宋_GB2312"/>
          <w:sz w:val="24"/>
        </w:rPr>
        <w:t>2020</w:t>
      </w:r>
      <w:r>
        <w:rPr>
          <w:rFonts w:hint="eastAsia" w:ascii="仿宋_GB2312" w:hAnsi="宋体"/>
          <w:sz w:val="24"/>
        </w:rPr>
        <w:t>﹞</w:t>
      </w:r>
      <w:r>
        <w:rPr>
          <w:rFonts w:hint="eastAsia" w:ascii="仿宋_GB2312" w:hAnsi="宋体" w:eastAsia="仿宋_GB2312"/>
          <w:sz w:val="24"/>
        </w:rPr>
        <w:t>46号）的规定，本公司（联合体）参加的采购活动，服务全部由符合政策要求的中小企业承接。相关企业（含联合体中的中小企业、签订分包意向协议的中小企业）的具体情况如下：</w:t>
      </w:r>
    </w:p>
    <w:p>
      <w:pPr>
        <w:pStyle w:val="2"/>
        <w:spacing w:line="500" w:lineRule="exact"/>
        <w:ind w:right="142" w:firstLine="480" w:firstLineChars="200"/>
        <w:rPr>
          <w:rFonts w:ascii="仿宋_GB2312" w:hAnsi="宋体" w:eastAsia="仿宋_GB2312"/>
          <w:sz w:val="24"/>
        </w:rPr>
      </w:pPr>
      <w:r>
        <w:rPr>
          <w:rFonts w:hint="eastAsia" w:ascii="仿宋_GB2312" w:hAnsi="宋体" w:eastAsia="仿宋_GB2312"/>
          <w:sz w:val="24"/>
        </w:rPr>
        <w:t>1.</w:t>
      </w:r>
      <w:r>
        <w:rPr>
          <w:rFonts w:hint="eastAsia" w:ascii="仿宋_GB2312" w:hAnsi="宋体" w:eastAsia="仿宋_GB2312"/>
          <w:sz w:val="24"/>
          <w:u w:val="single"/>
        </w:rPr>
        <w:t>（标的名称）</w:t>
      </w:r>
      <w:r>
        <w:rPr>
          <w:rFonts w:hint="eastAsia" w:ascii="仿宋_GB2312" w:hAnsi="宋体" w:eastAsia="仿宋_GB2312"/>
          <w:sz w:val="24"/>
        </w:rPr>
        <w:t>，属于</w:t>
      </w:r>
      <w:r>
        <w:rPr>
          <w:rFonts w:hint="eastAsia" w:ascii="仿宋_GB2312" w:hAnsi="宋体" w:eastAsia="仿宋_GB2312"/>
          <w:sz w:val="24"/>
          <w:u w:val="single"/>
        </w:rPr>
        <w:t>（采购文件中明确的所属行业）</w:t>
      </w:r>
      <w:r>
        <w:rPr>
          <w:rFonts w:hint="eastAsia" w:ascii="仿宋_GB2312" w:hAnsi="宋体" w:eastAsia="仿宋_GB2312"/>
          <w:sz w:val="24"/>
        </w:rPr>
        <w:t>；承接企业为</w:t>
      </w:r>
      <w:r>
        <w:rPr>
          <w:rFonts w:hint="eastAsia" w:ascii="仿宋_GB2312" w:hAnsi="宋体" w:eastAsia="仿宋_GB2312"/>
          <w:sz w:val="24"/>
          <w:u w:val="single"/>
        </w:rPr>
        <w:t>（企业名称）</w:t>
      </w:r>
      <w:r>
        <w:rPr>
          <w:rFonts w:hint="eastAsia" w:ascii="仿宋_GB2312" w:hAnsi="宋体" w:eastAsia="仿宋_GB2312"/>
          <w:sz w:val="24"/>
        </w:rPr>
        <w:t>，从业人员</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人，营业收入为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万元，资产总额为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万元，属于</w:t>
      </w:r>
      <w:r>
        <w:rPr>
          <w:rFonts w:hint="eastAsia" w:ascii="仿宋_GB2312" w:hAnsi="宋体" w:eastAsia="仿宋_GB2312"/>
          <w:sz w:val="24"/>
          <w:u w:val="single"/>
        </w:rPr>
        <w:t>（中型企业、小型企业、微型企业）</w:t>
      </w:r>
      <w:r>
        <w:rPr>
          <w:rFonts w:hint="eastAsia" w:ascii="仿宋_GB2312" w:hAnsi="宋体" w:eastAsia="仿宋_GB2312"/>
          <w:sz w:val="24"/>
        </w:rPr>
        <w:t>；</w:t>
      </w:r>
    </w:p>
    <w:p>
      <w:pPr>
        <w:pStyle w:val="2"/>
        <w:spacing w:line="500" w:lineRule="exact"/>
        <w:ind w:right="142" w:firstLine="480" w:firstLineChars="200"/>
        <w:rPr>
          <w:rFonts w:ascii="仿宋_GB2312" w:hAnsi="宋体" w:eastAsia="仿宋_GB2312"/>
          <w:sz w:val="24"/>
        </w:rPr>
      </w:pPr>
      <w:r>
        <w:rPr>
          <w:rFonts w:hint="eastAsia" w:ascii="仿宋_GB2312" w:hAnsi="宋体" w:eastAsia="仿宋_GB2312"/>
          <w:sz w:val="24"/>
        </w:rPr>
        <w:t>2.</w:t>
      </w:r>
      <w:r>
        <w:rPr>
          <w:rFonts w:hint="eastAsia" w:ascii="仿宋_GB2312" w:hAnsi="宋体" w:eastAsia="仿宋_GB2312"/>
          <w:sz w:val="24"/>
          <w:u w:val="single"/>
        </w:rPr>
        <w:t>（标的名称）</w:t>
      </w:r>
      <w:r>
        <w:rPr>
          <w:rFonts w:hint="eastAsia" w:ascii="仿宋_GB2312" w:hAnsi="宋体" w:eastAsia="仿宋_GB2312"/>
          <w:sz w:val="24"/>
        </w:rPr>
        <w:t>，属于</w:t>
      </w:r>
      <w:r>
        <w:rPr>
          <w:rFonts w:hint="eastAsia" w:ascii="仿宋_GB2312" w:hAnsi="宋体" w:eastAsia="仿宋_GB2312"/>
          <w:sz w:val="24"/>
          <w:u w:val="single"/>
        </w:rPr>
        <w:t>（采购文件中明确的所属行业）</w:t>
      </w:r>
      <w:r>
        <w:rPr>
          <w:rFonts w:hint="eastAsia" w:ascii="仿宋_GB2312" w:hAnsi="宋体" w:eastAsia="仿宋_GB2312"/>
          <w:sz w:val="24"/>
        </w:rPr>
        <w:t>；承接企业为</w:t>
      </w:r>
      <w:r>
        <w:rPr>
          <w:rFonts w:hint="eastAsia" w:ascii="仿宋_GB2312" w:hAnsi="宋体" w:eastAsia="仿宋_GB2312"/>
          <w:sz w:val="24"/>
          <w:u w:val="single"/>
        </w:rPr>
        <w:t>（企业名称）</w:t>
      </w:r>
      <w:r>
        <w:rPr>
          <w:rFonts w:hint="eastAsia" w:ascii="仿宋_GB2312" w:hAnsi="宋体" w:eastAsia="仿宋_GB2312"/>
          <w:sz w:val="24"/>
        </w:rPr>
        <w:t>，从业人员</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人，营业收入为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万元，资产总额为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万元，属于</w:t>
      </w:r>
      <w:r>
        <w:rPr>
          <w:rFonts w:hint="eastAsia" w:ascii="仿宋_GB2312" w:hAnsi="宋体" w:eastAsia="仿宋_GB2312"/>
          <w:sz w:val="24"/>
          <w:u w:val="single"/>
        </w:rPr>
        <w:t>（中型企业、小型企业、微型企业）</w:t>
      </w:r>
      <w:r>
        <w:rPr>
          <w:rFonts w:hint="eastAsia" w:ascii="仿宋_GB2312" w:hAnsi="宋体" w:eastAsia="仿宋_GB2312"/>
          <w:sz w:val="24"/>
        </w:rPr>
        <w:t>；</w:t>
      </w:r>
    </w:p>
    <w:p>
      <w:pPr>
        <w:pStyle w:val="2"/>
        <w:spacing w:line="500" w:lineRule="exact"/>
        <w:ind w:right="142" w:firstLine="480" w:firstLineChars="200"/>
        <w:rPr>
          <w:rFonts w:ascii="仿宋_GB2312" w:hAnsi="宋体" w:eastAsia="仿宋_GB2312"/>
          <w:sz w:val="24"/>
        </w:rPr>
      </w:pPr>
    </w:p>
    <w:p>
      <w:pPr>
        <w:pStyle w:val="2"/>
        <w:spacing w:after="0" w:line="360" w:lineRule="auto"/>
        <w:ind w:left="-405" w:leftChars="-193" w:right="142" w:firstLine="453" w:firstLineChars="189"/>
        <w:contextualSpacing/>
        <w:rPr>
          <w:rFonts w:ascii="仿宋_GB2312" w:hAnsi="宋体" w:eastAsia="仿宋_GB2312"/>
          <w:sz w:val="24"/>
        </w:rPr>
      </w:pPr>
      <w:r>
        <w:rPr>
          <w:rFonts w:hint="eastAsia" w:ascii="仿宋_GB2312" w:hAnsi="宋体" w:eastAsia="仿宋_GB2312"/>
          <w:sz w:val="24"/>
        </w:rPr>
        <w:t>以上企业，不属于大企业的分支机构，不存在控股股东为大企业的情形，也不存在与大企业的负责人为同一人的情形。</w:t>
      </w:r>
    </w:p>
    <w:p>
      <w:pPr>
        <w:pStyle w:val="2"/>
        <w:spacing w:after="0" w:line="360" w:lineRule="auto"/>
        <w:ind w:left="-426" w:right="142" w:firstLine="567"/>
        <w:contextualSpacing/>
        <w:rPr>
          <w:rFonts w:ascii="仿宋_GB2312" w:hAnsi="宋体" w:eastAsia="仿宋_GB2312"/>
          <w:sz w:val="24"/>
        </w:rPr>
      </w:pPr>
      <w:r>
        <w:rPr>
          <w:rFonts w:hint="eastAsia" w:ascii="仿宋_GB2312" w:hAnsi="宋体" w:eastAsia="仿宋_GB2312"/>
          <w:sz w:val="24"/>
        </w:rPr>
        <w:t>本企业对上述声明内容的真实性负责。如有虚假，将依法承担相应责任。</w:t>
      </w:r>
    </w:p>
    <w:p>
      <w:pPr>
        <w:pStyle w:val="2"/>
        <w:spacing w:after="0" w:line="360" w:lineRule="auto"/>
        <w:ind w:left="3960" w:right="1808"/>
        <w:contextualSpacing/>
        <w:rPr>
          <w:rFonts w:ascii="宋体" w:hAnsi="宋体"/>
          <w:sz w:val="24"/>
        </w:rPr>
      </w:pPr>
    </w:p>
    <w:p>
      <w:pPr>
        <w:autoSpaceDE w:val="0"/>
        <w:autoSpaceDN w:val="0"/>
        <w:spacing w:line="360" w:lineRule="auto"/>
        <w:ind w:left="4335" w:leftChars="1950" w:hanging="240" w:hangingChars="1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autoSpaceDE w:val="0"/>
        <w:autoSpaceDN w:val="0"/>
        <w:spacing w:line="360" w:lineRule="auto"/>
        <w:ind w:firstLine="6480" w:firstLineChars="2700"/>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pStyle w:val="2"/>
        <w:spacing w:after="0" w:line="360" w:lineRule="auto"/>
        <w:ind w:left="3960" w:right="1808"/>
        <w:contextualSpacing/>
      </w:pPr>
    </w:p>
    <w:p>
      <w:pPr>
        <w:pStyle w:val="27"/>
        <w:ind w:left="900" w:hanging="480"/>
        <w:rPr>
          <w:rFonts w:ascii="宋体" w:hAnsi="宋体" w:cs="仿宋_GB2312"/>
          <w:sz w:val="24"/>
        </w:rPr>
      </w:pPr>
      <w:r>
        <w:rPr>
          <w:rFonts w:hint="eastAsia" w:ascii="宋体" w:hAnsi="宋体" w:cs="仿宋_GB2312"/>
          <w:sz w:val="24"/>
        </w:rPr>
        <w:t>注：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pPr>
        <w:rPr>
          <w:rFonts w:ascii="宋体" w:hAnsi="宋体" w:cs="仿宋_GB2312"/>
          <w:sz w:val="24"/>
        </w:rPr>
      </w:pPr>
      <w:r>
        <w:rPr>
          <w:rFonts w:hint="eastAsia" w:ascii="宋体" w:hAnsi="宋体" w:cs="仿宋_GB2312"/>
          <w:sz w:val="24"/>
        </w:rPr>
        <w:br w:type="page"/>
      </w:r>
    </w:p>
    <w:p>
      <w:pPr>
        <w:spacing w:line="520" w:lineRule="exact"/>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残疾人福利性单位声明函</w:t>
      </w:r>
    </w:p>
    <w:p>
      <w:pPr>
        <w:spacing w:line="520" w:lineRule="exact"/>
        <w:rPr>
          <w:rFonts w:ascii="仿宋_GB2312" w:hAnsi="仿宋_GB2312" w:eastAsia="仿宋_GB2312" w:cs="仿宋_GB2312"/>
          <w:sz w:val="32"/>
          <w:szCs w:val="32"/>
        </w:rPr>
      </w:pPr>
    </w:p>
    <w:p>
      <w:pPr>
        <w:spacing w:line="360" w:lineRule="auto"/>
        <w:ind w:firstLine="480" w:firstLineChars="200"/>
        <w:rPr>
          <w:rFonts w:ascii="仿宋_GB2312" w:hAnsi="宋体" w:eastAsia="仿宋_GB2312" w:cs="仿宋_GB2312"/>
          <w:sz w:val="24"/>
        </w:rPr>
      </w:pPr>
      <w:r>
        <w:rPr>
          <w:rFonts w:hint="eastAsia" w:ascii="仿宋_GB2312" w:hAnsi="宋体" w:eastAsia="仿宋_GB2312" w:cs="仿宋_GB2312"/>
          <w:sz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_GB2312" w:hAnsi="宋体" w:eastAsia="仿宋_GB2312" w:cs="仿宋_GB2312"/>
          <w:sz w:val="24"/>
          <w:u w:val="single"/>
        </w:rPr>
        <w:t>广西中医药大学第一附属医院</w:t>
      </w:r>
      <w:r>
        <w:rPr>
          <w:rFonts w:hint="eastAsia" w:ascii="仿宋_GB2312" w:hAnsi="宋体" w:eastAsia="仿宋_GB2312" w:cs="仿宋_GB2312"/>
          <w:sz w:val="24"/>
        </w:rPr>
        <w:t>单位的</w:t>
      </w:r>
      <w:r>
        <w:rPr>
          <w:rFonts w:hint="eastAsia" w:ascii="仿宋_GB2312" w:hAnsi="宋体" w:eastAsia="仿宋_GB2312" w:cs="仿宋_GB2312"/>
          <w:sz w:val="24"/>
          <w:u w:val="single"/>
          <w:lang w:val="en-US" w:eastAsia="zh-CN"/>
        </w:rPr>
        <w:t xml:space="preserve">        </w:t>
      </w:r>
      <w:r>
        <w:rPr>
          <w:rFonts w:hint="eastAsia" w:ascii="仿宋_GB2312" w:hAnsi="宋体" w:eastAsia="仿宋_GB2312" w:cs="仿宋_GB2312"/>
          <w:sz w:val="24"/>
        </w:rPr>
        <w:t>项目采购活动由本单位提供服务。</w:t>
      </w:r>
    </w:p>
    <w:p>
      <w:pPr>
        <w:spacing w:line="360" w:lineRule="auto"/>
        <w:ind w:firstLine="480" w:firstLineChars="200"/>
        <w:rPr>
          <w:rFonts w:ascii="仿宋_GB2312" w:hAnsi="宋体" w:eastAsia="仿宋_GB2312" w:cs="仿宋_GB2312"/>
          <w:sz w:val="24"/>
        </w:rPr>
      </w:pPr>
      <w:r>
        <w:rPr>
          <w:rFonts w:hint="eastAsia" w:ascii="仿宋_GB2312" w:hAnsi="宋体" w:eastAsia="仿宋_GB2312" w:cs="仿宋_GB2312"/>
          <w:sz w:val="24"/>
        </w:rPr>
        <w:t>本单位对上述声明的真实性负责。如有虚假，将依法承担相应责任。</w:t>
      </w: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ind w:firstLine="2400" w:firstLineChars="1000"/>
        <w:rPr>
          <w:rFonts w:ascii="宋体" w:hAnsi="宋体" w:cs="仿宋_GB2312"/>
          <w:sz w:val="24"/>
        </w:rPr>
      </w:pPr>
      <w:r>
        <w:rPr>
          <w:rFonts w:hint="eastAsia" w:ascii="宋体" w:hAnsi="宋体" w:cs="仿宋_GB2312"/>
          <w:sz w:val="24"/>
        </w:rPr>
        <w:t>供应商名称（电子签章）：</w:t>
      </w:r>
    </w:p>
    <w:p>
      <w:pPr>
        <w:spacing w:line="360" w:lineRule="auto"/>
        <w:ind w:firstLine="4320" w:firstLineChars="1800"/>
        <w:rPr>
          <w:rFonts w:ascii="宋体" w:hAnsi="宋体" w:cs="仿宋_GB2312"/>
          <w:sz w:val="24"/>
        </w:rPr>
      </w:pPr>
      <w:r>
        <w:rPr>
          <w:rFonts w:hint="eastAsia" w:ascii="宋体" w:hAnsi="宋体" w:cs="仿宋_GB2312"/>
          <w:sz w:val="24"/>
        </w:rPr>
        <w:t>日  期：     年   月   日</w:t>
      </w: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rPr>
          <w:rFonts w:ascii="宋体" w:hAnsi="宋体" w:cs="仿宋_GB2312"/>
          <w:sz w:val="24"/>
        </w:rPr>
      </w:pPr>
    </w:p>
    <w:p>
      <w:pPr>
        <w:spacing w:line="360" w:lineRule="auto"/>
        <w:rPr>
          <w:rFonts w:ascii="宋体" w:hAnsi="宋体" w:cs="仿宋_GB2312"/>
          <w:sz w:val="24"/>
        </w:rPr>
      </w:pPr>
      <w:r>
        <w:rPr>
          <w:rFonts w:hint="eastAsia" w:ascii="宋体" w:hAnsi="宋体" w:cs="仿宋_GB2312"/>
          <w:sz w:val="24"/>
        </w:rPr>
        <w:t>注：请根据自己的真实情况出具《残疾人福利性单位声明函》。依法享受中小企业优惠政策的，采购人或者采购代理机构在公告中标结果时，同时公告其《残疾人福利性单位声明函》，接受社会监督；根据《关于政府采购支持监狱企业发展有关问题的通知》（财库[2014]68号）的规定，投标人提供由省级以上监狱管理局、戒毒管理局（含新疆生产建设兵团）出具的属于监狱企业证明文件的，视同为小型和微型企业。</w:t>
      </w:r>
    </w:p>
    <w:p/>
    <w:p>
      <w:pPr>
        <w:pStyle w:val="2"/>
      </w:pPr>
    </w:p>
    <w:p>
      <w:pPr>
        <w:spacing w:line="360" w:lineRule="auto"/>
        <w:ind w:right="480" w:firstLine="240" w:firstLineChars="100"/>
        <w:contextualSpacing/>
        <w:jc w:val="center"/>
        <w:rPr>
          <w:rFonts w:ascii="宋体" w:hAnsi="宋体" w:cs="宋体"/>
          <w:b/>
          <w:bCs/>
          <w:sz w:val="24"/>
        </w:rPr>
      </w:pPr>
      <w:r>
        <w:rPr>
          <w:rFonts w:hint="eastAsia" w:ascii="宋体" w:hAnsi="宋体" w:cs="宋体"/>
          <w:sz w:val="24"/>
        </w:rPr>
        <w:br w:type="page"/>
      </w:r>
    </w:p>
    <w:p>
      <w:pPr>
        <w:pStyle w:val="6"/>
      </w:pPr>
      <w:bookmarkStart w:id="88" w:name="_Toc18398"/>
      <w:bookmarkStart w:id="89" w:name="_Toc24936"/>
      <w:bookmarkStart w:id="90" w:name="_Toc27135"/>
      <w:bookmarkStart w:id="91" w:name="_Toc15584"/>
      <w:bookmarkStart w:id="92" w:name="_Toc15310"/>
      <w:bookmarkStart w:id="93" w:name="_Toc3842"/>
      <w:bookmarkStart w:id="94" w:name="_Toc3520"/>
      <w:bookmarkStart w:id="95" w:name="_Toc4358"/>
      <w:r>
        <w:rPr>
          <w:rFonts w:hint="eastAsia"/>
        </w:rPr>
        <w:t>三、商务技术文件格式</w:t>
      </w:r>
      <w:bookmarkEnd w:id="88"/>
      <w:bookmarkEnd w:id="89"/>
      <w:bookmarkEnd w:id="90"/>
      <w:bookmarkEnd w:id="91"/>
      <w:bookmarkEnd w:id="92"/>
      <w:bookmarkEnd w:id="93"/>
    </w:p>
    <w:p>
      <w:pPr>
        <w:snapToGrid w:val="0"/>
        <w:spacing w:beforeLines="50" w:after="50" w:line="360" w:lineRule="auto"/>
        <w:jc w:val="left"/>
        <w:rPr>
          <w:rFonts w:ascii="宋体" w:hAnsi="宋体" w:cs="宋体"/>
          <w:b/>
          <w:sz w:val="32"/>
          <w:szCs w:val="32"/>
        </w:rPr>
      </w:pPr>
      <w:r>
        <w:rPr>
          <w:rFonts w:hint="eastAsia" w:ascii="宋体" w:hAnsi="宋体" w:cs="宋体"/>
          <w:b/>
          <w:sz w:val="32"/>
          <w:szCs w:val="32"/>
        </w:rPr>
        <w:t>1.商务技术文件封面格式</w:t>
      </w:r>
    </w:p>
    <w:p>
      <w:pPr>
        <w:snapToGrid w:val="0"/>
        <w:spacing w:beforeLines="50" w:after="50"/>
        <w:rPr>
          <w:rFonts w:ascii="宋体" w:hAnsi="宋体" w:cs="宋体"/>
          <w:bCs/>
          <w:color w:val="FFFFFF" w:themeColor="background1"/>
          <w:sz w:val="32"/>
          <w:szCs w:val="20"/>
          <w14:textFill>
            <w14:solidFill>
              <w14:schemeClr w14:val="bg1"/>
            </w14:solidFill>
          </w14:textFill>
        </w:rPr>
      </w:pPr>
      <w:r>
        <w:rPr>
          <w:rFonts w:hint="eastAsia" w:ascii="宋体" w:hAnsi="宋体" w:cs="宋体"/>
          <w:bCs/>
          <w:color w:val="FFFFFF" w:themeColor="background1"/>
          <w:sz w:val="36"/>
          <w:szCs w:val="36"/>
          <w14:textFill>
            <w14:solidFill>
              <w14:schemeClr w14:val="bg1"/>
            </w14:solidFill>
          </w14:textFill>
        </w:rPr>
        <w:t>（正本/副本）</w:t>
      </w:r>
    </w:p>
    <w:p>
      <w:pPr>
        <w:snapToGrid w:val="0"/>
        <w:spacing w:beforeLines="50" w:after="50"/>
        <w:rPr>
          <w:rFonts w:ascii="宋体" w:hAnsi="宋体" w:cs="宋体"/>
          <w:sz w:val="24"/>
          <w:szCs w:val="20"/>
        </w:rPr>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32"/>
          <w:szCs w:val="32"/>
        </w:rPr>
      </w:pPr>
      <w:r>
        <w:rPr>
          <w:rFonts w:hint="eastAsia" w:ascii="宋体" w:hAnsi="宋体" w:cs="宋体"/>
          <w:bCs/>
          <w:sz w:val="32"/>
          <w:szCs w:val="32"/>
        </w:rPr>
        <w:t>商务技术  文  件</w:t>
      </w:r>
    </w:p>
    <w:p>
      <w:pPr>
        <w:snapToGrid w:val="0"/>
        <w:spacing w:beforeLines="50" w:after="50"/>
        <w:rPr>
          <w:rFonts w:ascii="宋体" w:hAnsi="宋体" w:cs="宋体"/>
          <w:bCs/>
          <w:sz w:val="24"/>
          <w:szCs w:val="20"/>
        </w:rPr>
      </w:pPr>
    </w:p>
    <w:p>
      <w:pPr>
        <w:snapToGrid w:val="0"/>
        <w:spacing w:beforeLines="50" w:after="50"/>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项目名称：</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项目编号：</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hint="default" w:ascii="宋体" w:hAnsi="宋体" w:eastAsia="宋体" w:cs="宋体"/>
          <w:bCs/>
          <w:sz w:val="32"/>
          <w:szCs w:val="32"/>
          <w:u w:val="single"/>
          <w:lang w:val="en-US" w:eastAsia="zh-CN"/>
        </w:rPr>
      </w:pPr>
      <w:r>
        <w:rPr>
          <w:rFonts w:hint="eastAsia" w:ascii="宋体" w:hAnsi="宋体" w:cs="宋体"/>
          <w:bCs/>
          <w:sz w:val="32"/>
          <w:szCs w:val="32"/>
        </w:rPr>
        <w:t>所竞标项名称：</w:t>
      </w:r>
      <w:r>
        <w:rPr>
          <w:rFonts w:hint="eastAsia" w:ascii="宋体" w:hAnsi="宋体" w:cs="宋体"/>
          <w:bCs/>
          <w:sz w:val="32"/>
          <w:szCs w:val="32"/>
          <w:u w:val="single"/>
          <w:lang w:val="en-US" w:eastAsia="zh-CN"/>
        </w:rPr>
        <w:t xml:space="preserve">  </w:t>
      </w:r>
      <w:r>
        <w:rPr>
          <w:rFonts w:hint="eastAsia" w:ascii="宋体" w:hAnsi="宋体" w:cs="宋体"/>
          <w:bCs/>
          <w:sz w:val="32"/>
          <w:szCs w:val="32"/>
          <w:u w:val="single"/>
        </w:rPr>
        <w:t>[营养科医用食品配送服务（二）/营养科医用食品配送服务（三）]</w:t>
      </w:r>
      <w:r>
        <w:rPr>
          <w:rFonts w:hint="eastAsia" w:ascii="宋体" w:hAnsi="宋体" w:cs="宋体"/>
          <w:bCs/>
          <w:sz w:val="32"/>
          <w:szCs w:val="32"/>
          <w:u w:val="single"/>
          <w:lang w:val="en-US" w:eastAsia="zh-CN"/>
        </w:rPr>
        <w:t xml:space="preserve">  </w:t>
      </w:r>
    </w:p>
    <w:p>
      <w:pPr>
        <w:snapToGrid w:val="0"/>
        <w:spacing w:beforeLines="50" w:after="50"/>
        <w:ind w:firstLine="2800" w:firstLineChars="875"/>
        <w:rPr>
          <w:rFonts w:ascii="宋体" w:hAnsi="宋体" w:cs="宋体"/>
          <w:bCs/>
          <w:sz w:val="32"/>
          <w:szCs w:val="32"/>
        </w:rPr>
      </w:pPr>
    </w:p>
    <w:p>
      <w:pPr>
        <w:pStyle w:val="10"/>
        <w:snapToGrid w:val="0"/>
        <w:spacing w:before="50" w:after="50"/>
        <w:ind w:firstLine="2800" w:firstLineChars="875"/>
        <w:rPr>
          <w:rFonts w:ascii="宋体" w:hAnsi="宋体" w:cs="宋体"/>
          <w:bCs/>
          <w:sz w:val="32"/>
          <w:szCs w:val="32"/>
        </w:rPr>
      </w:pPr>
      <w:r>
        <w:rPr>
          <w:rFonts w:hint="eastAsia" w:ascii="宋体" w:hAnsi="宋体" w:cs="宋体"/>
          <w:bCs/>
          <w:sz w:val="32"/>
          <w:szCs w:val="32"/>
        </w:rPr>
        <w:t>供应商名称：</w:t>
      </w:r>
    </w:p>
    <w:p>
      <w:pPr>
        <w:pStyle w:val="10"/>
        <w:snapToGrid w:val="0"/>
        <w:spacing w:before="50" w:after="50"/>
        <w:ind w:firstLine="2800" w:firstLineChars="875"/>
        <w:rPr>
          <w:rFonts w:ascii="宋体" w:hAnsi="宋体" w:cs="宋体"/>
          <w:bCs/>
          <w:sz w:val="32"/>
          <w:szCs w:val="32"/>
        </w:rPr>
      </w:pPr>
    </w:p>
    <w:p>
      <w:pPr>
        <w:pStyle w:val="10"/>
        <w:snapToGrid w:val="0"/>
        <w:spacing w:before="50" w:after="50"/>
        <w:ind w:firstLine="720" w:firstLineChars="225"/>
        <w:rPr>
          <w:rFonts w:ascii="宋体" w:hAnsi="宋体" w:cs="宋体"/>
          <w:bCs/>
          <w:sz w:val="32"/>
          <w:szCs w:val="32"/>
        </w:rPr>
      </w:pPr>
    </w:p>
    <w:p>
      <w:pPr>
        <w:pStyle w:val="10"/>
        <w:snapToGrid w:val="0"/>
        <w:spacing w:before="50" w:after="50"/>
        <w:ind w:firstLine="1280" w:firstLineChars="400"/>
        <w:rPr>
          <w:rFonts w:ascii="宋体" w:hAnsi="宋体" w:cs="宋体"/>
          <w:bCs/>
          <w:sz w:val="32"/>
          <w:szCs w:val="32"/>
        </w:rPr>
      </w:pPr>
    </w:p>
    <w:p>
      <w:pPr>
        <w:snapToGrid w:val="0"/>
        <w:spacing w:beforeLines="50" w:after="50"/>
        <w:jc w:val="center"/>
        <w:rPr>
          <w:rFonts w:ascii="宋体" w:hAnsi="宋体" w:cs="宋体"/>
          <w:sz w:val="32"/>
          <w:szCs w:val="32"/>
        </w:rPr>
      </w:pPr>
      <w:r>
        <w:rPr>
          <w:rFonts w:hint="eastAsia" w:ascii="宋体" w:hAnsi="宋体" w:cs="宋体"/>
          <w:sz w:val="32"/>
          <w:szCs w:val="32"/>
        </w:rPr>
        <w:t>年    月    日</w:t>
      </w:r>
    </w:p>
    <w:p>
      <w:pPr>
        <w:rPr>
          <w:rFonts w:ascii="宋体" w:hAnsi="宋体" w:cs="宋体"/>
          <w:sz w:val="24"/>
        </w:rPr>
      </w:pPr>
      <w:r>
        <w:rPr>
          <w:rFonts w:hint="eastAsia" w:ascii="宋体" w:hAnsi="宋体" w:cs="宋体"/>
          <w:sz w:val="24"/>
        </w:rPr>
        <w:br w:type="page"/>
      </w:r>
    </w:p>
    <w:p>
      <w:pPr>
        <w:snapToGrid w:val="0"/>
        <w:spacing w:beforeLines="50" w:after="50" w:line="360" w:lineRule="auto"/>
        <w:ind w:right="480" w:firstLine="321" w:firstLineChars="100"/>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2.商务技术文件目录</w:t>
      </w:r>
    </w:p>
    <w:p>
      <w:pPr>
        <w:rPr>
          <w:rFonts w:ascii="宋体" w:hAnsi="宋体" w:cs="宋体"/>
          <w:sz w:val="24"/>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hint="eastAsia" w:ascii="宋体" w:hAnsi="宋体" w:cs="宋体"/>
          <w:sz w:val="24"/>
        </w:rPr>
        <w:br w:type="page"/>
      </w:r>
    </w:p>
    <w:p>
      <w:pPr>
        <w:spacing w:line="520" w:lineRule="exact"/>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无串通竞标行为的承诺函</w:t>
      </w:r>
    </w:p>
    <w:p>
      <w:pPr>
        <w:spacing w:line="400" w:lineRule="exact"/>
        <w:ind w:firstLine="640" w:firstLineChars="200"/>
        <w:rPr>
          <w:rFonts w:ascii="仿宋_GB2312" w:hAnsi="仿宋_GB2312" w:eastAsia="仿宋_GB2312" w:cs="仿宋_GB2312"/>
          <w:sz w:val="32"/>
          <w:szCs w:val="32"/>
        </w:rPr>
      </w:pP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一、我方承诺无下列相互串通竞标的情形：</w:t>
      </w:r>
    </w:p>
    <w:p>
      <w:pPr>
        <w:spacing w:line="360" w:lineRule="auto"/>
        <w:ind w:firstLine="480" w:firstLineChars="200"/>
        <w:contextualSpacing/>
        <w:rPr>
          <w:rFonts w:ascii="宋体" w:hAnsi="宋体" w:cs="仿宋_GB2312"/>
          <w:sz w:val="24"/>
        </w:rPr>
      </w:pPr>
      <w:r>
        <w:rPr>
          <w:rFonts w:hint="eastAsia" w:ascii="宋体" w:hAnsi="宋体" w:cs="仿宋_GB2312"/>
          <w:sz w:val="24"/>
        </w:rPr>
        <w:t>1.不同供应商的响应文件由同一单位或者个人编制；</w:t>
      </w:r>
    </w:p>
    <w:p>
      <w:pPr>
        <w:spacing w:line="360" w:lineRule="auto"/>
        <w:ind w:firstLine="480" w:firstLineChars="200"/>
        <w:contextualSpacing/>
        <w:rPr>
          <w:rFonts w:ascii="宋体" w:hAnsi="宋体" w:cs="仿宋_GB2312"/>
          <w:sz w:val="24"/>
        </w:rPr>
      </w:pPr>
      <w:r>
        <w:rPr>
          <w:rFonts w:hint="eastAsia" w:ascii="宋体" w:hAnsi="宋体" w:cs="仿宋_GB2312"/>
          <w:sz w:val="24"/>
        </w:rPr>
        <w:t>2.不同供应商委托同一单位或者个人办理竞标事宜；</w:t>
      </w:r>
    </w:p>
    <w:p>
      <w:pPr>
        <w:spacing w:line="360" w:lineRule="auto"/>
        <w:ind w:firstLine="480" w:firstLineChars="200"/>
        <w:contextualSpacing/>
        <w:rPr>
          <w:rFonts w:ascii="宋体" w:hAnsi="宋体" w:cs="仿宋_GB2312"/>
          <w:sz w:val="24"/>
        </w:rPr>
      </w:pPr>
      <w:r>
        <w:rPr>
          <w:rFonts w:hint="eastAsia" w:ascii="宋体" w:hAnsi="宋体" w:cs="仿宋_GB2312"/>
          <w:sz w:val="24"/>
        </w:rPr>
        <w:t>3.不同供应商的响应文件载明的项目管理员为同一个人；</w:t>
      </w:r>
    </w:p>
    <w:p>
      <w:pPr>
        <w:spacing w:line="360" w:lineRule="auto"/>
        <w:ind w:firstLine="480" w:firstLineChars="200"/>
        <w:contextualSpacing/>
        <w:rPr>
          <w:rFonts w:ascii="宋体" w:hAnsi="宋体" w:cs="仿宋_GB2312"/>
          <w:sz w:val="24"/>
        </w:rPr>
      </w:pPr>
      <w:r>
        <w:rPr>
          <w:rFonts w:hint="eastAsia" w:ascii="宋体" w:hAnsi="宋体" w:cs="仿宋_GB2312"/>
          <w:sz w:val="24"/>
        </w:rPr>
        <w:t>4.不</w:t>
      </w:r>
      <w:r>
        <w:rPr>
          <w:rFonts w:hint="eastAsia" w:ascii="宋体" w:hAnsi="宋体" w:cs="仿宋_GB2312"/>
          <w:spacing w:val="-6"/>
          <w:sz w:val="24"/>
        </w:rPr>
        <w:t>同供应商的响应文件异常一致或者竞标报价呈规律性差异；</w:t>
      </w:r>
    </w:p>
    <w:p>
      <w:pPr>
        <w:spacing w:line="360" w:lineRule="auto"/>
        <w:ind w:firstLine="480" w:firstLineChars="200"/>
        <w:contextualSpacing/>
        <w:rPr>
          <w:rFonts w:ascii="宋体" w:hAnsi="宋体" w:cs="仿宋_GB2312"/>
          <w:sz w:val="24"/>
        </w:rPr>
      </w:pPr>
      <w:r>
        <w:rPr>
          <w:rFonts w:hint="eastAsia" w:ascii="宋体" w:hAnsi="宋体" w:cs="仿宋_GB2312"/>
          <w:sz w:val="24"/>
        </w:rPr>
        <w:t>5.不同供应商的响应文件相互混装；</w:t>
      </w:r>
    </w:p>
    <w:p>
      <w:pPr>
        <w:spacing w:line="360" w:lineRule="auto"/>
        <w:ind w:firstLine="480" w:firstLineChars="200"/>
        <w:contextualSpacing/>
        <w:rPr>
          <w:rFonts w:ascii="宋体" w:hAnsi="宋体" w:cs="仿宋_GB2312"/>
          <w:sz w:val="24"/>
        </w:rPr>
      </w:pPr>
      <w:r>
        <w:rPr>
          <w:rFonts w:hint="eastAsia" w:ascii="宋体" w:hAnsi="宋体" w:cs="仿宋_GB2312"/>
          <w:sz w:val="24"/>
        </w:rPr>
        <w:t>6.不同供应商的磋商保证金从同一单位或者个人账户转出。</w:t>
      </w: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二、我方承诺无下列恶意串通的情形：</w:t>
      </w:r>
    </w:p>
    <w:p>
      <w:pPr>
        <w:spacing w:line="360" w:lineRule="auto"/>
        <w:ind w:firstLine="480" w:firstLineChars="200"/>
        <w:contextualSpacing/>
        <w:rPr>
          <w:rFonts w:ascii="宋体" w:hAnsi="宋体" w:cs="仿宋_GB2312"/>
          <w:sz w:val="24"/>
        </w:rPr>
      </w:pPr>
      <w:r>
        <w:rPr>
          <w:rFonts w:hint="eastAsia" w:ascii="宋体" w:hAnsi="宋体" w:cs="仿宋_GB2312"/>
          <w:sz w:val="24"/>
        </w:rPr>
        <w:t>1.供应商直接或者间接从采购人或者采购代理机构处获得其他供应商的相关信息并修改其响应文件；</w:t>
      </w:r>
    </w:p>
    <w:p>
      <w:pPr>
        <w:spacing w:line="360" w:lineRule="auto"/>
        <w:ind w:firstLine="480" w:firstLineChars="200"/>
        <w:contextualSpacing/>
        <w:rPr>
          <w:rFonts w:ascii="宋体" w:hAnsi="宋体" w:cs="仿宋_GB2312"/>
          <w:sz w:val="24"/>
        </w:rPr>
      </w:pPr>
      <w:r>
        <w:rPr>
          <w:rFonts w:hint="eastAsia" w:ascii="宋体" w:hAnsi="宋体" w:cs="仿宋_GB2312"/>
          <w:sz w:val="24"/>
        </w:rPr>
        <w:t>2.供应商按照采购人或者采购代理机构的授意撤换、修改响应文件；</w:t>
      </w:r>
    </w:p>
    <w:p>
      <w:pPr>
        <w:spacing w:line="360" w:lineRule="auto"/>
        <w:ind w:firstLine="480" w:firstLineChars="200"/>
        <w:contextualSpacing/>
        <w:rPr>
          <w:rFonts w:ascii="宋体" w:hAnsi="宋体" w:cs="仿宋_GB2312"/>
          <w:sz w:val="24"/>
        </w:rPr>
      </w:pPr>
      <w:r>
        <w:rPr>
          <w:rFonts w:hint="eastAsia" w:ascii="宋体" w:hAnsi="宋体" w:cs="仿宋_GB2312"/>
          <w:sz w:val="24"/>
        </w:rPr>
        <w:t>3.供</w:t>
      </w:r>
      <w:r>
        <w:rPr>
          <w:rFonts w:hint="eastAsia" w:ascii="宋体" w:hAnsi="宋体" w:cs="仿宋_GB2312"/>
          <w:spacing w:val="-6"/>
          <w:sz w:val="24"/>
        </w:rPr>
        <w:t>应商之间协商报价、技术方案等响应文件的实质性内容；</w:t>
      </w:r>
    </w:p>
    <w:p>
      <w:pPr>
        <w:spacing w:line="360" w:lineRule="auto"/>
        <w:ind w:firstLine="480" w:firstLineChars="200"/>
        <w:contextualSpacing/>
        <w:rPr>
          <w:rFonts w:ascii="宋体" w:hAnsi="宋体" w:cs="仿宋_GB2312"/>
          <w:sz w:val="24"/>
        </w:rPr>
      </w:pPr>
      <w:r>
        <w:rPr>
          <w:rFonts w:hint="eastAsia" w:ascii="宋体" w:hAnsi="宋体" w:cs="仿宋_GB2312"/>
          <w:sz w:val="24"/>
        </w:rPr>
        <w:t>4.属于同一集团、协会、商会等组织成员的供应商按照该组织要求协同参加采购活动；</w:t>
      </w:r>
    </w:p>
    <w:p>
      <w:pPr>
        <w:spacing w:line="360" w:lineRule="auto"/>
        <w:ind w:firstLine="480" w:firstLineChars="200"/>
        <w:contextualSpacing/>
        <w:rPr>
          <w:rFonts w:ascii="宋体" w:hAnsi="宋体" w:cs="仿宋_GB2312"/>
          <w:sz w:val="24"/>
        </w:rPr>
      </w:pPr>
      <w:r>
        <w:rPr>
          <w:rFonts w:hint="eastAsia" w:ascii="宋体" w:hAnsi="宋体" w:cs="仿宋_GB2312"/>
          <w:sz w:val="24"/>
        </w:rPr>
        <w:t>5.供应商之间事先约定一致抬高或者压低竞标报价，或者在竞争性磋商项目中事先约定轮流以高价位或者低价位成交，或者事先约定由某一特定供应商成交，然后再参加竞标；</w:t>
      </w:r>
    </w:p>
    <w:p>
      <w:pPr>
        <w:spacing w:line="360" w:lineRule="auto"/>
        <w:ind w:firstLine="480" w:firstLineChars="200"/>
        <w:contextualSpacing/>
        <w:rPr>
          <w:rFonts w:ascii="宋体" w:hAnsi="宋体" w:cs="仿宋_GB2312"/>
          <w:sz w:val="24"/>
        </w:rPr>
      </w:pPr>
      <w:r>
        <w:rPr>
          <w:rFonts w:hint="eastAsia" w:ascii="宋体" w:hAnsi="宋体" w:cs="仿宋_GB2312"/>
          <w:sz w:val="24"/>
        </w:rPr>
        <w:t>6.供应商之间商定部分供应商放弃参加采购活动或者放弃成交；</w:t>
      </w:r>
    </w:p>
    <w:p>
      <w:pPr>
        <w:spacing w:line="360" w:lineRule="auto"/>
        <w:ind w:firstLine="480" w:firstLineChars="200"/>
        <w:contextualSpacing/>
        <w:rPr>
          <w:rFonts w:ascii="宋体" w:hAnsi="宋体" w:cs="仿宋_GB2312"/>
          <w:sz w:val="24"/>
        </w:rPr>
      </w:pPr>
      <w:r>
        <w:rPr>
          <w:rFonts w:hint="eastAsia" w:ascii="宋体" w:hAnsi="宋体" w:cs="仿宋_GB2312"/>
          <w:sz w:val="24"/>
        </w:rPr>
        <w:t>7.供应商与采购人或者采购代理机构之间、供应商相互之间，为</w:t>
      </w:r>
      <w:r>
        <w:rPr>
          <w:rFonts w:hint="eastAsia" w:ascii="宋体" w:hAnsi="宋体" w:cs="仿宋_GB2312"/>
          <w:spacing w:val="-6"/>
          <w:sz w:val="24"/>
        </w:rPr>
        <w:t>谋求特定供应商成交或者排斥其他供应商的其他串通行为。</w:t>
      </w:r>
    </w:p>
    <w:p>
      <w:pPr>
        <w:spacing w:line="360" w:lineRule="auto"/>
        <w:ind w:firstLine="480" w:firstLineChars="200"/>
        <w:contextualSpacing/>
        <w:rPr>
          <w:rFonts w:ascii="宋体" w:hAnsi="宋体" w:cs="仿宋_GB2312"/>
          <w:sz w:val="24"/>
        </w:rPr>
      </w:pP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以上情形一经核查属实，我方愿意承担一切后果，并不再寻求任何旨在减轻或者免除法律责任的辩解。</w:t>
      </w:r>
    </w:p>
    <w:p>
      <w:pPr>
        <w:spacing w:line="360" w:lineRule="auto"/>
        <w:contextualSpacing/>
        <w:rPr>
          <w:rFonts w:ascii="宋体" w:hAnsi="宋体" w:cs="仿宋_GB2312"/>
          <w:sz w:val="24"/>
        </w:rPr>
      </w:pPr>
    </w:p>
    <w:p>
      <w:pPr>
        <w:autoSpaceDE w:val="0"/>
        <w:autoSpaceDN w:val="0"/>
        <w:spacing w:line="360" w:lineRule="auto"/>
        <w:ind w:left="4335" w:leftChars="1950" w:hanging="240" w:hangingChars="1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spacing w:line="520" w:lineRule="exact"/>
        <w:ind w:left="239" w:leftChars="114" w:firstLine="6120" w:firstLineChars="2550"/>
        <w:jc w:val="left"/>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rPr>
          <w:rFonts w:ascii="宋体" w:hAnsi="宋体" w:cs="宋体"/>
          <w:b/>
          <w:bCs/>
          <w:sz w:val="44"/>
          <w:szCs w:val="44"/>
        </w:rPr>
      </w:pPr>
      <w:r>
        <w:rPr>
          <w:rFonts w:hint="eastAsia" w:ascii="宋体" w:hAnsi="宋体" w:cs="宋体"/>
          <w:b/>
          <w:bCs/>
          <w:sz w:val="44"/>
          <w:szCs w:val="44"/>
        </w:rPr>
        <w:br w:type="page"/>
      </w:r>
    </w:p>
    <w:p>
      <w:pPr>
        <w:spacing w:beforeLines="100" w:afterLines="50" w:line="520" w:lineRule="exact"/>
        <w:ind w:left="540"/>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bCs/>
          <w:sz w:val="44"/>
          <w:szCs w:val="44"/>
        </w:rPr>
        <w:t>法定代表人证明书</w:t>
      </w: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r>
        <w:rPr>
          <w:rFonts w:hint="eastAsia" w:ascii="宋体" w:hAnsi="宋体" w:cs="仿宋_GB2312"/>
          <w:sz w:val="24"/>
        </w:rPr>
        <w:t>供应商名称：</w:t>
      </w:r>
      <w:r>
        <w:rPr>
          <w:rFonts w:hint="eastAsia" w:ascii="宋体" w:hAnsi="宋体" w:cs="仿宋_GB2312"/>
          <w:sz w:val="24"/>
          <w:u w:val="single"/>
        </w:rPr>
        <w:t xml:space="preserve">      </w:t>
      </w:r>
    </w:p>
    <w:p>
      <w:pPr>
        <w:spacing w:line="360" w:lineRule="auto"/>
        <w:ind w:left="540"/>
        <w:contextualSpacing/>
        <w:rPr>
          <w:rFonts w:ascii="宋体" w:hAnsi="宋体" w:cs="仿宋_GB2312"/>
          <w:sz w:val="24"/>
        </w:rPr>
      </w:pPr>
      <w:r>
        <w:rPr>
          <w:rFonts w:hint="eastAsia" w:ascii="宋体" w:hAnsi="宋体" w:cs="仿宋_GB2312"/>
          <w:sz w:val="24"/>
        </w:rPr>
        <w:t>地    址：</w:t>
      </w:r>
      <w:r>
        <w:rPr>
          <w:rFonts w:hint="eastAsia" w:ascii="宋体" w:hAnsi="宋体" w:cs="仿宋_GB2312"/>
          <w:sz w:val="24"/>
          <w:u w:val="single"/>
        </w:rPr>
        <w:t xml:space="preserve">      </w:t>
      </w:r>
    </w:p>
    <w:p>
      <w:pPr>
        <w:spacing w:line="360" w:lineRule="auto"/>
        <w:ind w:left="540"/>
        <w:contextualSpacing/>
        <w:rPr>
          <w:rFonts w:ascii="宋体" w:hAnsi="宋体" w:cs="仿宋_GB2312"/>
          <w:sz w:val="24"/>
        </w:rPr>
      </w:pPr>
      <w:r>
        <w:rPr>
          <w:rFonts w:hint="eastAsia" w:ascii="宋体" w:hAnsi="宋体" w:cs="仿宋_GB2312"/>
          <w:sz w:val="24"/>
        </w:rPr>
        <w:t>姓    名：</w:t>
      </w:r>
      <w:r>
        <w:rPr>
          <w:rFonts w:hint="eastAsia" w:ascii="宋体" w:hAnsi="宋体" w:cs="仿宋_GB2312"/>
          <w:sz w:val="24"/>
          <w:u w:val="single"/>
        </w:rPr>
        <w:t xml:space="preserve">      </w:t>
      </w:r>
      <w:r>
        <w:rPr>
          <w:rFonts w:hint="eastAsia" w:ascii="宋体" w:hAnsi="宋体" w:cs="仿宋_GB2312"/>
          <w:sz w:val="24"/>
        </w:rPr>
        <w:t>性     别：</w:t>
      </w:r>
      <w:r>
        <w:rPr>
          <w:rFonts w:hint="eastAsia" w:ascii="宋体" w:hAnsi="宋体" w:cs="仿宋_GB2312"/>
          <w:sz w:val="24"/>
          <w:u w:val="single"/>
        </w:rPr>
        <w:t xml:space="preserve">      </w:t>
      </w:r>
    </w:p>
    <w:p>
      <w:pPr>
        <w:spacing w:line="360" w:lineRule="auto"/>
        <w:ind w:left="540"/>
        <w:contextualSpacing/>
        <w:rPr>
          <w:rFonts w:ascii="宋体" w:hAnsi="宋体" w:cs="仿宋_GB2312"/>
          <w:sz w:val="24"/>
          <w:u w:val="single"/>
        </w:rPr>
      </w:pPr>
      <w:r>
        <w:rPr>
          <w:rFonts w:hint="eastAsia" w:ascii="宋体" w:hAnsi="宋体" w:cs="仿宋_GB2312"/>
          <w:sz w:val="24"/>
        </w:rPr>
        <w:t>年    龄：</w:t>
      </w:r>
      <w:r>
        <w:rPr>
          <w:rFonts w:hint="eastAsia" w:ascii="宋体" w:hAnsi="宋体" w:cs="仿宋_GB2312"/>
          <w:sz w:val="24"/>
          <w:u w:val="single"/>
        </w:rPr>
        <w:t xml:space="preserve">      </w:t>
      </w:r>
      <w:r>
        <w:rPr>
          <w:rFonts w:hint="eastAsia" w:ascii="宋体" w:hAnsi="宋体" w:cs="仿宋_GB2312"/>
          <w:sz w:val="24"/>
        </w:rPr>
        <w:t>职     务：</w:t>
      </w:r>
      <w:r>
        <w:rPr>
          <w:rFonts w:hint="eastAsia" w:ascii="宋体" w:hAnsi="宋体" w:cs="仿宋_GB2312"/>
          <w:sz w:val="24"/>
          <w:u w:val="single"/>
        </w:rPr>
        <w:t xml:space="preserve">      </w:t>
      </w:r>
    </w:p>
    <w:p>
      <w:pPr>
        <w:spacing w:line="360" w:lineRule="auto"/>
        <w:ind w:left="540"/>
        <w:contextualSpacing/>
        <w:rPr>
          <w:rFonts w:ascii="宋体" w:hAnsi="宋体" w:cs="仿宋_GB2312"/>
          <w:sz w:val="24"/>
        </w:rPr>
      </w:pPr>
      <w:r>
        <w:rPr>
          <w:rFonts w:hint="eastAsia" w:ascii="宋体" w:hAnsi="宋体" w:cs="仿宋_GB2312"/>
          <w:sz w:val="24"/>
        </w:rPr>
        <w:t>身份证号码：</w:t>
      </w:r>
      <w:r>
        <w:rPr>
          <w:rFonts w:hint="eastAsia" w:ascii="宋体" w:hAnsi="宋体" w:cs="仿宋_GB2312"/>
          <w:sz w:val="24"/>
          <w:u w:val="single"/>
        </w:rPr>
        <w:t xml:space="preserve">      </w:t>
      </w:r>
    </w:p>
    <w:p>
      <w:pPr>
        <w:spacing w:line="360" w:lineRule="auto"/>
        <w:ind w:firstLine="480" w:firstLineChars="200"/>
        <w:contextualSpacing/>
        <w:rPr>
          <w:rFonts w:ascii="宋体" w:hAnsi="宋体" w:cs="仿宋_GB2312"/>
          <w:sz w:val="24"/>
        </w:rPr>
      </w:pPr>
      <w:r>
        <w:rPr>
          <w:rFonts w:hint="eastAsia" w:ascii="宋体" w:hAnsi="宋体" w:cs="仿宋_GB2312"/>
          <w:sz w:val="24"/>
        </w:rPr>
        <w:t>系</w:t>
      </w:r>
      <w:r>
        <w:rPr>
          <w:rFonts w:hint="eastAsia" w:ascii="宋体" w:hAnsi="宋体" w:cs="仿宋_GB2312"/>
          <w:sz w:val="24"/>
          <w:u w:val="single"/>
        </w:rPr>
        <w:t xml:space="preserve">（供应商名称）      </w:t>
      </w:r>
      <w:r>
        <w:rPr>
          <w:rFonts w:hint="eastAsia" w:ascii="宋体" w:hAnsi="宋体" w:cs="仿宋_GB2312"/>
          <w:sz w:val="24"/>
        </w:rPr>
        <w:t>的法定代表人。</w:t>
      </w:r>
    </w:p>
    <w:p>
      <w:pPr>
        <w:spacing w:line="360" w:lineRule="auto"/>
        <w:ind w:left="540"/>
        <w:contextualSpacing/>
        <w:rPr>
          <w:rFonts w:ascii="宋体" w:hAnsi="宋体" w:cs="仿宋_GB2312"/>
          <w:sz w:val="24"/>
        </w:rPr>
      </w:pPr>
      <w:r>
        <w:rPr>
          <w:rFonts w:hint="eastAsia" w:ascii="宋体" w:hAnsi="宋体" w:cs="仿宋_GB2312"/>
          <w:sz w:val="24"/>
        </w:rPr>
        <w:t>特此证明。</w:t>
      </w: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p>
    <w:p>
      <w:pPr>
        <w:spacing w:line="360" w:lineRule="auto"/>
        <w:ind w:left="540"/>
        <w:contextualSpacing/>
        <w:rPr>
          <w:rFonts w:ascii="宋体" w:hAnsi="宋体" w:cs="仿宋_GB2312"/>
          <w:sz w:val="24"/>
        </w:rPr>
      </w:pPr>
      <w:r>
        <w:rPr>
          <w:rFonts w:hint="eastAsia" w:ascii="宋体" w:hAnsi="宋体" w:cs="仿宋_GB2312"/>
          <w:sz w:val="24"/>
        </w:rPr>
        <w:t>附件：法定代表人有效身份证正反面复印件</w:t>
      </w:r>
    </w:p>
    <w:p>
      <w:pPr>
        <w:spacing w:line="360" w:lineRule="auto"/>
        <w:ind w:left="540"/>
        <w:contextualSpacing/>
        <w:rPr>
          <w:rFonts w:ascii="宋体" w:hAnsi="宋体" w:cs="仿宋_GB2312"/>
          <w:sz w:val="24"/>
        </w:rPr>
      </w:pPr>
    </w:p>
    <w:p>
      <w:pPr>
        <w:autoSpaceDE w:val="0"/>
        <w:autoSpaceDN w:val="0"/>
        <w:spacing w:line="360" w:lineRule="auto"/>
        <w:ind w:left="4335" w:leftChars="1950" w:hanging="240" w:hangingChars="1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spacing w:line="520" w:lineRule="exact"/>
        <w:ind w:left="239" w:leftChars="114" w:firstLine="6120" w:firstLineChars="2550"/>
        <w:jc w:val="left"/>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日期：  年  月   日</w:t>
      </w:r>
    </w:p>
    <w:p>
      <w:pPr>
        <w:spacing w:line="360" w:lineRule="auto"/>
        <w:contextualSpacing/>
        <w:jc w:val="center"/>
        <w:rPr>
          <w:rFonts w:ascii="宋体" w:hAnsi="宋体" w:cs="仿宋_GB2312"/>
          <w:b/>
          <w:sz w:val="24"/>
        </w:rPr>
      </w:pPr>
    </w:p>
    <w:p>
      <w:pPr>
        <w:spacing w:line="360" w:lineRule="auto"/>
        <w:contextualSpacing/>
        <w:jc w:val="left"/>
        <w:rPr>
          <w:rFonts w:ascii="宋体" w:hAnsi="宋体" w:cs="仿宋_GB2312"/>
          <w:sz w:val="24"/>
        </w:rPr>
      </w:pPr>
    </w:p>
    <w:p>
      <w:pPr>
        <w:spacing w:line="360" w:lineRule="auto"/>
        <w:jc w:val="left"/>
        <w:rPr>
          <w:rFonts w:ascii="宋体" w:hAnsi="宋体" w:cs="仿宋_GB2312"/>
          <w:sz w:val="24"/>
        </w:rPr>
      </w:pPr>
      <w:r>
        <w:rPr>
          <w:rFonts w:hint="eastAsia" w:ascii="宋体" w:hAnsi="宋体" w:cs="仿宋_GB2312"/>
          <w:sz w:val="24"/>
        </w:rPr>
        <w:t>注：1.自然人竞标的无需提供，联合体竞标的只需牵头人出具。</w:t>
      </w:r>
    </w:p>
    <w:p>
      <w:pPr>
        <w:spacing w:line="360" w:lineRule="auto"/>
        <w:ind w:firstLine="480" w:firstLineChars="200"/>
        <w:jc w:val="left"/>
        <w:rPr>
          <w:rFonts w:ascii="宋体" w:hAnsi="宋体" w:cs="仿宋_GB2312"/>
          <w:sz w:val="24"/>
        </w:rPr>
      </w:pPr>
      <w:r>
        <w:rPr>
          <w:rFonts w:hint="eastAsia" w:ascii="宋体" w:hAnsi="宋体" w:cs="仿宋_GB2312"/>
          <w:sz w:val="24"/>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spacing w:line="360" w:lineRule="auto"/>
        <w:contextualSpacing/>
        <w:jc w:val="left"/>
        <w:rPr>
          <w:rFonts w:ascii="宋体" w:hAnsi="宋体" w:cs="仿宋_GB2312"/>
          <w:sz w:val="24"/>
        </w:rPr>
      </w:pPr>
    </w:p>
    <w:p>
      <w:pPr>
        <w:rPr>
          <w:rFonts w:ascii="宋体" w:hAnsi="宋体" w:cs="仿宋_GB2312"/>
          <w:sz w:val="24"/>
        </w:rPr>
      </w:pPr>
      <w:r>
        <w:rPr>
          <w:rFonts w:hint="eastAsia" w:ascii="宋体" w:hAnsi="宋体" w:cs="仿宋_GB2312"/>
          <w:sz w:val="24"/>
        </w:rPr>
        <w:br w:type="page"/>
      </w:r>
    </w:p>
    <w:p>
      <w:pPr>
        <w:spacing w:line="360" w:lineRule="auto"/>
        <w:jc w:val="left"/>
        <w:rPr>
          <w:rFonts w:ascii="仿宋_GB2312" w:hAnsi="仿宋_GB2312" w:eastAsia="仿宋_GB2312" w:cs="仿宋_GB2312"/>
          <w:b/>
          <w:sz w:val="32"/>
          <w:szCs w:val="32"/>
        </w:rPr>
      </w:pPr>
      <w:r>
        <w:rPr>
          <w:rFonts w:hint="eastAsia" w:hAnsi="宋体"/>
          <w:b/>
          <w:sz w:val="24"/>
        </w:rPr>
        <w:t>附件：</w:t>
      </w:r>
    </w:p>
    <w:tbl>
      <w:tblPr>
        <w:tblStyle w:val="32"/>
        <w:tblpPr w:leftFromText="180" w:rightFromText="180" w:vertAnchor="text" w:horzAnchor="page" w:tblpX="1824" w:tblpY="70"/>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5" w:hRule="atLeast"/>
        </w:trPr>
        <w:tc>
          <w:tcPr>
            <w:tcW w:w="8460" w:type="dxa"/>
            <w:tcBorders>
              <w:top w:val="single" w:color="auto" w:sz="4" w:space="0"/>
              <w:left w:val="single" w:color="auto" w:sz="4" w:space="0"/>
              <w:bottom w:val="single" w:color="auto" w:sz="4" w:space="0"/>
              <w:right w:val="single" w:color="auto" w:sz="4" w:space="0"/>
            </w:tcBorders>
            <w:noWrap/>
          </w:tcPr>
          <w:p>
            <w:pPr>
              <w:adjustRightInd w:val="0"/>
              <w:snapToGrid w:val="0"/>
              <w:spacing w:line="360" w:lineRule="auto"/>
              <w:rPr>
                <w:rFonts w:ascii="宋体"/>
                <w:b/>
                <w:sz w:val="24"/>
              </w:rPr>
            </w:pPr>
          </w:p>
          <w:p>
            <w:pPr>
              <w:adjustRightInd w:val="0"/>
              <w:snapToGrid w:val="0"/>
              <w:spacing w:line="360" w:lineRule="auto"/>
              <w:rPr>
                <w:rFonts w:ascii="宋体"/>
                <w:b/>
                <w:sz w:val="24"/>
              </w:rPr>
            </w:pPr>
            <w:r>
              <w:rPr>
                <w:rFonts w:hint="eastAsia" w:ascii="宋体"/>
                <w:b/>
                <w:sz w:val="24"/>
              </w:rPr>
              <w:t>法定代表身份证复印件粘帖处（正、反面）</w:t>
            </w:r>
          </w:p>
        </w:tc>
      </w:tr>
    </w:tbl>
    <w:p>
      <w:pPr>
        <w:pStyle w:val="2"/>
      </w:pPr>
    </w:p>
    <w:p>
      <w:pPr>
        <w:adjustRightInd w:val="0"/>
        <w:snapToGrid w:val="0"/>
        <w:spacing w:line="300" w:lineRule="auto"/>
        <w:jc w:val="left"/>
        <w:rPr>
          <w:rFonts w:ascii="宋体" w:hAnsi="宋体"/>
          <w:b/>
          <w:color w:val="000000" w:themeColor="text1"/>
          <w:szCs w:val="21"/>
          <w14:textFill>
            <w14:solidFill>
              <w14:schemeClr w14:val="tx1"/>
            </w14:solidFill>
          </w14:textFill>
        </w:rPr>
      </w:pPr>
    </w:p>
    <w:p>
      <w:pPr>
        <w:adjustRightInd w:val="0"/>
        <w:snapToGrid w:val="0"/>
        <w:spacing w:line="300" w:lineRule="auto"/>
        <w:jc w:val="left"/>
        <w:rPr>
          <w:rFonts w:ascii="宋体" w:hAnsi="宋体" w:cs="宋体"/>
          <w:b/>
          <w:szCs w:val="21"/>
        </w:rPr>
      </w:pPr>
    </w:p>
    <w:p>
      <w:pPr>
        <w:spacing w:line="500" w:lineRule="exact"/>
        <w:jc w:val="center"/>
        <w:rPr>
          <w:rFonts w:ascii="宋体" w:hAnsi="宋体" w:cs="宋体"/>
          <w:sz w:val="44"/>
          <w:szCs w:val="44"/>
        </w:rPr>
      </w:pPr>
      <w:r>
        <w:rPr>
          <w:rFonts w:hint="eastAsia" w:ascii="宋体" w:hAnsi="宋体" w:cs="宋体"/>
          <w:sz w:val="44"/>
          <w:szCs w:val="44"/>
        </w:rPr>
        <w:br w:type="page"/>
      </w:r>
    </w:p>
    <w:p>
      <w:pPr>
        <w:jc w:val="center"/>
        <w:rPr>
          <w:rFonts w:ascii="宋体" w:hAnsi="宋体" w:cs="宋体"/>
          <w:b/>
          <w:sz w:val="44"/>
          <w:szCs w:val="44"/>
        </w:rPr>
      </w:pPr>
      <w:bookmarkStart w:id="96" w:name="_Hlk65853643"/>
      <w:r>
        <w:rPr>
          <w:rFonts w:hint="eastAsia" w:ascii="宋体" w:hAnsi="宋体" w:cs="宋体"/>
          <w:b/>
          <w:sz w:val="44"/>
          <w:szCs w:val="44"/>
        </w:rPr>
        <w:t>授权委托书</w:t>
      </w:r>
    </w:p>
    <w:p>
      <w:pPr>
        <w:jc w:val="center"/>
        <w:rPr>
          <w:rFonts w:ascii="宋体" w:hAnsi="宋体" w:cs="宋体"/>
          <w:sz w:val="44"/>
          <w:szCs w:val="44"/>
        </w:rPr>
      </w:pPr>
      <w:r>
        <w:rPr>
          <w:rFonts w:hint="eastAsia" w:ascii="宋体" w:hAnsi="宋体" w:cs="宋体"/>
          <w:sz w:val="32"/>
          <w:szCs w:val="32"/>
        </w:rPr>
        <w:t>（如有委托时）</w:t>
      </w:r>
    </w:p>
    <w:p>
      <w:pPr>
        <w:spacing w:line="520" w:lineRule="exact"/>
        <w:rPr>
          <w:rFonts w:ascii="宋体" w:hAnsi="宋体" w:cs="宋体"/>
          <w:sz w:val="32"/>
          <w:szCs w:val="32"/>
        </w:rPr>
      </w:pPr>
    </w:p>
    <w:p>
      <w:pPr>
        <w:spacing w:line="360" w:lineRule="auto"/>
        <w:contextualSpacing/>
        <w:rPr>
          <w:rFonts w:ascii="宋体" w:hAnsi="宋体" w:cs="仿宋_GB2312"/>
          <w:sz w:val="24"/>
        </w:rPr>
      </w:pPr>
      <w:r>
        <w:rPr>
          <w:rFonts w:hint="eastAsia" w:ascii="宋体" w:hAnsi="宋体" w:cs="仿宋_GB2312"/>
          <w:sz w:val="24"/>
        </w:rPr>
        <w:t>致：</w:t>
      </w:r>
      <w:r>
        <w:rPr>
          <w:rFonts w:hint="eastAsia" w:ascii="宋体" w:hAnsi="宋体" w:cs="仿宋_GB2312"/>
          <w:sz w:val="24"/>
          <w:u w:val="single"/>
        </w:rPr>
        <w:t>（采购人名称）</w:t>
      </w:r>
      <w:r>
        <w:rPr>
          <w:rFonts w:hint="eastAsia" w:ascii="宋体" w:hAnsi="宋体" w:cs="仿宋_GB2312"/>
          <w:sz w:val="24"/>
        </w:rPr>
        <w:t>：</w:t>
      </w:r>
    </w:p>
    <w:p>
      <w:pPr>
        <w:spacing w:line="360" w:lineRule="auto"/>
        <w:ind w:firstLine="480" w:firstLineChars="200"/>
        <w:contextualSpacing/>
        <w:rPr>
          <w:rFonts w:ascii="宋体" w:hAnsi="宋体" w:cs="仿宋_GB2312"/>
          <w:sz w:val="24"/>
        </w:rPr>
      </w:pPr>
      <w:r>
        <w:rPr>
          <w:rFonts w:hint="eastAsia" w:ascii="宋体" w:hAnsi="宋体" w:cs="仿宋_GB2312"/>
          <w:sz w:val="24"/>
        </w:rPr>
        <w:t>我</w:t>
      </w:r>
      <w:r>
        <w:rPr>
          <w:rFonts w:hint="eastAsia" w:ascii="宋体" w:hAnsi="宋体" w:cs="仿宋_GB2312"/>
          <w:sz w:val="24"/>
          <w:u w:val="single"/>
        </w:rPr>
        <w:t xml:space="preserve">  （姓名）  </w:t>
      </w:r>
      <w:r>
        <w:rPr>
          <w:rFonts w:hint="eastAsia" w:ascii="宋体" w:hAnsi="宋体" w:cs="仿宋_GB2312"/>
          <w:sz w:val="24"/>
        </w:rPr>
        <w:t>系</w:t>
      </w:r>
      <w:r>
        <w:rPr>
          <w:rFonts w:hint="eastAsia" w:ascii="宋体" w:hAnsi="宋体" w:cs="仿宋_GB2312"/>
          <w:sz w:val="24"/>
          <w:u w:val="single"/>
        </w:rPr>
        <w:t xml:space="preserve">  （供应商名称）  </w:t>
      </w:r>
      <w:r>
        <w:rPr>
          <w:rFonts w:hint="eastAsia" w:ascii="宋体" w:hAnsi="宋体" w:cs="仿宋_GB2312"/>
          <w:sz w:val="24"/>
        </w:rPr>
        <w:t>的（</w:t>
      </w:r>
      <w:r>
        <w:rPr>
          <w:rFonts w:hint="eastAsia" w:ascii="宋体" w:hAnsi="宋体" w:cs="仿宋_GB2312"/>
          <w:sz w:val="24"/>
          <w:u w:val="single"/>
        </w:rPr>
        <w:sym w:font="Wingdings 2" w:char="00A3"/>
      </w:r>
      <w:r>
        <w:rPr>
          <w:rFonts w:hint="eastAsia" w:ascii="宋体" w:hAnsi="宋体" w:cs="仿宋_GB2312"/>
          <w:sz w:val="24"/>
          <w:u w:val="single"/>
        </w:rPr>
        <w:t>法定代表人/□负责人/□自然人本人</w:t>
      </w:r>
      <w:r>
        <w:rPr>
          <w:rFonts w:hint="eastAsia" w:ascii="宋体" w:hAnsi="宋体" w:cs="仿宋_GB2312"/>
          <w:sz w:val="24"/>
        </w:rPr>
        <w:t>），现授权</w:t>
      </w:r>
      <w:r>
        <w:rPr>
          <w:rFonts w:hint="eastAsia" w:ascii="宋体" w:hAnsi="宋体" w:cs="仿宋_GB2312"/>
          <w:sz w:val="24"/>
          <w:u w:val="single"/>
        </w:rPr>
        <w:t xml:space="preserve"> （姓名） </w:t>
      </w:r>
      <w:r>
        <w:rPr>
          <w:rFonts w:hint="eastAsia" w:ascii="宋体" w:hAnsi="宋体" w:cs="仿宋_GB2312"/>
          <w:sz w:val="24"/>
        </w:rPr>
        <w:t>以我方的名义参加</w:t>
      </w:r>
      <w:r>
        <w:rPr>
          <w:rFonts w:hint="eastAsia" w:ascii="宋体" w:hAnsi="宋体" w:cs="仿宋_GB2312"/>
          <w:sz w:val="24"/>
          <w:u w:val="single"/>
        </w:rPr>
        <w:t xml:space="preserve"> （项目名称_） </w:t>
      </w:r>
      <w:r>
        <w:rPr>
          <w:rFonts w:hint="eastAsia" w:ascii="宋体" w:hAnsi="宋体" w:cs="仿宋_GB2312"/>
          <w:sz w:val="24"/>
        </w:rPr>
        <w:t>项目的竞标活动，并代表我方全权办理针对上述项目的所有采购程序和环节的具体事务和签署相关文件。</w:t>
      </w:r>
    </w:p>
    <w:p>
      <w:pPr>
        <w:spacing w:line="360" w:lineRule="auto"/>
        <w:contextualSpacing/>
        <w:rPr>
          <w:rFonts w:ascii="宋体" w:hAnsi="宋体" w:cs="仿宋_GB2312"/>
          <w:sz w:val="24"/>
        </w:rPr>
      </w:pPr>
      <w:r>
        <w:rPr>
          <w:rFonts w:hint="eastAsia" w:ascii="宋体" w:hAnsi="宋体" w:cs="仿宋_GB2312"/>
          <w:sz w:val="24"/>
        </w:rPr>
        <w:t xml:space="preserve">    我方对委托代理人的签字事项负全部责任。</w:t>
      </w:r>
    </w:p>
    <w:p>
      <w:pPr>
        <w:spacing w:line="360" w:lineRule="auto"/>
        <w:ind w:firstLine="480" w:firstLineChars="200"/>
        <w:contextualSpacing/>
        <w:rPr>
          <w:rFonts w:ascii="宋体" w:hAnsi="宋体" w:cs="仿宋_GB2312"/>
          <w:sz w:val="24"/>
        </w:rPr>
      </w:pPr>
      <w:r>
        <w:rPr>
          <w:rFonts w:hint="eastAsia" w:ascii="宋体" w:hAnsi="宋体" w:cs="仿宋_GB2312"/>
          <w:sz w:val="24"/>
        </w:rPr>
        <w:t>本授权书自签署之日起生效，在撤销授权的书面通知以前，本授权书一直有效。委托代理人在授权书有效期内签署的所有文件不因授权的撤销而失效。</w:t>
      </w:r>
    </w:p>
    <w:p>
      <w:pPr>
        <w:spacing w:line="360" w:lineRule="auto"/>
        <w:ind w:firstLine="480" w:firstLineChars="200"/>
        <w:contextualSpacing/>
        <w:rPr>
          <w:rFonts w:ascii="宋体" w:hAnsi="宋体" w:cs="仿宋_GB2312"/>
          <w:sz w:val="24"/>
        </w:rPr>
      </w:pPr>
      <w:r>
        <w:rPr>
          <w:rFonts w:hint="eastAsia" w:ascii="宋体" w:hAnsi="宋体" w:cs="仿宋_GB2312"/>
          <w:sz w:val="24"/>
        </w:rPr>
        <w:t>委托代理人无转委托权，特此委托。</w:t>
      </w:r>
    </w:p>
    <w:p>
      <w:pPr>
        <w:spacing w:line="360" w:lineRule="auto"/>
        <w:ind w:firstLine="480" w:firstLineChars="200"/>
        <w:contextualSpacing/>
        <w:rPr>
          <w:rFonts w:ascii="宋体" w:hAnsi="宋体" w:cs="仿宋_GB2312"/>
          <w:sz w:val="24"/>
        </w:rPr>
      </w:pPr>
      <w:r>
        <w:rPr>
          <w:rFonts w:hint="eastAsia" w:ascii="宋体" w:hAnsi="宋体" w:cs="仿宋_GB2312"/>
          <w:sz w:val="24"/>
        </w:rPr>
        <w:t>附：法定代表人身份证明书及委托代理人有效身份证正反面复印件</w:t>
      </w: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r>
        <w:rPr>
          <w:rFonts w:hint="eastAsia" w:ascii="宋体" w:hAnsi="宋体" w:cs="仿宋_GB2312"/>
          <w:sz w:val="24"/>
        </w:rPr>
        <w:t>委托代理人（</w:t>
      </w:r>
      <w:r>
        <w:rPr>
          <w:rFonts w:hint="eastAsia" w:ascii="宋体" w:hAnsi="宋体"/>
          <w:sz w:val="24"/>
        </w:rPr>
        <w:t>签字</w:t>
      </w:r>
      <w:r>
        <w:rPr>
          <w:rFonts w:hint="eastAsia" w:ascii="宋体" w:hAnsi="宋体" w:cs="仿宋_GB2312"/>
          <w:sz w:val="24"/>
        </w:rPr>
        <w:t xml:space="preserve">）：     法定代表人（签字）：                    </w:t>
      </w:r>
    </w:p>
    <w:p>
      <w:pPr>
        <w:spacing w:line="360" w:lineRule="auto"/>
        <w:contextualSpacing/>
        <w:rPr>
          <w:rFonts w:ascii="宋体" w:hAnsi="宋体" w:cs="仿宋_GB2312"/>
          <w:sz w:val="24"/>
        </w:rPr>
      </w:pPr>
      <w:r>
        <w:rPr>
          <w:rFonts w:hint="eastAsia" w:ascii="宋体" w:hAnsi="宋体" w:cs="仿宋_GB2312"/>
          <w:sz w:val="24"/>
        </w:rPr>
        <w:t xml:space="preserve">委托代理人身份证号码：                              </w:t>
      </w:r>
    </w:p>
    <w:p>
      <w:pPr>
        <w:spacing w:line="360" w:lineRule="auto"/>
        <w:contextualSpacing/>
        <w:rPr>
          <w:rFonts w:ascii="宋体" w:hAnsi="宋体" w:cs="仿宋_GB2312"/>
          <w:sz w:val="24"/>
        </w:rPr>
      </w:pPr>
    </w:p>
    <w:p>
      <w:pPr>
        <w:spacing w:line="360" w:lineRule="auto"/>
        <w:rPr>
          <w:rFonts w:ascii="宋体" w:hAnsi="宋体" w:cs="仿宋_GB2312"/>
          <w:sz w:val="24"/>
        </w:rPr>
      </w:pPr>
      <w:r>
        <w:rPr>
          <w:rFonts w:hint="eastAsia" w:ascii="仿宋_GB2312" w:hAnsi="仿宋" w:eastAsia="仿宋_GB2312" w:cs="仿宋_GB2312"/>
          <w:kern w:val="0"/>
          <w:sz w:val="24"/>
        </w:rPr>
        <w:t>供应商名称（电子签章）：</w:t>
      </w:r>
    </w:p>
    <w:p>
      <w:pPr>
        <w:spacing w:line="360" w:lineRule="auto"/>
        <w:jc w:val="center"/>
        <w:rPr>
          <w:rFonts w:ascii="宋体" w:hAnsi="宋体" w:cs="仿宋_GB2312"/>
          <w:b/>
          <w:sz w:val="24"/>
        </w:rPr>
      </w:pPr>
      <w:r>
        <w:rPr>
          <w:rFonts w:hint="eastAsia" w:ascii="仿宋_GB2312" w:hAnsi="仿宋" w:eastAsia="仿宋_GB2312" w:cs="仿宋_GB2312"/>
          <w:kern w:val="0"/>
          <w:sz w:val="24"/>
          <w:lang w:val="zh-CN"/>
        </w:rPr>
        <w:t xml:space="preserve">                                                   日期：  年  月   日</w:t>
      </w: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r>
        <w:rPr>
          <w:rFonts w:hint="eastAsia" w:ascii="宋体" w:hAnsi="宋体" w:cs="仿宋_GB2312"/>
          <w:sz w:val="24"/>
        </w:rPr>
        <w:t>注：1. 法定代表人必须在授权委托书上签字或者盖章，委托代理人必须在授权委托书上签字，</w:t>
      </w:r>
      <w:r>
        <w:rPr>
          <w:rFonts w:hint="eastAsia" w:ascii="宋体" w:hAnsi="宋体" w:cs="仿宋_GB2312"/>
          <w:b/>
          <w:sz w:val="24"/>
        </w:rPr>
        <w:t>否则其响应文件按无效响应处理。</w:t>
      </w:r>
    </w:p>
    <w:p>
      <w:pPr>
        <w:spacing w:line="360" w:lineRule="auto"/>
        <w:ind w:firstLine="480" w:firstLineChars="200"/>
        <w:jc w:val="left"/>
        <w:rPr>
          <w:rFonts w:ascii="宋体" w:hAnsi="宋体" w:cs="仿宋_GB2312"/>
          <w:sz w:val="24"/>
        </w:rPr>
      </w:pPr>
      <w:r>
        <w:rPr>
          <w:rFonts w:hint="eastAsia" w:ascii="宋体" w:hAnsi="宋体" w:cs="仿宋_GB2312"/>
          <w:sz w:val="24"/>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spacing w:line="360" w:lineRule="auto"/>
        <w:ind w:firstLine="480" w:firstLineChars="200"/>
        <w:contextualSpacing/>
        <w:jc w:val="left"/>
        <w:rPr>
          <w:rFonts w:ascii="宋体" w:hAnsi="宋体" w:cs="仿宋_GB2312"/>
          <w:sz w:val="24"/>
        </w:rPr>
      </w:pPr>
      <w:r>
        <w:rPr>
          <w:rFonts w:hint="eastAsia" w:ascii="宋体" w:hAnsi="宋体" w:cs="仿宋_GB2312"/>
          <w:sz w:val="24"/>
        </w:rPr>
        <w:t>3</w:t>
      </w:r>
      <w:r>
        <w:rPr>
          <w:rFonts w:ascii="宋体" w:hAnsi="宋体" w:cs="仿宋_GB2312"/>
          <w:sz w:val="24"/>
        </w:rPr>
        <w:t>.</w:t>
      </w:r>
      <w:bookmarkStart w:id="97" w:name="_Hlk65853109"/>
      <w:bookmarkStart w:id="98" w:name="_Hlk65853542"/>
      <w:r>
        <w:rPr>
          <w:rFonts w:hint="eastAsia" w:ascii="宋体" w:hAnsi="宋体" w:cs="仿宋_GB2312"/>
          <w:sz w:val="24"/>
        </w:rPr>
        <w:t>法人、其他组织竞标时“我方”是指“我单位”，自然人竞标时“我方”是指“本人”。</w:t>
      </w:r>
      <w:bookmarkEnd w:id="97"/>
    </w:p>
    <w:bookmarkEnd w:id="98"/>
    <w:p>
      <w:pPr>
        <w:spacing w:line="360" w:lineRule="auto"/>
        <w:ind w:firstLine="420" w:firstLineChars="200"/>
        <w:jc w:val="center"/>
        <w:rPr>
          <w:rFonts w:ascii="宋体" w:hAnsi="宋体" w:cs="宋体"/>
          <w:bCs/>
          <w:sz w:val="44"/>
          <w:szCs w:val="44"/>
        </w:rPr>
      </w:pPr>
      <w:r>
        <w:rPr>
          <w:rFonts w:hint="eastAsia" w:ascii="宋体" w:hAnsi="宋体" w:cs="宋体"/>
          <w:szCs w:val="21"/>
        </w:rPr>
        <w:br w:type="page"/>
      </w:r>
      <w:bookmarkEnd w:id="96"/>
      <w:r>
        <w:rPr>
          <w:rFonts w:hint="eastAsia" w:ascii="宋体" w:hAnsi="宋体" w:cs="宋体"/>
          <w:b/>
          <w:bCs/>
          <w:sz w:val="44"/>
          <w:szCs w:val="44"/>
        </w:rPr>
        <w:t>商务要求偏离表</w:t>
      </w:r>
      <w:r>
        <w:rPr>
          <w:rFonts w:hint="eastAsia" w:ascii="宋体" w:hAnsi="宋体" w:cs="宋体"/>
          <w:bCs/>
          <w:sz w:val="44"/>
          <w:szCs w:val="44"/>
        </w:rPr>
        <w:t>（格式）</w:t>
      </w:r>
    </w:p>
    <w:p>
      <w:pPr>
        <w:pStyle w:val="20"/>
        <w:spacing w:line="360" w:lineRule="auto"/>
        <w:contextualSpacing/>
        <w:rPr>
          <w:rFonts w:hint="eastAsia" w:hAnsi="宋体" w:eastAsia="宋体" w:cs="仿宋_GB2312"/>
          <w:sz w:val="24"/>
          <w:szCs w:val="24"/>
          <w:lang w:val="en-US" w:eastAsia="zh-CN"/>
        </w:rPr>
      </w:pPr>
      <w:r>
        <w:rPr>
          <w:rFonts w:hint="eastAsia" w:hAnsi="宋体" w:cs="仿宋_GB2312"/>
          <w:sz w:val="24"/>
          <w:szCs w:val="24"/>
        </w:rPr>
        <w:t>所竞标项名称：</w:t>
      </w:r>
      <w:r>
        <w:rPr>
          <w:rFonts w:hint="eastAsia" w:hAnsi="宋体" w:cs="仿宋_GB2312"/>
          <w:sz w:val="24"/>
          <w:szCs w:val="24"/>
          <w:u w:val="single"/>
          <w:lang w:val="en-US" w:eastAsia="zh-CN"/>
        </w:rPr>
        <w:t xml:space="preserve">  </w:t>
      </w:r>
      <w:r>
        <w:rPr>
          <w:rFonts w:hint="eastAsia" w:hAnsi="宋体" w:cs="仿宋_GB2312"/>
          <w:sz w:val="24"/>
          <w:szCs w:val="24"/>
          <w:u w:val="single"/>
        </w:rPr>
        <w:t>[营养科医用食品配送服务（二）/营养科医用食品配送服务（三）]</w:t>
      </w:r>
      <w:r>
        <w:rPr>
          <w:rFonts w:hint="eastAsia" w:hAnsi="宋体" w:cs="仿宋_GB2312"/>
          <w:sz w:val="24"/>
          <w:szCs w:val="24"/>
          <w:u w:val="single"/>
          <w:lang w:val="en-US" w:eastAsia="zh-CN"/>
        </w:rPr>
        <w:t xml:space="preserve"> </w:t>
      </w:r>
    </w:p>
    <w:tbl>
      <w:tblPr>
        <w:tblStyle w:val="32"/>
        <w:tblpPr w:leftFromText="180" w:rightFromText="180" w:vertAnchor="text" w:horzAnchor="page" w:tblpXSpec="center" w:tblpY="76"/>
        <w:tblOverlap w:val="never"/>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43"/>
        <w:gridCol w:w="2866"/>
        <w:gridCol w:w="3274"/>
        <w:gridCol w:w="156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4"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szCs w:val="21"/>
              </w:rPr>
              <w:t>项号</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磋商文件商务要求</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供应商的响应</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偏离说明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jc w:val="center"/>
              <w:rPr>
                <w:rFonts w:ascii="宋体" w:hAnsi="宋体" w:cs="宋体"/>
                <w:sz w:val="24"/>
              </w:rPr>
            </w:pPr>
            <w:r>
              <w:rPr>
                <w:rFonts w:hint="eastAsia" w:ascii="宋体" w:hAnsi="宋体" w:cs="宋体"/>
                <w:sz w:val="24"/>
              </w:rPr>
              <w:t>一</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jc w:val="center"/>
              <w:rPr>
                <w:rFonts w:ascii="宋体" w:hAnsi="宋体" w:cs="宋体"/>
                <w:sz w:val="24"/>
              </w:rPr>
            </w:pPr>
            <w:r>
              <w:rPr>
                <w:rFonts w:hint="eastAsia" w:ascii="宋体" w:hAnsi="宋体" w:cs="宋体"/>
                <w:sz w:val="24"/>
              </w:rPr>
              <w:t>二</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三</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四</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cs="仿宋_GB2312"/>
                <w:sz w:val="24"/>
              </w:rPr>
              <w:t>五</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sz w:val="24"/>
              </w:rPr>
            </w:pPr>
            <w:r>
              <w:rPr>
                <w:rFonts w:hint="eastAsia" w:ascii="宋体" w:hAnsi="宋体" w:cs="仿宋_GB2312"/>
              </w:rPr>
              <w:t>3、……</w:t>
            </w: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24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r>
              <w:rPr>
                <w:rFonts w:hint="eastAsia" w:ascii="宋体" w:hAnsi="宋体"/>
                <w:sz w:val="24"/>
              </w:rPr>
              <w:t>…</w:t>
            </w:r>
            <w:r>
              <w:rPr>
                <w:rFonts w:ascii="宋体" w:hAnsi="宋体"/>
                <w:sz w:val="24"/>
              </w:rPr>
              <w:t>…</w:t>
            </w:r>
          </w:p>
        </w:tc>
        <w:tc>
          <w:tcPr>
            <w:tcW w:w="2866"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p>
        </w:tc>
        <w:tc>
          <w:tcPr>
            <w:tcW w:w="3274"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rPr>
                <w:rFonts w:ascii="宋体" w:hAnsi="宋体" w:cs="仿宋_GB2312"/>
              </w:rPr>
            </w:pPr>
          </w:p>
        </w:tc>
        <w:tc>
          <w:tcPr>
            <w:tcW w:w="15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80" w:lineRule="exact"/>
              <w:contextualSpacing/>
              <w:jc w:val="center"/>
              <w:rPr>
                <w:rFonts w:ascii="宋体" w:hAnsi="宋体" w:cs="仿宋_GB2312"/>
                <w:sz w:val="24"/>
              </w:rPr>
            </w:pPr>
          </w:p>
        </w:tc>
      </w:tr>
    </w:tbl>
    <w:p>
      <w:pPr>
        <w:spacing w:line="360" w:lineRule="auto"/>
        <w:contextualSpacing/>
        <w:jc w:val="left"/>
        <w:rPr>
          <w:rFonts w:ascii="宋体" w:hAnsi="宋体"/>
          <w:kern w:val="0"/>
          <w:sz w:val="24"/>
        </w:rPr>
      </w:pPr>
      <w:r>
        <w:rPr>
          <w:rFonts w:hint="eastAsia" w:ascii="宋体" w:hAnsi="宋体"/>
          <w:kern w:val="0"/>
          <w:sz w:val="24"/>
        </w:rPr>
        <w:t>注：</w:t>
      </w:r>
    </w:p>
    <w:p>
      <w:pPr>
        <w:spacing w:line="360" w:lineRule="auto"/>
        <w:contextualSpacing/>
        <w:jc w:val="left"/>
        <w:rPr>
          <w:rFonts w:ascii="宋体" w:hAnsi="宋体"/>
          <w:kern w:val="0"/>
          <w:sz w:val="24"/>
        </w:rPr>
      </w:pPr>
      <w:r>
        <w:rPr>
          <w:rFonts w:hint="eastAsia" w:ascii="宋体" w:hAnsi="宋体"/>
          <w:kern w:val="0"/>
          <w:sz w:val="24"/>
        </w:rPr>
        <w:t>1. 说明：应对照磋商文件“第二章 采购需求”中的商务要求逐条作出明确响应，并作出偏离说明。</w:t>
      </w:r>
    </w:p>
    <w:p>
      <w:pPr>
        <w:spacing w:line="360" w:lineRule="auto"/>
        <w:contextualSpacing/>
        <w:jc w:val="left"/>
        <w:rPr>
          <w:rFonts w:ascii="宋体" w:hAnsi="宋体" w:cs="仿宋_GB2312"/>
          <w:sz w:val="24"/>
          <w:u w:val="single"/>
        </w:rPr>
      </w:pPr>
      <w:r>
        <w:rPr>
          <w:rFonts w:hint="eastAsia" w:ascii="宋体" w:hAnsi="宋体"/>
          <w:kern w:val="0"/>
          <w:sz w:val="24"/>
        </w:rPr>
        <w:t>2.供应商应根据自身的承诺，对照磋商文件要求在“偏离说明”中注明“正偏离”、“负偏离”或者“无偏离”。既不属于“正偏离”也不属于“负偏离”即为“无偏离”。当响应文件的商务内容低于竞争性磋商采购文件要求时，竞标人应当如实写明“负偏离”，否则视为虚假应标。</w:t>
      </w:r>
    </w:p>
    <w:p>
      <w:pPr>
        <w:spacing w:line="360" w:lineRule="auto"/>
        <w:ind w:right="-817" w:rightChars="-389"/>
        <w:contextualSpacing/>
        <w:rPr>
          <w:rFonts w:ascii="宋体" w:hAnsi="宋体" w:cs="仿宋_GB2312"/>
          <w:sz w:val="24"/>
        </w:rPr>
      </w:pPr>
    </w:p>
    <w:p>
      <w:pPr>
        <w:spacing w:line="360" w:lineRule="auto"/>
        <w:ind w:firstLine="3840" w:firstLineChars="1600"/>
        <w:rPr>
          <w:rFonts w:ascii="宋体" w:hAnsi="宋体" w:cs="仿宋_GB2312"/>
          <w:sz w:val="24"/>
        </w:rPr>
      </w:pPr>
      <w:r>
        <w:rPr>
          <w:rFonts w:hint="eastAsia" w:ascii="仿宋_GB2312" w:hAnsi="仿宋" w:eastAsia="仿宋_GB2312" w:cs="仿宋_GB2312"/>
          <w:kern w:val="0"/>
          <w:sz w:val="24"/>
        </w:rPr>
        <w:t>供应商名称（电子签章）：</w:t>
      </w:r>
    </w:p>
    <w:p>
      <w:pPr>
        <w:spacing w:line="360" w:lineRule="auto"/>
        <w:jc w:val="center"/>
        <w:rPr>
          <w:rFonts w:ascii="仿宋_GB2312" w:hAnsi="仿宋" w:eastAsia="仿宋_GB2312" w:cs="仿宋_GB2312"/>
          <w:kern w:val="0"/>
          <w:sz w:val="24"/>
          <w:lang w:val="zh-CN"/>
        </w:rPr>
      </w:pPr>
      <w:r>
        <w:rPr>
          <w:rFonts w:hint="eastAsia" w:ascii="仿宋_GB2312" w:hAnsi="仿宋" w:eastAsia="仿宋_GB2312" w:cs="仿宋_GB2312"/>
          <w:kern w:val="0"/>
          <w:sz w:val="24"/>
          <w:lang w:val="zh-CN"/>
        </w:rPr>
        <w:t xml:space="preserve">                                                   日期：  年  月   日</w:t>
      </w:r>
    </w:p>
    <w:p>
      <w:pPr>
        <w:adjustRightInd w:val="0"/>
        <w:snapToGrid w:val="0"/>
        <w:spacing w:line="300" w:lineRule="auto"/>
        <w:rPr>
          <w:rFonts w:ascii="宋体" w:hAnsi="宋体"/>
          <w:u w:val="single"/>
        </w:rPr>
      </w:pPr>
    </w:p>
    <w:p>
      <w:pPr>
        <w:adjustRightInd w:val="0"/>
        <w:snapToGrid w:val="0"/>
        <w:spacing w:line="520" w:lineRule="exact"/>
        <w:rPr>
          <w:rFonts w:ascii="宋体" w:hAnsi="宋体" w:cs="宋体"/>
          <w:szCs w:val="21"/>
          <w:u w:val="single"/>
        </w:rPr>
      </w:pPr>
    </w:p>
    <w:p>
      <w:pPr>
        <w:adjustRightInd w:val="0"/>
        <w:snapToGrid w:val="0"/>
        <w:jc w:val="center"/>
        <w:rPr>
          <w:rFonts w:ascii="宋体" w:hAnsi="宋体" w:cs="宋体"/>
          <w:bCs/>
          <w:sz w:val="44"/>
          <w:szCs w:val="44"/>
        </w:rPr>
      </w:pPr>
      <w:r>
        <w:rPr>
          <w:rFonts w:hint="eastAsia" w:ascii="宋体" w:hAnsi="宋体" w:cs="宋体"/>
          <w:bCs/>
          <w:sz w:val="44"/>
          <w:szCs w:val="44"/>
        </w:rPr>
        <w:br w:type="page"/>
      </w:r>
      <w:r>
        <w:rPr>
          <w:rFonts w:hint="eastAsia" w:ascii="宋体" w:hAnsi="宋体" w:cs="宋体"/>
          <w:bCs/>
          <w:sz w:val="44"/>
          <w:szCs w:val="44"/>
        </w:rPr>
        <w:t>技术</w:t>
      </w:r>
      <w:r>
        <w:rPr>
          <w:rFonts w:hint="eastAsia" w:ascii="宋体" w:hAnsi="宋体" w:cs="宋体"/>
          <w:b/>
          <w:bCs/>
          <w:sz w:val="44"/>
          <w:szCs w:val="44"/>
        </w:rPr>
        <w:t>要求偏离表</w:t>
      </w:r>
      <w:r>
        <w:rPr>
          <w:rFonts w:hint="eastAsia" w:ascii="宋体" w:hAnsi="宋体" w:cs="宋体"/>
          <w:bCs/>
          <w:sz w:val="44"/>
          <w:szCs w:val="44"/>
        </w:rPr>
        <w:t>（格式）</w:t>
      </w:r>
    </w:p>
    <w:p>
      <w:pPr>
        <w:spacing w:line="360" w:lineRule="auto"/>
        <w:contextualSpacing/>
        <w:rPr>
          <w:rFonts w:ascii="仿宋_GB2312" w:hAnsi="仿宋_GB2312" w:eastAsia="仿宋_GB2312" w:cs="仿宋_GB2312"/>
          <w:sz w:val="32"/>
          <w:szCs w:val="32"/>
        </w:rPr>
      </w:pPr>
    </w:p>
    <w:p>
      <w:pPr>
        <w:spacing w:line="360" w:lineRule="auto"/>
        <w:contextualSpacing/>
        <w:rPr>
          <w:rFonts w:hint="default" w:ascii="宋体" w:hAnsi="宋体" w:eastAsia="宋体" w:cs="仿宋_GB2312"/>
          <w:sz w:val="24"/>
          <w:u w:val="single"/>
          <w:lang w:val="en-US" w:eastAsia="zh-CN"/>
        </w:rPr>
      </w:pPr>
      <w:r>
        <w:rPr>
          <w:rFonts w:hint="eastAsia" w:ascii="宋体" w:hAnsi="宋体" w:cs="仿宋_GB2312"/>
          <w:sz w:val="24"/>
        </w:rPr>
        <w:t>项目编号：</w:t>
      </w:r>
      <w:r>
        <w:rPr>
          <w:rFonts w:hint="eastAsia" w:ascii="宋体" w:hAnsi="宋体" w:cs="仿宋_GB2312"/>
          <w:sz w:val="24"/>
          <w:u w:val="single"/>
          <w:lang w:val="en-US" w:eastAsia="zh-CN"/>
        </w:rPr>
        <w:t xml:space="preserve">             </w:t>
      </w:r>
    </w:p>
    <w:p>
      <w:pPr>
        <w:spacing w:line="360" w:lineRule="auto"/>
        <w:contextualSpacing/>
        <w:rPr>
          <w:rFonts w:ascii="宋体" w:hAnsi="宋体" w:cs="仿宋_GB2312"/>
          <w:sz w:val="24"/>
          <w:u w:val="single"/>
        </w:rPr>
      </w:pPr>
      <w:r>
        <w:rPr>
          <w:rFonts w:hint="eastAsia" w:ascii="宋体" w:hAnsi="宋体" w:cs="仿宋_GB2312"/>
          <w:sz w:val="24"/>
        </w:rPr>
        <w:t>项目名称：</w:t>
      </w:r>
      <w:r>
        <w:rPr>
          <w:rFonts w:hint="eastAsia" w:ascii="宋体" w:hAnsi="宋体" w:cs="仿宋_GB2312"/>
          <w:sz w:val="24"/>
          <w:u w:val="single"/>
          <w:lang w:val="en-US" w:eastAsia="zh-CN"/>
        </w:rPr>
        <w:t xml:space="preserve">             </w:t>
      </w:r>
    </w:p>
    <w:p>
      <w:pPr>
        <w:spacing w:line="360" w:lineRule="auto"/>
        <w:contextualSpacing/>
        <w:rPr>
          <w:rFonts w:hint="eastAsia" w:ascii="宋体" w:hAnsi="宋体" w:eastAsia="宋体" w:cs="仿宋_GB2312"/>
          <w:sz w:val="24"/>
          <w:u w:val="single"/>
          <w:lang w:val="en-US" w:eastAsia="zh-CN"/>
        </w:rPr>
      </w:pPr>
      <w:r>
        <w:rPr>
          <w:rFonts w:hint="eastAsia" w:ascii="宋体" w:hAnsi="宋体" w:cs="仿宋_GB2312"/>
          <w:sz w:val="24"/>
        </w:rPr>
        <w:t>所竞标项名称：</w:t>
      </w:r>
      <w:r>
        <w:rPr>
          <w:rFonts w:hint="eastAsia" w:ascii="宋体" w:hAnsi="宋体" w:cs="仿宋_GB2312"/>
          <w:sz w:val="24"/>
          <w:u w:val="single"/>
          <w:lang w:val="en-US" w:eastAsia="zh-CN"/>
        </w:rPr>
        <w:t xml:space="preserve">  </w:t>
      </w:r>
      <w:r>
        <w:rPr>
          <w:rFonts w:hint="eastAsia" w:ascii="宋体" w:hAnsi="宋体" w:cs="仿宋_GB2312"/>
          <w:sz w:val="24"/>
          <w:u w:val="single"/>
        </w:rPr>
        <w:t>[营养科医用食品配送服务（二）/营养科医用食品配送服务（三）]</w:t>
      </w:r>
      <w:r>
        <w:rPr>
          <w:rFonts w:hint="eastAsia" w:ascii="宋体" w:hAnsi="宋体" w:cs="仿宋_GB2312"/>
          <w:sz w:val="24"/>
          <w:u w:val="single"/>
          <w:lang w:val="en-US" w:eastAsia="zh-CN"/>
        </w:rPr>
        <w:t xml:space="preserve"> </w:t>
      </w:r>
    </w:p>
    <w:tbl>
      <w:tblPr>
        <w:tblStyle w:val="32"/>
        <w:tblW w:w="4895"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65"/>
        <w:gridCol w:w="1237"/>
        <w:gridCol w:w="2921"/>
        <w:gridCol w:w="2876"/>
        <w:gridCol w:w="157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99" w:name="_Toc297193185"/>
            <w:bookmarkStart w:id="100" w:name="_Toc173066401"/>
            <w:bookmarkStart w:id="101" w:name="_Toc301781611"/>
            <w:bookmarkStart w:id="102" w:name="_Toc173211900"/>
            <w:bookmarkStart w:id="103" w:name="_Toc254970729"/>
            <w:bookmarkStart w:id="104" w:name="_Toc383699906"/>
            <w:bookmarkStart w:id="105" w:name="_Toc295404981"/>
            <w:bookmarkStart w:id="106" w:name="_Toc373333689"/>
            <w:bookmarkStart w:id="107" w:name="_Toc254970588"/>
            <w:r>
              <w:rPr>
                <w:rFonts w:hint="eastAsia" w:ascii="宋体" w:hAnsi="宋体" w:eastAsia="宋体"/>
                <w:sz w:val="24"/>
                <w:szCs w:val="24"/>
              </w:rPr>
              <w:t>序号</w:t>
            </w:r>
            <w:bookmarkEnd w:id="99"/>
            <w:bookmarkEnd w:id="100"/>
            <w:bookmarkEnd w:id="101"/>
            <w:bookmarkEnd w:id="102"/>
            <w:bookmarkEnd w:id="103"/>
            <w:bookmarkEnd w:id="104"/>
            <w:bookmarkEnd w:id="105"/>
            <w:bookmarkEnd w:id="106"/>
            <w:bookmarkEnd w:id="107"/>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r>
              <w:rPr>
                <w:rFonts w:hint="eastAsia" w:ascii="宋体" w:hAnsi="宋体" w:eastAsia="宋体"/>
                <w:sz w:val="24"/>
                <w:szCs w:val="24"/>
              </w:rPr>
              <w:t>标的名称</w:t>
            </w:r>
          </w:p>
        </w:tc>
        <w:tc>
          <w:tcPr>
            <w:tcW w:w="1558" w:type="pct"/>
            <w:tcBorders>
              <w:lef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r>
              <w:rPr>
                <w:rFonts w:hint="eastAsia" w:ascii="宋体" w:hAnsi="宋体" w:eastAsia="宋体"/>
                <w:sz w:val="24"/>
                <w:szCs w:val="24"/>
              </w:rPr>
              <w:t>磋商文件技术要求</w:t>
            </w:r>
          </w:p>
        </w:tc>
        <w:tc>
          <w:tcPr>
            <w:tcW w:w="1534"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08" w:name="_Toc297193187"/>
            <w:bookmarkStart w:id="109" w:name="_Toc254970590"/>
            <w:bookmarkStart w:id="110" w:name="_Toc373333691"/>
            <w:bookmarkStart w:id="111" w:name="_Toc254970731"/>
            <w:bookmarkStart w:id="112" w:name="_Toc173211902"/>
            <w:bookmarkStart w:id="113" w:name="_Toc301781613"/>
            <w:bookmarkStart w:id="114" w:name="_Toc173066403"/>
            <w:bookmarkStart w:id="115" w:name="_Toc295404983"/>
            <w:bookmarkStart w:id="116" w:name="_Toc383699908"/>
            <w:r>
              <w:rPr>
                <w:rFonts w:hint="eastAsia" w:ascii="宋体" w:hAnsi="宋体" w:eastAsia="宋体"/>
                <w:sz w:val="24"/>
                <w:szCs w:val="24"/>
              </w:rPr>
              <w:t>竞标响应</w:t>
            </w:r>
            <w:bookmarkEnd w:id="108"/>
            <w:bookmarkEnd w:id="109"/>
            <w:bookmarkEnd w:id="110"/>
            <w:bookmarkEnd w:id="111"/>
            <w:bookmarkEnd w:id="112"/>
            <w:bookmarkEnd w:id="113"/>
            <w:bookmarkEnd w:id="114"/>
            <w:bookmarkEnd w:id="115"/>
            <w:bookmarkEnd w:id="116"/>
          </w:p>
        </w:tc>
        <w:tc>
          <w:tcPr>
            <w:tcW w:w="83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17" w:name="_Toc254970591"/>
            <w:bookmarkStart w:id="118" w:name="_Toc295404984"/>
            <w:bookmarkStart w:id="119" w:name="_Toc173211903"/>
            <w:bookmarkStart w:id="120" w:name="_Toc301781614"/>
            <w:bookmarkStart w:id="121" w:name="_Toc254970732"/>
            <w:bookmarkStart w:id="122" w:name="_Toc383699909"/>
            <w:bookmarkStart w:id="123" w:name="_Toc297193188"/>
            <w:bookmarkStart w:id="124" w:name="_Toc173066404"/>
            <w:bookmarkStart w:id="125" w:name="_Toc373333692"/>
            <w:r>
              <w:rPr>
                <w:rFonts w:hint="eastAsia" w:ascii="宋体" w:hAnsi="宋体" w:eastAsia="宋体"/>
                <w:sz w:val="24"/>
                <w:szCs w:val="24"/>
              </w:rPr>
              <w:t>偏离</w:t>
            </w:r>
            <w:bookmarkEnd w:id="117"/>
            <w:bookmarkEnd w:id="118"/>
            <w:bookmarkEnd w:id="119"/>
            <w:bookmarkEnd w:id="120"/>
            <w:bookmarkEnd w:id="121"/>
            <w:bookmarkEnd w:id="122"/>
            <w:bookmarkEnd w:id="123"/>
            <w:bookmarkEnd w:id="124"/>
            <w:bookmarkEnd w:id="125"/>
            <w:bookmarkStart w:id="126" w:name="_Toc295404985"/>
            <w:bookmarkStart w:id="127" w:name="_Toc301781615"/>
            <w:bookmarkStart w:id="128" w:name="_Toc173211904"/>
            <w:bookmarkStart w:id="129" w:name="_Toc254970592"/>
            <w:bookmarkStart w:id="130" w:name="_Toc383699910"/>
            <w:bookmarkStart w:id="131" w:name="_Toc297193189"/>
            <w:bookmarkStart w:id="132" w:name="_Toc254970733"/>
            <w:bookmarkStart w:id="133" w:name="_Toc173066405"/>
            <w:bookmarkStart w:id="134" w:name="_Toc373333693"/>
            <w:r>
              <w:rPr>
                <w:rFonts w:hint="eastAsia" w:ascii="宋体" w:hAnsi="宋体" w:eastAsia="宋体"/>
                <w:sz w:val="24"/>
                <w:szCs w:val="24"/>
              </w:rPr>
              <w:t>说明</w:t>
            </w:r>
            <w:bookmarkEnd w:id="126"/>
            <w:bookmarkEnd w:id="127"/>
            <w:bookmarkEnd w:id="128"/>
            <w:bookmarkEnd w:id="129"/>
            <w:bookmarkEnd w:id="130"/>
            <w:bookmarkEnd w:id="131"/>
            <w:bookmarkEnd w:id="132"/>
            <w:bookmarkEnd w:id="133"/>
            <w:bookmarkEnd w:id="134"/>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35" w:name="_Toc373333694"/>
            <w:bookmarkStart w:id="136" w:name="_Toc254970734"/>
            <w:bookmarkStart w:id="137" w:name="_Toc254970593"/>
            <w:bookmarkStart w:id="138" w:name="_Toc297193190"/>
            <w:bookmarkStart w:id="139" w:name="_Toc383699911"/>
            <w:bookmarkStart w:id="140" w:name="_Toc173211905"/>
            <w:bookmarkStart w:id="141" w:name="_Toc173066406"/>
            <w:bookmarkStart w:id="142" w:name="_Toc295404986"/>
            <w:bookmarkStart w:id="143" w:name="_Toc301781616"/>
            <w:r>
              <w:rPr>
                <w:rFonts w:hint="eastAsia" w:ascii="宋体" w:hAnsi="宋体" w:eastAsia="宋体"/>
                <w:sz w:val="24"/>
                <w:szCs w:val="24"/>
              </w:rPr>
              <w:t>1</w:t>
            </w:r>
            <w:bookmarkEnd w:id="135"/>
            <w:bookmarkEnd w:id="136"/>
            <w:bookmarkEnd w:id="137"/>
            <w:bookmarkEnd w:id="138"/>
            <w:bookmarkEnd w:id="139"/>
            <w:bookmarkEnd w:id="140"/>
            <w:bookmarkEnd w:id="141"/>
            <w:bookmarkEnd w:id="142"/>
            <w:bookmarkEnd w:id="143"/>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c>
          <w:tcPr>
            <w:tcW w:w="1558" w:type="pct"/>
            <w:tcBorders>
              <w:left w:val="single" w:color="auto" w:sz="4" w:space="0"/>
            </w:tcBorders>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1534" w:type="pct"/>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83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44" w:name="_Toc295404987"/>
            <w:bookmarkStart w:id="145" w:name="_Toc301781617"/>
            <w:bookmarkStart w:id="146" w:name="_Toc254970594"/>
            <w:bookmarkStart w:id="147" w:name="_Toc254970735"/>
            <w:bookmarkStart w:id="148" w:name="_Toc297193191"/>
            <w:bookmarkStart w:id="149" w:name="_Toc373333695"/>
            <w:bookmarkStart w:id="150" w:name="_Toc173066407"/>
            <w:bookmarkStart w:id="151" w:name="_Toc383699912"/>
            <w:bookmarkStart w:id="152" w:name="_Toc173211906"/>
            <w:r>
              <w:rPr>
                <w:rFonts w:hint="eastAsia" w:ascii="宋体" w:hAnsi="宋体" w:eastAsia="宋体"/>
                <w:sz w:val="24"/>
                <w:szCs w:val="24"/>
              </w:rPr>
              <w:t>2</w:t>
            </w:r>
            <w:bookmarkEnd w:id="144"/>
            <w:bookmarkEnd w:id="145"/>
            <w:bookmarkEnd w:id="146"/>
            <w:bookmarkEnd w:id="147"/>
            <w:bookmarkEnd w:id="148"/>
            <w:bookmarkEnd w:id="149"/>
            <w:bookmarkEnd w:id="150"/>
            <w:bookmarkEnd w:id="151"/>
            <w:bookmarkEnd w:id="152"/>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c>
          <w:tcPr>
            <w:tcW w:w="1558" w:type="pct"/>
            <w:tcBorders>
              <w:left w:val="single" w:color="auto" w:sz="4" w:space="0"/>
            </w:tcBorders>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1534" w:type="pct"/>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83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408" w:type="pct"/>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bookmarkStart w:id="153" w:name="_Toc295404991"/>
            <w:bookmarkStart w:id="154" w:name="_Toc383699916"/>
            <w:bookmarkStart w:id="155" w:name="_Toc301781621"/>
            <w:bookmarkStart w:id="156" w:name="_Toc297193195"/>
            <w:bookmarkStart w:id="157" w:name="_Toc373333699"/>
            <w:bookmarkStart w:id="158" w:name="_Toc254970743"/>
            <w:bookmarkStart w:id="159" w:name="_Toc173066415"/>
            <w:bookmarkStart w:id="160" w:name="_Toc173211914"/>
            <w:bookmarkStart w:id="161" w:name="_Toc254970602"/>
            <w:r>
              <w:rPr>
                <w:rFonts w:hint="eastAsia" w:ascii="宋体" w:hAnsi="宋体" w:eastAsia="宋体"/>
                <w:sz w:val="24"/>
                <w:szCs w:val="24"/>
              </w:rPr>
              <w:t>…</w:t>
            </w:r>
            <w:bookmarkEnd w:id="153"/>
            <w:bookmarkEnd w:id="154"/>
            <w:bookmarkEnd w:id="155"/>
            <w:bookmarkEnd w:id="156"/>
            <w:bookmarkEnd w:id="157"/>
            <w:bookmarkEnd w:id="158"/>
            <w:bookmarkEnd w:id="159"/>
            <w:bookmarkEnd w:id="160"/>
            <w:bookmarkEnd w:id="161"/>
            <w:r>
              <w:rPr>
                <w:rFonts w:ascii="宋体" w:hAnsi="宋体" w:eastAsia="宋体"/>
                <w:sz w:val="24"/>
                <w:szCs w:val="24"/>
              </w:rPr>
              <w:t>…</w:t>
            </w:r>
          </w:p>
        </w:tc>
        <w:tc>
          <w:tcPr>
            <w:tcW w:w="660"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c>
          <w:tcPr>
            <w:tcW w:w="1558" w:type="pct"/>
            <w:tcBorders>
              <w:left w:val="single" w:color="auto" w:sz="4" w:space="0"/>
            </w:tcBorders>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1534" w:type="pct"/>
            <w:vAlign w:val="center"/>
          </w:tcPr>
          <w:p>
            <w:pPr>
              <w:adjustRightInd w:val="0"/>
              <w:snapToGrid w:val="0"/>
              <w:spacing w:line="380" w:lineRule="exact"/>
              <w:rPr>
                <w:rFonts w:ascii="宋体" w:hAnsi="宋体" w:cs="仿宋_GB2312"/>
              </w:rPr>
            </w:pPr>
            <w:r>
              <w:rPr>
                <w:rFonts w:hint="eastAsia" w:ascii="宋体" w:hAnsi="宋体" w:cs="仿宋_GB2312"/>
              </w:rPr>
              <w:t>1、……</w:t>
            </w:r>
          </w:p>
          <w:p>
            <w:pPr>
              <w:adjustRightInd w:val="0"/>
              <w:snapToGrid w:val="0"/>
              <w:spacing w:line="380" w:lineRule="exact"/>
              <w:rPr>
                <w:rFonts w:ascii="宋体" w:hAnsi="宋体" w:cs="仿宋_GB2312"/>
              </w:rPr>
            </w:pPr>
            <w:r>
              <w:rPr>
                <w:rFonts w:hint="eastAsia" w:ascii="宋体" w:hAnsi="宋体" w:cs="仿宋_GB2312"/>
              </w:rPr>
              <w:t>2、……</w:t>
            </w:r>
          </w:p>
          <w:p>
            <w:pPr>
              <w:adjustRightInd w:val="0"/>
              <w:snapToGrid w:val="0"/>
              <w:spacing w:line="380" w:lineRule="exact"/>
              <w:rPr>
                <w:rFonts w:ascii="宋体" w:hAnsi="宋体" w:cs="仿宋_GB2312"/>
              </w:rPr>
            </w:pPr>
            <w:r>
              <w:rPr>
                <w:rFonts w:hint="eastAsia" w:ascii="宋体" w:hAnsi="宋体" w:cs="仿宋_GB2312"/>
              </w:rPr>
              <w:t>3、……</w:t>
            </w:r>
          </w:p>
        </w:tc>
        <w:tc>
          <w:tcPr>
            <w:tcW w:w="838" w:type="pct"/>
            <w:tcBorders>
              <w:right w:val="single" w:color="auto" w:sz="4" w:space="0"/>
            </w:tcBorders>
            <w:vAlign w:val="center"/>
          </w:tcPr>
          <w:p>
            <w:pPr>
              <w:pStyle w:val="18"/>
              <w:adjustRightInd w:val="0"/>
              <w:snapToGrid w:val="0"/>
              <w:spacing w:line="380" w:lineRule="exact"/>
              <w:ind w:firstLine="0" w:firstLineChars="0"/>
              <w:contextualSpacing/>
              <w:jc w:val="center"/>
              <w:rPr>
                <w:rFonts w:ascii="宋体" w:hAnsi="宋体" w:eastAsia="宋体"/>
                <w:sz w:val="24"/>
                <w:szCs w:val="24"/>
              </w:rPr>
            </w:pPr>
          </w:p>
        </w:tc>
      </w:tr>
    </w:tbl>
    <w:p>
      <w:pPr>
        <w:spacing w:line="360" w:lineRule="auto"/>
        <w:contextualSpacing/>
        <w:jc w:val="left"/>
        <w:rPr>
          <w:rFonts w:ascii="宋体" w:hAnsi="宋体"/>
          <w:kern w:val="0"/>
          <w:sz w:val="24"/>
        </w:rPr>
      </w:pPr>
      <w:r>
        <w:rPr>
          <w:rFonts w:hint="eastAsia" w:ascii="宋体" w:hAnsi="宋体"/>
          <w:kern w:val="0"/>
          <w:sz w:val="24"/>
        </w:rPr>
        <w:t>注：</w:t>
      </w:r>
    </w:p>
    <w:p>
      <w:pPr>
        <w:spacing w:line="360" w:lineRule="auto"/>
        <w:contextualSpacing/>
        <w:jc w:val="left"/>
        <w:rPr>
          <w:rFonts w:ascii="宋体" w:hAnsi="宋体"/>
          <w:kern w:val="0"/>
          <w:sz w:val="24"/>
        </w:rPr>
      </w:pPr>
      <w:r>
        <w:rPr>
          <w:rFonts w:hint="eastAsia" w:ascii="宋体" w:hAnsi="宋体"/>
          <w:kern w:val="0"/>
          <w:sz w:val="24"/>
        </w:rPr>
        <w:t>1. 说明：应对照磋商文件“第二章 采购需求”中的技术要求逐条作出明确响应，并作出偏离说明。</w:t>
      </w:r>
    </w:p>
    <w:p>
      <w:pPr>
        <w:spacing w:line="360" w:lineRule="auto"/>
        <w:contextualSpacing/>
        <w:jc w:val="left"/>
        <w:rPr>
          <w:rFonts w:ascii="宋体" w:hAnsi="宋体"/>
          <w:kern w:val="0"/>
          <w:sz w:val="24"/>
        </w:rPr>
      </w:pPr>
      <w:r>
        <w:rPr>
          <w:rFonts w:hint="eastAsia" w:ascii="宋体" w:hAnsi="宋体"/>
          <w:kern w:val="0"/>
          <w:sz w:val="24"/>
        </w:rPr>
        <w:t>2.供应商应根据自身的承诺，对照磋商文件要求在“偏离说明”中注明“正偏离”、“负偏离”或者“无偏离”。既不属于“正偏离”也不属于“负偏离”即为“无偏离”。当响应文件的技术响应内容低于竞争性磋商采购文件要求时，竞标人应当如实写明“负偏离”，否则视为虚假应标</w:t>
      </w:r>
    </w:p>
    <w:p>
      <w:pPr>
        <w:spacing w:line="360" w:lineRule="auto"/>
        <w:contextualSpacing/>
        <w:jc w:val="left"/>
        <w:rPr>
          <w:rFonts w:ascii="宋体" w:hAnsi="宋体"/>
          <w:kern w:val="0"/>
          <w:sz w:val="24"/>
        </w:rPr>
      </w:pPr>
      <w:r>
        <w:rPr>
          <w:rFonts w:hint="eastAsia" w:ascii="宋体" w:hAnsi="宋体"/>
          <w:kern w:val="0"/>
          <w:sz w:val="24"/>
        </w:rPr>
        <w:t>3.供应商认为其竞标响应有正偏离的，请在技术要求偏离表中列明，且在响应文件中提供竞标产品的第三方检测报告复印件或产品生产厂家出具的技术白皮书或使用说明书等证明材料作为佐证。</w:t>
      </w:r>
    </w:p>
    <w:p>
      <w:pPr>
        <w:spacing w:line="360" w:lineRule="auto"/>
        <w:contextualSpacing/>
        <w:jc w:val="left"/>
        <w:rPr>
          <w:rFonts w:ascii="宋体" w:hAnsi="宋体"/>
          <w:kern w:val="0"/>
          <w:sz w:val="24"/>
        </w:rPr>
      </w:pPr>
      <w:r>
        <w:rPr>
          <w:rFonts w:hint="eastAsia" w:ascii="宋体" w:hAnsi="宋体"/>
          <w:kern w:val="0"/>
          <w:sz w:val="24"/>
        </w:rPr>
        <w:t>4.如技术需求偏离表中的竞标响应与佐证材料不一致的，以佐证材料为准。</w:t>
      </w:r>
    </w:p>
    <w:p>
      <w:pPr>
        <w:pStyle w:val="20"/>
        <w:spacing w:line="360" w:lineRule="auto"/>
        <w:contextualSpacing/>
        <w:rPr>
          <w:rFonts w:hAnsi="宋体" w:cs="仿宋_GB2312"/>
          <w:sz w:val="24"/>
          <w:szCs w:val="24"/>
        </w:rPr>
      </w:pPr>
    </w:p>
    <w:p>
      <w:pPr>
        <w:spacing w:line="360" w:lineRule="auto"/>
        <w:ind w:firstLine="3840" w:firstLineChars="1600"/>
        <w:rPr>
          <w:rFonts w:ascii="仿宋_GB2312" w:hAnsi="仿宋" w:eastAsia="仿宋_GB2312" w:cs="仿宋_GB2312"/>
          <w:kern w:val="0"/>
          <w:sz w:val="24"/>
        </w:rPr>
      </w:pPr>
      <w:r>
        <w:rPr>
          <w:rFonts w:hint="eastAsia" w:ascii="仿宋_GB2312" w:hAnsi="仿宋" w:eastAsia="仿宋_GB2312" w:cs="仿宋_GB2312"/>
          <w:kern w:val="0"/>
          <w:sz w:val="24"/>
        </w:rPr>
        <w:t>供应商名称（电子签章）：</w:t>
      </w:r>
    </w:p>
    <w:p>
      <w:pPr>
        <w:spacing w:line="360" w:lineRule="auto"/>
        <w:ind w:firstLine="480" w:firstLineChars="200"/>
        <w:contextualSpacing/>
        <w:jc w:val="right"/>
        <w:rPr>
          <w:rFonts w:ascii="宋体" w:hAnsi="宋体" w:cs="宋体"/>
          <w:sz w:val="28"/>
          <w:szCs w:val="28"/>
        </w:rPr>
      </w:pPr>
      <w:r>
        <w:rPr>
          <w:rFonts w:hint="eastAsia" w:ascii="仿宋_GB2312" w:hAnsi="仿宋" w:eastAsia="仿宋_GB2312" w:cs="仿宋_GB2312"/>
          <w:kern w:val="0"/>
          <w:sz w:val="24"/>
          <w:lang w:val="zh-CN"/>
        </w:rPr>
        <w:t>日期：  年  月   日</w:t>
      </w:r>
      <w:r>
        <w:rPr>
          <w:rFonts w:hint="eastAsia" w:ascii="宋体" w:hAnsi="宋体" w:cs="宋体"/>
          <w:sz w:val="24"/>
        </w:rPr>
        <w:br w:type="page"/>
      </w:r>
    </w:p>
    <w:p>
      <w:pPr>
        <w:pStyle w:val="6"/>
      </w:pPr>
      <w:bookmarkStart w:id="162" w:name="_Toc32627"/>
      <w:bookmarkStart w:id="163" w:name="_Toc23859"/>
      <w:bookmarkStart w:id="164" w:name="_Toc13096"/>
      <w:bookmarkStart w:id="165" w:name="_Toc6820"/>
      <w:r>
        <w:rPr>
          <w:rFonts w:hint="eastAsia"/>
        </w:rPr>
        <w:t>三、报价文件格式</w:t>
      </w:r>
      <w:bookmarkEnd w:id="94"/>
      <w:bookmarkEnd w:id="95"/>
      <w:bookmarkEnd w:id="162"/>
      <w:bookmarkEnd w:id="163"/>
      <w:bookmarkEnd w:id="164"/>
      <w:bookmarkEnd w:id="165"/>
    </w:p>
    <w:p>
      <w:pPr>
        <w:snapToGrid w:val="0"/>
        <w:spacing w:beforeLines="50" w:after="50" w:line="360" w:lineRule="auto"/>
        <w:jc w:val="left"/>
        <w:rPr>
          <w:rFonts w:ascii="宋体" w:hAnsi="宋体" w:cs="宋体"/>
          <w:b/>
          <w:sz w:val="32"/>
          <w:szCs w:val="32"/>
        </w:rPr>
      </w:pPr>
      <w:r>
        <w:rPr>
          <w:rFonts w:hint="eastAsia" w:ascii="宋体" w:hAnsi="宋体" w:cs="宋体"/>
          <w:b/>
          <w:sz w:val="32"/>
          <w:szCs w:val="32"/>
        </w:rPr>
        <w:t>1.报价文件封面格式</w:t>
      </w:r>
    </w:p>
    <w:p>
      <w:pPr>
        <w:snapToGrid w:val="0"/>
        <w:spacing w:beforeLines="50" w:after="50"/>
        <w:rPr>
          <w:rFonts w:ascii="宋体" w:hAnsi="宋体" w:cs="宋体"/>
          <w:bCs/>
          <w:color w:val="FFFFFF" w:themeColor="background1"/>
          <w:sz w:val="32"/>
          <w:szCs w:val="20"/>
          <w14:textFill>
            <w14:solidFill>
              <w14:schemeClr w14:val="bg1"/>
            </w14:solidFill>
          </w14:textFill>
        </w:rPr>
      </w:pPr>
      <w:r>
        <w:rPr>
          <w:rFonts w:hint="eastAsia" w:ascii="宋体" w:hAnsi="宋体" w:cs="宋体"/>
          <w:bCs/>
          <w:color w:val="FFFFFF" w:themeColor="background1"/>
          <w:sz w:val="36"/>
          <w:szCs w:val="36"/>
          <w14:textFill>
            <w14:solidFill>
              <w14:schemeClr w14:val="bg1"/>
            </w14:solidFill>
          </w14:textFill>
        </w:rPr>
        <w:t>（正本/副本）</w:t>
      </w:r>
    </w:p>
    <w:p>
      <w:pPr>
        <w:snapToGrid w:val="0"/>
        <w:spacing w:beforeLines="50" w:after="50"/>
        <w:rPr>
          <w:rFonts w:ascii="宋体" w:hAnsi="宋体" w:cs="宋体"/>
          <w:sz w:val="24"/>
          <w:szCs w:val="20"/>
        </w:rPr>
      </w:pPr>
    </w:p>
    <w:p>
      <w:pPr>
        <w:snapToGrid w:val="0"/>
        <w:spacing w:beforeLines="50" w:after="50"/>
        <w:jc w:val="center"/>
        <w:rPr>
          <w:rFonts w:ascii="宋体" w:hAnsi="宋体" w:cs="宋体"/>
          <w:bCs/>
          <w:sz w:val="84"/>
          <w:szCs w:val="84"/>
        </w:rPr>
      </w:pPr>
      <w:r>
        <w:rPr>
          <w:rFonts w:hint="eastAsia" w:ascii="宋体" w:hAnsi="宋体" w:cs="宋体"/>
          <w:bCs/>
          <w:sz w:val="84"/>
          <w:szCs w:val="84"/>
        </w:rPr>
        <w:t>响  应  文  件</w:t>
      </w:r>
    </w:p>
    <w:p>
      <w:pPr>
        <w:snapToGrid w:val="0"/>
        <w:spacing w:beforeLines="50" w:after="50"/>
        <w:jc w:val="center"/>
        <w:rPr>
          <w:rFonts w:ascii="宋体" w:hAnsi="宋体" w:cs="宋体"/>
          <w:bCs/>
          <w:sz w:val="32"/>
          <w:szCs w:val="32"/>
        </w:rPr>
      </w:pPr>
      <w:r>
        <w:rPr>
          <w:rFonts w:hint="eastAsia" w:ascii="宋体" w:hAnsi="宋体" w:cs="宋体"/>
          <w:bCs/>
          <w:sz w:val="32"/>
          <w:szCs w:val="32"/>
        </w:rPr>
        <w:t>报  价  文  件</w:t>
      </w:r>
    </w:p>
    <w:p>
      <w:pPr>
        <w:snapToGrid w:val="0"/>
        <w:spacing w:beforeLines="50" w:after="50"/>
        <w:rPr>
          <w:rFonts w:ascii="宋体" w:hAnsi="宋体" w:cs="宋体"/>
          <w:bCs/>
          <w:sz w:val="24"/>
          <w:szCs w:val="20"/>
        </w:rPr>
      </w:pPr>
    </w:p>
    <w:p>
      <w:pPr>
        <w:snapToGrid w:val="0"/>
        <w:spacing w:beforeLines="50" w:after="50"/>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100" w:firstLineChars="875"/>
        <w:rPr>
          <w:rFonts w:ascii="宋体" w:hAnsi="宋体" w:cs="宋体"/>
          <w:bCs/>
          <w:sz w:val="24"/>
          <w:szCs w:val="20"/>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项目名称：</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ascii="宋体" w:hAnsi="宋体" w:cs="宋体"/>
          <w:bCs/>
          <w:sz w:val="32"/>
          <w:szCs w:val="32"/>
        </w:rPr>
      </w:pPr>
      <w:r>
        <w:rPr>
          <w:rFonts w:hint="eastAsia" w:ascii="宋体" w:hAnsi="宋体" w:cs="宋体"/>
          <w:bCs/>
          <w:sz w:val="32"/>
          <w:szCs w:val="32"/>
        </w:rPr>
        <w:t>项目编号：</w:t>
      </w:r>
    </w:p>
    <w:p>
      <w:pPr>
        <w:snapToGrid w:val="0"/>
        <w:spacing w:beforeLines="50" w:after="50"/>
        <w:ind w:firstLine="2800" w:firstLineChars="875"/>
        <w:rPr>
          <w:rFonts w:ascii="宋体" w:hAnsi="宋体" w:cs="宋体"/>
          <w:bCs/>
          <w:sz w:val="32"/>
          <w:szCs w:val="32"/>
        </w:rPr>
      </w:pPr>
    </w:p>
    <w:p>
      <w:pPr>
        <w:snapToGrid w:val="0"/>
        <w:spacing w:beforeLines="50" w:after="50"/>
        <w:ind w:firstLine="2800" w:firstLineChars="875"/>
        <w:rPr>
          <w:rFonts w:hint="eastAsia" w:ascii="宋体" w:hAnsi="宋体" w:eastAsia="宋体" w:cs="宋体"/>
          <w:bCs/>
          <w:sz w:val="32"/>
          <w:szCs w:val="32"/>
          <w:lang w:val="en-US" w:eastAsia="zh-CN"/>
        </w:rPr>
      </w:pPr>
      <w:r>
        <w:rPr>
          <w:rFonts w:hint="eastAsia" w:ascii="宋体" w:hAnsi="宋体" w:cs="宋体"/>
          <w:bCs/>
          <w:sz w:val="32"/>
          <w:szCs w:val="32"/>
        </w:rPr>
        <w:t>所竞标项名称：</w:t>
      </w:r>
      <w:r>
        <w:rPr>
          <w:rFonts w:hint="eastAsia" w:ascii="宋体" w:hAnsi="宋体" w:cs="宋体"/>
          <w:bCs/>
          <w:sz w:val="32"/>
          <w:szCs w:val="32"/>
          <w:u w:val="single"/>
        </w:rPr>
        <w:t xml:space="preserve">  [营养科医用食品配送服务（二）/营养科医用食品配送服务（三）] </w:t>
      </w:r>
      <w:r>
        <w:rPr>
          <w:rFonts w:hint="eastAsia" w:ascii="宋体" w:hAnsi="宋体" w:cs="宋体"/>
          <w:bCs/>
          <w:sz w:val="32"/>
          <w:szCs w:val="32"/>
          <w:u w:val="single"/>
          <w:lang w:val="en-US" w:eastAsia="zh-CN"/>
        </w:rPr>
        <w:t xml:space="preserve"> </w:t>
      </w:r>
    </w:p>
    <w:p>
      <w:pPr>
        <w:snapToGrid w:val="0"/>
        <w:spacing w:beforeLines="50" w:after="50"/>
        <w:ind w:firstLine="2800" w:firstLineChars="875"/>
        <w:rPr>
          <w:rFonts w:ascii="宋体" w:hAnsi="宋体" w:cs="宋体"/>
          <w:bCs/>
          <w:sz w:val="32"/>
          <w:szCs w:val="32"/>
        </w:rPr>
      </w:pPr>
    </w:p>
    <w:p>
      <w:pPr>
        <w:pStyle w:val="10"/>
        <w:snapToGrid w:val="0"/>
        <w:spacing w:before="50" w:after="50"/>
        <w:ind w:firstLine="2800" w:firstLineChars="875"/>
        <w:rPr>
          <w:rFonts w:ascii="宋体" w:hAnsi="宋体" w:cs="宋体"/>
          <w:bCs/>
          <w:sz w:val="32"/>
          <w:szCs w:val="32"/>
        </w:rPr>
      </w:pPr>
      <w:r>
        <w:rPr>
          <w:rFonts w:hint="eastAsia" w:ascii="宋体" w:hAnsi="宋体" w:cs="宋体"/>
          <w:bCs/>
          <w:sz w:val="32"/>
          <w:szCs w:val="32"/>
        </w:rPr>
        <w:t>供应商名称：</w:t>
      </w:r>
    </w:p>
    <w:p>
      <w:pPr>
        <w:pStyle w:val="10"/>
        <w:snapToGrid w:val="0"/>
        <w:spacing w:before="50" w:after="50"/>
        <w:ind w:firstLine="2800" w:firstLineChars="875"/>
        <w:rPr>
          <w:rFonts w:ascii="宋体" w:hAnsi="宋体" w:cs="宋体"/>
          <w:bCs/>
          <w:sz w:val="32"/>
          <w:szCs w:val="32"/>
        </w:rPr>
      </w:pPr>
    </w:p>
    <w:p>
      <w:pPr>
        <w:pStyle w:val="10"/>
        <w:snapToGrid w:val="0"/>
        <w:spacing w:before="50" w:after="50"/>
        <w:ind w:firstLine="720" w:firstLineChars="225"/>
        <w:rPr>
          <w:rFonts w:ascii="宋体" w:hAnsi="宋体" w:cs="宋体"/>
          <w:bCs/>
          <w:sz w:val="32"/>
          <w:szCs w:val="32"/>
        </w:rPr>
      </w:pPr>
    </w:p>
    <w:p>
      <w:pPr>
        <w:pStyle w:val="10"/>
        <w:snapToGrid w:val="0"/>
        <w:spacing w:before="50" w:after="50"/>
        <w:ind w:firstLine="1280" w:firstLineChars="400"/>
        <w:rPr>
          <w:rFonts w:ascii="宋体" w:hAnsi="宋体" w:cs="宋体"/>
          <w:bCs/>
          <w:sz w:val="32"/>
          <w:szCs w:val="32"/>
        </w:rPr>
      </w:pPr>
    </w:p>
    <w:p>
      <w:pPr>
        <w:snapToGrid w:val="0"/>
        <w:spacing w:beforeLines="50" w:after="50"/>
        <w:jc w:val="center"/>
        <w:rPr>
          <w:rFonts w:ascii="宋体" w:hAnsi="宋体" w:cs="宋体"/>
          <w:sz w:val="32"/>
          <w:szCs w:val="32"/>
        </w:rPr>
      </w:pPr>
      <w:r>
        <w:rPr>
          <w:rFonts w:hint="eastAsia" w:ascii="宋体" w:hAnsi="宋体" w:cs="宋体"/>
          <w:sz w:val="32"/>
          <w:szCs w:val="32"/>
        </w:rPr>
        <w:t>年    月    日</w:t>
      </w:r>
    </w:p>
    <w:p>
      <w:pPr>
        <w:snapToGrid w:val="0"/>
        <w:spacing w:beforeLines="50" w:after="50" w:line="360" w:lineRule="auto"/>
        <w:ind w:left="142"/>
        <w:jc w:val="left"/>
        <w:rPr>
          <w:rFonts w:ascii="宋体" w:hAnsi="宋体" w:cs="宋体"/>
          <w:b/>
          <w:bCs/>
          <w:sz w:val="24"/>
        </w:rPr>
      </w:pPr>
      <w:r>
        <w:rPr>
          <w:rFonts w:hint="eastAsia" w:ascii="宋体" w:hAnsi="宋体" w:cs="宋体"/>
          <w:sz w:val="24"/>
        </w:rPr>
        <w:br w:type="page"/>
      </w:r>
      <w:r>
        <w:rPr>
          <w:rFonts w:hint="eastAsia" w:ascii="宋体" w:hAnsi="宋体" w:cs="宋体"/>
          <w:b/>
          <w:bCs/>
          <w:sz w:val="32"/>
          <w:szCs w:val="32"/>
        </w:rPr>
        <w:t>2.报价文件目录</w:t>
      </w:r>
    </w:p>
    <w:p>
      <w:pPr>
        <w:snapToGrid w:val="0"/>
        <w:spacing w:beforeLines="50" w:after="50" w:line="360" w:lineRule="auto"/>
        <w:ind w:firstLine="640" w:firstLineChars="200"/>
        <w:rPr>
          <w:rFonts w:ascii="宋体" w:hAnsi="宋体" w:cs="宋体"/>
          <w:sz w:val="32"/>
          <w:szCs w:val="32"/>
        </w:rPr>
      </w:pPr>
      <w:r>
        <w:rPr>
          <w:rFonts w:hint="eastAsia" w:ascii="宋体" w:hAnsi="宋体" w:cs="宋体"/>
          <w:sz w:val="32"/>
          <w:szCs w:val="32"/>
        </w:rPr>
        <w:t>根据磋商文件规定及供应商提供的材料自行编写目录（部分格式后附）。</w:t>
      </w:r>
    </w:p>
    <w:p>
      <w:pPr>
        <w:spacing w:line="400" w:lineRule="exact"/>
        <w:rPr>
          <w:rFonts w:ascii="宋体" w:hAnsi="宋体" w:cs="宋体"/>
          <w:sz w:val="32"/>
          <w:szCs w:val="32"/>
        </w:rPr>
      </w:pPr>
    </w:p>
    <w:p>
      <w:pPr>
        <w:spacing w:line="360" w:lineRule="auto"/>
        <w:ind w:firstLine="880" w:firstLineChars="200"/>
        <w:contextualSpacing/>
        <w:jc w:val="center"/>
        <w:rPr>
          <w:rFonts w:ascii="宋体" w:hAnsi="宋体" w:cs="宋体"/>
          <w:sz w:val="24"/>
        </w:rPr>
      </w:pPr>
      <w:r>
        <w:rPr>
          <w:rFonts w:hint="eastAsia" w:ascii="宋体" w:hAnsi="宋体" w:cs="宋体"/>
          <w:sz w:val="44"/>
          <w:szCs w:val="44"/>
        </w:rPr>
        <w:br w:type="page"/>
      </w:r>
    </w:p>
    <w:p>
      <w:pPr>
        <w:spacing w:line="360" w:lineRule="auto"/>
        <w:jc w:val="center"/>
        <w:rPr>
          <w:kern w:val="0"/>
          <w:sz w:val="20"/>
          <w:szCs w:val="21"/>
        </w:rPr>
      </w:pPr>
      <w:r>
        <w:rPr>
          <w:rFonts w:hint="eastAsia"/>
          <w:b/>
          <w:bCs/>
          <w:kern w:val="0"/>
          <w:sz w:val="30"/>
          <w:szCs w:val="30"/>
        </w:rPr>
        <w:t>响应函</w:t>
      </w:r>
    </w:p>
    <w:p>
      <w:pPr>
        <w:spacing w:line="360" w:lineRule="auto"/>
        <w:rPr>
          <w:kern w:val="0"/>
          <w:sz w:val="20"/>
          <w:szCs w:val="21"/>
        </w:rPr>
      </w:pPr>
      <w:r>
        <w:rPr>
          <w:rFonts w:hint="eastAsia"/>
          <w:kern w:val="0"/>
          <w:sz w:val="20"/>
          <w:szCs w:val="21"/>
        </w:rPr>
        <w:t>致：</w:t>
      </w:r>
      <w:bookmarkStart w:id="166" w:name="PO_3000001871_PM031_6"/>
      <w:r>
        <w:rPr>
          <w:kern w:val="0"/>
          <w:sz w:val="20"/>
          <w:szCs w:val="21"/>
          <w:u w:val="single"/>
        </w:rPr>
        <w:t>[</w:t>
      </w:r>
      <w:r>
        <w:rPr>
          <w:rFonts w:hint="eastAsia"/>
          <w:kern w:val="0"/>
          <w:sz w:val="20"/>
          <w:szCs w:val="21"/>
          <w:u w:val="single"/>
        </w:rPr>
        <w:t>采购代理机构</w:t>
      </w:r>
      <w:r>
        <w:rPr>
          <w:kern w:val="0"/>
          <w:sz w:val="20"/>
          <w:szCs w:val="21"/>
          <w:u w:val="single"/>
        </w:rPr>
        <w:t>_]</w:t>
      </w:r>
      <w:bookmarkEnd w:id="166"/>
    </w:p>
    <w:p>
      <w:pPr>
        <w:spacing w:line="360" w:lineRule="auto"/>
        <w:ind w:firstLine="420" w:firstLineChars="200"/>
        <w:rPr>
          <w:rFonts w:ascii="Arial" w:hAnsi="Arial" w:cs="Arial"/>
          <w:szCs w:val="21"/>
        </w:rPr>
      </w:pPr>
      <w:r>
        <w:rPr>
          <w:rFonts w:ascii="Arial" w:hAnsi="Arial" w:cs="Arial"/>
          <w:szCs w:val="21"/>
        </w:rPr>
        <w:t>我方已仔细研究了</w:t>
      </w:r>
      <w:r>
        <w:rPr>
          <w:rFonts w:ascii="Arial" w:hAnsi="Arial" w:cs="Arial"/>
          <w:szCs w:val="21"/>
          <w:u w:val="single"/>
        </w:rPr>
        <w:t>（项目名称）</w:t>
      </w:r>
      <w:r>
        <w:rPr>
          <w:rFonts w:ascii="Arial" w:hAnsi="Arial" w:cs="Arial"/>
          <w:szCs w:val="21"/>
        </w:rPr>
        <w:t>的采购文件的全部内容，签字代表</w:t>
      </w:r>
      <w:r>
        <w:rPr>
          <w:rFonts w:ascii="Arial" w:hAnsi="Arial" w:cs="Arial"/>
          <w:szCs w:val="21"/>
          <w:u w:val="single"/>
        </w:rPr>
        <w:t>（授权代表姓名）</w:t>
      </w:r>
      <w:r>
        <w:rPr>
          <w:rFonts w:ascii="Arial" w:hAnsi="Arial" w:cs="Arial"/>
          <w:szCs w:val="21"/>
        </w:rPr>
        <w:t>经正式授权并代表供应商</w:t>
      </w:r>
      <w:r>
        <w:rPr>
          <w:rFonts w:ascii="Arial" w:hAnsi="Arial" w:cs="Arial"/>
          <w:szCs w:val="21"/>
          <w:u w:val="single"/>
        </w:rPr>
        <w:t xml:space="preserve"> （供应商名称） </w:t>
      </w:r>
      <w:r>
        <w:rPr>
          <w:rFonts w:ascii="Arial" w:hAnsi="Arial" w:cs="Arial"/>
          <w:szCs w:val="21"/>
        </w:rPr>
        <w:t>提交响应文件。</w:t>
      </w:r>
    </w:p>
    <w:p>
      <w:pPr>
        <w:spacing w:line="360" w:lineRule="auto"/>
        <w:ind w:firstLine="420" w:firstLineChars="200"/>
        <w:rPr>
          <w:rFonts w:ascii="Arial" w:hAnsi="Arial" w:cs="Arial"/>
          <w:szCs w:val="21"/>
        </w:rPr>
      </w:pPr>
      <w:r>
        <w:rPr>
          <w:rFonts w:ascii="Arial" w:hAnsi="Arial" w:cs="Arial"/>
          <w:szCs w:val="21"/>
        </w:rPr>
        <w:t>据此函，签字代表宣布同意如下：</w:t>
      </w:r>
    </w:p>
    <w:p>
      <w:pPr>
        <w:spacing w:line="360" w:lineRule="auto"/>
        <w:rPr>
          <w:rFonts w:ascii="Arial" w:hAnsi="Arial" w:cs="Arial"/>
          <w:szCs w:val="21"/>
        </w:rPr>
      </w:pPr>
      <w:r>
        <w:rPr>
          <w:rFonts w:ascii="Arial" w:hAnsi="Arial" w:cs="Arial"/>
          <w:szCs w:val="21"/>
        </w:rPr>
        <w:t>（1）供应商已详细审查全部“采购文件”，包括修改文件（如有的话）以及全部参考资料和有关附件，已经了解我方对于采购文件、采购过程、采购结果有依法进行询问、质疑、投诉的权利及相关渠道和要求。</w:t>
      </w:r>
    </w:p>
    <w:p>
      <w:pPr>
        <w:spacing w:line="360" w:lineRule="auto"/>
        <w:rPr>
          <w:rFonts w:ascii="Arial" w:hAnsi="Arial" w:cs="Arial"/>
          <w:szCs w:val="21"/>
        </w:rPr>
      </w:pPr>
      <w:r>
        <w:rPr>
          <w:rFonts w:ascii="Arial" w:hAnsi="Arial" w:cs="Arial"/>
          <w:szCs w:val="21"/>
        </w:rPr>
        <w:t>（2）供应商在响应之前已经与贵方进行了充分的沟通，完全理解并接受采购文件的各项规定和要求，对采购文件的合理性、合法性不再有异议。</w:t>
      </w:r>
    </w:p>
    <w:p>
      <w:pPr>
        <w:spacing w:line="360" w:lineRule="auto"/>
        <w:rPr>
          <w:rFonts w:ascii="Arial" w:hAnsi="Arial" w:cs="Arial"/>
          <w:szCs w:val="21"/>
        </w:rPr>
      </w:pPr>
      <w:r>
        <w:rPr>
          <w:rFonts w:ascii="Arial" w:hAnsi="Arial" w:cs="Arial"/>
          <w:szCs w:val="21"/>
        </w:rPr>
        <w:t>（3）本响应有效期自响应文件递交截止之日起天（须不少于</w:t>
      </w:r>
      <w:r>
        <w:rPr>
          <w:rFonts w:hint="eastAsia" w:ascii="Arial" w:hAnsi="Arial" w:cs="Arial"/>
          <w:szCs w:val="21"/>
          <w:lang w:val="en-US" w:eastAsia="zh-CN"/>
        </w:rPr>
        <w:t>6</w:t>
      </w:r>
      <w:r>
        <w:rPr>
          <w:rFonts w:ascii="Arial" w:hAnsi="Arial" w:cs="Arial"/>
          <w:szCs w:val="21"/>
        </w:rPr>
        <w:t>0天）。</w:t>
      </w:r>
    </w:p>
    <w:p>
      <w:pPr>
        <w:spacing w:line="360" w:lineRule="auto"/>
        <w:rPr>
          <w:rFonts w:ascii="Arial" w:hAnsi="Arial" w:cs="Arial"/>
          <w:szCs w:val="21"/>
        </w:rPr>
      </w:pPr>
      <w:r>
        <w:rPr>
          <w:rFonts w:ascii="Arial" w:hAnsi="Arial" w:cs="Arial"/>
          <w:szCs w:val="21"/>
        </w:rPr>
        <w:t>（4）如成交，本响应文件至本项目合同履行完毕止均保持有效，本供应商将按“采购文件”及政府采购法律、法规的规定履行合同责任和义务，并承诺不分包及转包他人。</w:t>
      </w:r>
    </w:p>
    <w:p>
      <w:pPr>
        <w:spacing w:line="360" w:lineRule="auto"/>
        <w:rPr>
          <w:rFonts w:ascii="Arial" w:hAnsi="Arial" w:cs="Arial"/>
          <w:szCs w:val="21"/>
        </w:rPr>
      </w:pPr>
      <w:r>
        <w:rPr>
          <w:rFonts w:ascii="Arial" w:hAnsi="Arial" w:cs="Arial"/>
          <w:szCs w:val="21"/>
        </w:rPr>
        <w:t>（5）供应商同意按照贵方要求提供与响应有关的一切数据或资料。</w:t>
      </w:r>
    </w:p>
    <w:p>
      <w:pPr>
        <w:spacing w:line="360" w:lineRule="auto"/>
        <w:rPr>
          <w:rFonts w:ascii="Arial" w:hAnsi="Arial" w:cs="Arial"/>
          <w:szCs w:val="21"/>
        </w:rPr>
      </w:pPr>
      <w:r>
        <w:rPr>
          <w:rFonts w:ascii="Arial" w:hAnsi="Arial" w:cs="Arial"/>
          <w:szCs w:val="21"/>
        </w:rPr>
        <w:t>（6）与本项目有关的一切正式往来信函请寄：</w:t>
      </w:r>
    </w:p>
    <w:p>
      <w:pPr>
        <w:spacing w:line="360" w:lineRule="auto"/>
        <w:rPr>
          <w:rFonts w:ascii="Arial" w:hAnsi="Arial" w:cs="Arial"/>
          <w:szCs w:val="21"/>
        </w:rPr>
      </w:pPr>
      <w:r>
        <w:rPr>
          <w:rFonts w:ascii="Arial" w:hAnsi="Arial" w:cs="Arial"/>
          <w:szCs w:val="21"/>
        </w:rPr>
        <w:t>地址：</w:t>
      </w:r>
      <w:r>
        <w:rPr>
          <w:rFonts w:hint="eastAsia" w:ascii="宋体" w:hAnsi="宋体" w:cs="仿宋_GB2312"/>
          <w:sz w:val="24"/>
          <w:u w:val="single"/>
        </w:rPr>
        <w:t xml:space="preserve">      </w:t>
      </w:r>
      <w:r>
        <w:rPr>
          <w:rFonts w:ascii="Arial" w:hAnsi="Arial" w:cs="Arial"/>
          <w:szCs w:val="21"/>
        </w:rPr>
        <w:t>邮编：</w:t>
      </w:r>
      <w:r>
        <w:rPr>
          <w:rFonts w:hint="eastAsia" w:ascii="宋体" w:hAnsi="宋体" w:cs="仿宋_GB2312"/>
          <w:sz w:val="24"/>
          <w:u w:val="single"/>
        </w:rPr>
        <w:t xml:space="preserve">      </w:t>
      </w:r>
      <w:r>
        <w:rPr>
          <w:rFonts w:ascii="Arial" w:hAnsi="Arial" w:cs="Arial"/>
          <w:szCs w:val="21"/>
        </w:rPr>
        <w:t xml:space="preserve">  电话：</w:t>
      </w:r>
      <w:r>
        <w:rPr>
          <w:rFonts w:hint="eastAsia" w:ascii="宋体" w:hAnsi="宋体" w:cs="仿宋_GB2312"/>
          <w:sz w:val="24"/>
          <w:u w:val="single"/>
        </w:rPr>
        <w:t xml:space="preserve">      </w:t>
      </w:r>
    </w:p>
    <w:p>
      <w:pPr>
        <w:spacing w:line="360" w:lineRule="auto"/>
        <w:rPr>
          <w:rFonts w:ascii="Arial" w:hAnsi="Arial" w:cs="Arial"/>
          <w:szCs w:val="21"/>
        </w:rPr>
      </w:pPr>
      <w:r>
        <w:rPr>
          <w:rFonts w:ascii="Arial" w:hAnsi="Arial" w:cs="Arial"/>
          <w:szCs w:val="21"/>
        </w:rPr>
        <w:t>传真：</w:t>
      </w:r>
      <w:r>
        <w:rPr>
          <w:rFonts w:hint="eastAsia" w:ascii="宋体" w:hAnsi="宋体" w:cs="仿宋_GB2312"/>
          <w:sz w:val="24"/>
          <w:u w:val="single"/>
        </w:rPr>
        <w:t xml:space="preserve">      </w:t>
      </w:r>
    </w:p>
    <w:p>
      <w:pPr>
        <w:spacing w:line="360" w:lineRule="auto"/>
        <w:rPr>
          <w:rFonts w:ascii="Arial" w:hAnsi="Arial" w:cs="Arial"/>
          <w:szCs w:val="21"/>
        </w:rPr>
      </w:pPr>
      <w:r>
        <w:rPr>
          <w:rFonts w:ascii="Arial" w:hAnsi="Arial" w:cs="Arial"/>
          <w:szCs w:val="21"/>
        </w:rPr>
        <w:t>供应商代表姓名</w:t>
      </w:r>
      <w:r>
        <w:rPr>
          <w:rFonts w:hint="eastAsia" w:ascii="宋体" w:hAnsi="宋体" w:cs="仿宋_GB2312"/>
          <w:sz w:val="24"/>
          <w:u w:val="single"/>
        </w:rPr>
        <w:t xml:space="preserve">      </w:t>
      </w:r>
      <w:r>
        <w:rPr>
          <w:rFonts w:ascii="Arial" w:hAnsi="Arial" w:cs="Arial"/>
          <w:szCs w:val="21"/>
        </w:rPr>
        <w:t>职务：</w:t>
      </w:r>
      <w:r>
        <w:rPr>
          <w:rFonts w:hint="eastAsia" w:ascii="宋体" w:hAnsi="宋体" w:cs="仿宋_GB2312"/>
          <w:sz w:val="24"/>
          <w:u w:val="single"/>
        </w:rPr>
        <w:t xml:space="preserve">      </w:t>
      </w:r>
      <w:r>
        <w:rPr>
          <w:rFonts w:ascii="Arial" w:hAnsi="Arial" w:cs="Arial"/>
          <w:szCs w:val="21"/>
        </w:rPr>
        <w:t>邮箱：</w:t>
      </w:r>
      <w:r>
        <w:rPr>
          <w:rFonts w:hint="eastAsia" w:ascii="宋体" w:hAnsi="宋体" w:cs="仿宋_GB2312"/>
          <w:sz w:val="24"/>
          <w:u w:val="single"/>
        </w:rPr>
        <w:t xml:space="preserve">      </w:t>
      </w:r>
    </w:p>
    <w:p>
      <w:pPr>
        <w:spacing w:line="360" w:lineRule="auto"/>
        <w:rPr>
          <w:rFonts w:ascii="Arial" w:hAnsi="Arial" w:cs="Arial"/>
          <w:szCs w:val="21"/>
        </w:rPr>
      </w:pPr>
    </w:p>
    <w:p>
      <w:pPr>
        <w:spacing w:line="360" w:lineRule="auto"/>
        <w:rPr>
          <w:rFonts w:ascii="Arial" w:hAnsi="Arial" w:cs="Arial"/>
          <w:szCs w:val="21"/>
        </w:rPr>
      </w:pPr>
    </w:p>
    <w:p>
      <w:pPr>
        <w:spacing w:line="360" w:lineRule="auto"/>
        <w:rPr>
          <w:rFonts w:ascii="Arial" w:hAnsi="Arial" w:cs="Arial"/>
          <w:szCs w:val="21"/>
          <w:u w:val="single"/>
        </w:rPr>
      </w:pPr>
      <w:r>
        <w:rPr>
          <w:rFonts w:ascii="Arial" w:hAnsi="Arial" w:cs="Arial"/>
          <w:szCs w:val="21"/>
        </w:rPr>
        <w:t>供应商名称(电子签章)：</w:t>
      </w:r>
    </w:p>
    <w:p>
      <w:pPr>
        <w:spacing w:line="360" w:lineRule="auto"/>
        <w:rPr>
          <w:rFonts w:ascii="Arial" w:hAnsi="Arial" w:cs="Arial"/>
          <w:szCs w:val="21"/>
        </w:rPr>
      </w:pPr>
    </w:p>
    <w:p>
      <w:pPr>
        <w:spacing w:line="360" w:lineRule="auto"/>
        <w:rPr>
          <w:rFonts w:ascii="Arial" w:hAnsi="Arial" w:cs="Arial"/>
          <w:szCs w:val="21"/>
        </w:rPr>
      </w:pPr>
    </w:p>
    <w:p>
      <w:pPr>
        <w:spacing w:line="360" w:lineRule="auto"/>
        <w:rPr>
          <w:rFonts w:ascii="Arial" w:hAnsi="Arial" w:cs="Arial"/>
          <w:szCs w:val="21"/>
        </w:rPr>
      </w:pPr>
      <w:r>
        <w:rPr>
          <w:rFonts w:ascii="Arial" w:hAnsi="Arial" w:cs="Arial"/>
          <w:szCs w:val="21"/>
        </w:rPr>
        <w:t>日期：年月日</w:t>
      </w:r>
    </w:p>
    <w:p>
      <w:pPr>
        <w:rPr>
          <w:rFonts w:ascii="宋体" w:hAnsi="宋体" w:cs="宋体"/>
          <w:b/>
          <w:bCs/>
          <w:sz w:val="44"/>
          <w:szCs w:val="44"/>
        </w:rPr>
      </w:pPr>
      <w:r>
        <w:rPr>
          <w:rFonts w:hint="eastAsia" w:ascii="宋体" w:hAnsi="宋体" w:cs="宋体"/>
          <w:b/>
          <w:bCs/>
          <w:sz w:val="44"/>
          <w:szCs w:val="44"/>
        </w:rPr>
        <w:br w:type="page"/>
      </w:r>
    </w:p>
    <w:p>
      <w:pPr>
        <w:jc w:val="center"/>
        <w:rPr>
          <w:rFonts w:ascii="宋体" w:hAnsi="宋体" w:cs="宋体"/>
          <w:b/>
          <w:bCs/>
          <w:sz w:val="32"/>
          <w:szCs w:val="32"/>
        </w:rPr>
      </w:pPr>
      <w:r>
        <w:rPr>
          <w:rFonts w:hint="eastAsia" w:ascii="宋体" w:hAnsi="宋体" w:cs="宋体"/>
          <w:b/>
          <w:bCs/>
          <w:sz w:val="44"/>
          <w:szCs w:val="44"/>
        </w:rPr>
        <w:t>响应报价表</w:t>
      </w:r>
    </w:p>
    <w:p>
      <w:pPr>
        <w:spacing w:line="440" w:lineRule="exact"/>
        <w:jc w:val="center"/>
        <w:rPr>
          <w:rFonts w:ascii="宋体" w:hAnsi="宋体" w:cs="宋体"/>
          <w:bCs/>
          <w:sz w:val="32"/>
          <w:szCs w:val="32"/>
        </w:rPr>
      </w:pPr>
    </w:p>
    <w:p>
      <w:pPr>
        <w:snapToGrid w:val="0"/>
        <w:spacing w:before="50" w:after="50" w:line="360" w:lineRule="auto"/>
        <w:rPr>
          <w:rFonts w:ascii="宋体" w:hAnsi="宋体" w:cs="仿宋_GB2312"/>
          <w:sz w:val="24"/>
        </w:rPr>
      </w:pPr>
      <w:r>
        <w:rPr>
          <w:rFonts w:hint="eastAsia" w:ascii="宋体" w:hAnsi="宋体" w:cs="仿宋_GB2312"/>
          <w:sz w:val="24"/>
        </w:rPr>
        <w:t xml:space="preserve">项目名称：  </w:t>
      </w:r>
      <w:r>
        <w:rPr>
          <w:rFonts w:hint="eastAsia" w:ascii="宋体" w:hAnsi="宋体" w:cs="仿宋_GB2312"/>
          <w:sz w:val="24"/>
          <w:lang w:val="en-US" w:eastAsia="zh-CN"/>
        </w:rPr>
        <w:t xml:space="preserve">      </w:t>
      </w:r>
      <w:r>
        <w:rPr>
          <w:rFonts w:hint="eastAsia" w:ascii="宋体" w:hAnsi="宋体" w:cs="仿宋_GB2312"/>
          <w:sz w:val="24"/>
        </w:rPr>
        <w:t>项目编号：</w:t>
      </w:r>
    </w:p>
    <w:p>
      <w:pPr>
        <w:snapToGrid w:val="0"/>
        <w:spacing w:before="50" w:after="50" w:line="360" w:lineRule="auto"/>
        <w:rPr>
          <w:rFonts w:ascii="宋体" w:hAnsi="宋体" w:cs="仿宋_GB2312"/>
          <w:sz w:val="24"/>
          <w:u w:val="single"/>
        </w:rPr>
      </w:pPr>
      <w:r>
        <w:rPr>
          <w:rFonts w:hint="eastAsia" w:ascii="宋体" w:hAnsi="宋体" w:cs="仿宋_GB2312"/>
          <w:sz w:val="24"/>
        </w:rPr>
        <w:t>供应商名称：</w:t>
      </w:r>
    </w:p>
    <w:p>
      <w:pPr>
        <w:pStyle w:val="20"/>
        <w:spacing w:line="360" w:lineRule="auto"/>
        <w:contextualSpacing/>
        <w:rPr>
          <w:rFonts w:hAnsi="宋体" w:cs="仿宋_GB2312"/>
          <w:sz w:val="24"/>
          <w:u w:val="single"/>
        </w:rPr>
      </w:pPr>
      <w:r>
        <w:rPr>
          <w:rFonts w:hint="eastAsia" w:ascii="宋体" w:hAnsi="宋体" w:cs="仿宋_GB2312"/>
          <w:sz w:val="24"/>
        </w:rPr>
        <w:t>所竞标项名称：</w:t>
      </w:r>
      <w:r>
        <w:rPr>
          <w:rFonts w:hint="eastAsia" w:ascii="宋体" w:hAnsi="宋体" w:cs="仿宋_GB2312"/>
          <w:sz w:val="24"/>
          <w:u w:val="single"/>
          <w:lang w:val="en-US" w:eastAsia="zh-CN"/>
        </w:rPr>
        <w:t xml:space="preserve">  </w:t>
      </w:r>
      <w:r>
        <w:rPr>
          <w:rFonts w:hint="eastAsia" w:ascii="宋体" w:hAnsi="宋体" w:cs="仿宋_GB2312"/>
          <w:sz w:val="24"/>
          <w:u w:val="single"/>
        </w:rPr>
        <w:t>[营养科医用食品配送服务（二）/营养科医用食品配送服务（三）]</w:t>
      </w:r>
      <w:r>
        <w:rPr>
          <w:rFonts w:hint="eastAsia" w:ascii="宋体" w:hAnsi="宋体" w:cs="仿宋_GB2312"/>
          <w:sz w:val="24"/>
          <w:u w:val="single"/>
          <w:lang w:val="en-US" w:eastAsia="zh-CN"/>
        </w:rPr>
        <w:t xml:space="preserve"> </w:t>
      </w:r>
    </w:p>
    <w:tbl>
      <w:tblPr>
        <w:tblStyle w:val="32"/>
        <w:tblW w:w="969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
        <w:gridCol w:w="1121"/>
        <w:gridCol w:w="3365"/>
        <w:gridCol w:w="40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38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序号</w:t>
            </w:r>
          </w:p>
        </w:tc>
        <w:tc>
          <w:tcPr>
            <w:tcW w:w="1121"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标的的名称</w:t>
            </w:r>
          </w:p>
        </w:tc>
        <w:tc>
          <w:tcPr>
            <w:tcW w:w="3365"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下浮系数（%）</w:t>
            </w:r>
          </w:p>
        </w:tc>
        <w:tc>
          <w:tcPr>
            <w:tcW w:w="4079"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服务期限</w:t>
            </w:r>
          </w:p>
        </w:tc>
        <w:tc>
          <w:tcPr>
            <w:tcW w:w="75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0" w:hRule="atLeast"/>
        </w:trPr>
        <w:tc>
          <w:tcPr>
            <w:tcW w:w="381" w:type="dxa"/>
            <w:tcBorders>
              <w:top w:val="single" w:color="auto" w:sz="4" w:space="0"/>
              <w:left w:val="single" w:color="auto" w:sz="4" w:space="0"/>
              <w:right w:val="single" w:color="auto" w:sz="4" w:space="0"/>
            </w:tcBorders>
            <w:noWrap/>
            <w:vAlign w:val="center"/>
          </w:tcPr>
          <w:p>
            <w:pPr>
              <w:jc w:val="center"/>
              <w:rPr>
                <w:rFonts w:ascii="宋体" w:hAnsi="宋体" w:cs="宋体"/>
                <w:sz w:val="24"/>
              </w:rPr>
            </w:pPr>
            <w:r>
              <w:rPr>
                <w:rFonts w:hint="eastAsia" w:ascii="宋体" w:hAnsi="宋体" w:cs="宋体"/>
                <w:sz w:val="24"/>
              </w:rPr>
              <w:t>1</w:t>
            </w:r>
          </w:p>
        </w:tc>
        <w:tc>
          <w:tcPr>
            <w:tcW w:w="1121" w:type="dxa"/>
            <w:tcBorders>
              <w:top w:val="single" w:color="auto" w:sz="4" w:space="0"/>
              <w:left w:val="single" w:color="auto" w:sz="4" w:space="0"/>
              <w:right w:val="single" w:color="auto" w:sz="4" w:space="0"/>
            </w:tcBorders>
            <w:noWrap/>
            <w:vAlign w:val="center"/>
          </w:tcPr>
          <w:p>
            <w:pPr>
              <w:jc w:val="center"/>
              <w:rPr>
                <w:rFonts w:ascii="宋体" w:hAnsi="宋体" w:cs="宋体"/>
                <w:sz w:val="24"/>
              </w:rPr>
            </w:pPr>
          </w:p>
        </w:tc>
        <w:tc>
          <w:tcPr>
            <w:tcW w:w="3365" w:type="dxa"/>
            <w:tcBorders>
              <w:top w:val="single" w:color="auto" w:sz="4" w:space="0"/>
              <w:left w:val="single" w:color="auto" w:sz="4" w:space="0"/>
              <w:right w:val="single" w:color="auto" w:sz="4" w:space="0"/>
            </w:tcBorders>
            <w:noWrap/>
            <w:vAlign w:val="center"/>
          </w:tcPr>
          <w:p>
            <w:pPr>
              <w:pStyle w:val="2"/>
              <w:rPr>
                <w:szCs w:val="21"/>
              </w:rPr>
            </w:pPr>
          </w:p>
        </w:tc>
        <w:tc>
          <w:tcPr>
            <w:tcW w:w="4079" w:type="dxa"/>
            <w:tcBorders>
              <w:top w:val="single" w:color="auto" w:sz="4" w:space="0"/>
              <w:left w:val="single" w:color="auto" w:sz="4" w:space="0"/>
              <w:right w:val="single" w:color="auto" w:sz="4" w:space="0"/>
            </w:tcBorders>
            <w:noWrap/>
            <w:vAlign w:val="center"/>
          </w:tcPr>
          <w:p>
            <w:pPr>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9696" w:type="dxa"/>
            <w:gridSpan w:val="5"/>
            <w:tcBorders>
              <w:top w:val="single" w:color="auto" w:sz="4" w:space="0"/>
              <w:left w:val="single" w:color="auto" w:sz="4" w:space="0"/>
              <w:bottom w:val="single" w:color="auto" w:sz="4" w:space="0"/>
              <w:right w:val="single" w:color="auto" w:sz="4" w:space="0"/>
            </w:tcBorders>
            <w:noWrap/>
            <w:vAlign w:val="center"/>
          </w:tcPr>
          <w:p>
            <w:pPr>
              <w:rPr>
                <w:rFonts w:ascii="宋体" w:hAnsi="宋体" w:cs="宋体"/>
                <w:sz w:val="24"/>
              </w:rPr>
            </w:pPr>
            <w:r>
              <w:rPr>
                <w:rFonts w:hint="eastAsia" w:ascii="宋体" w:hAnsi="宋体"/>
                <w:szCs w:val="21"/>
              </w:rPr>
              <w:t>下浮系数：（大写）百分之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9696" w:type="dxa"/>
            <w:gridSpan w:val="5"/>
            <w:tcBorders>
              <w:top w:val="single" w:color="auto" w:sz="4" w:space="0"/>
              <w:left w:val="single" w:color="auto" w:sz="4" w:space="0"/>
              <w:bottom w:val="single" w:color="auto" w:sz="4" w:space="0"/>
              <w:right w:val="single" w:color="auto" w:sz="4" w:space="0"/>
            </w:tcBorders>
            <w:noWrap/>
            <w:vAlign w:val="center"/>
          </w:tcPr>
          <w:p>
            <w:pPr>
              <w:rPr>
                <w:rFonts w:ascii="宋体" w:hAnsi="宋体"/>
                <w:szCs w:val="21"/>
              </w:rPr>
            </w:pPr>
            <w:r>
              <w:rPr>
                <w:rFonts w:hint="eastAsia" w:ascii="宋体" w:hAnsi="宋体"/>
                <w:szCs w:val="21"/>
              </w:rPr>
              <w:t>供应商竞标报价结合市场价格、成本及自身条件、市场风险考虑报出综合的下浮系数。以每样货物的最高限价作为价格基准，实际采购价格=货物的最高限价×（1-成交下浮系数），供应商一旦成交，该结算综合下浮系数在合同服务期内不得改变，否则采购人有权单方终止合同，扣罚全部履约保证金，由此产生的一切经济损失由成交供应商自行承担。</w:t>
            </w:r>
          </w:p>
        </w:tc>
      </w:tr>
    </w:tbl>
    <w:p>
      <w:pPr>
        <w:snapToGrid w:val="0"/>
        <w:spacing w:before="50" w:after="50" w:line="360" w:lineRule="auto"/>
        <w:ind w:firstLine="480" w:firstLineChars="200"/>
        <w:rPr>
          <w:rFonts w:ascii="宋体" w:hAnsi="宋体"/>
          <w:sz w:val="24"/>
        </w:rPr>
      </w:pPr>
      <w:r>
        <w:rPr>
          <w:rFonts w:hint="eastAsia" w:ascii="宋体" w:hAnsi="宋体"/>
          <w:sz w:val="24"/>
        </w:rPr>
        <w:t xml:space="preserve">注： </w:t>
      </w:r>
    </w:p>
    <w:p>
      <w:pPr>
        <w:snapToGrid w:val="0"/>
        <w:spacing w:before="50" w:after="50" w:line="360" w:lineRule="auto"/>
        <w:ind w:firstLine="480" w:firstLineChars="200"/>
        <w:rPr>
          <w:rFonts w:ascii="宋体" w:hAnsi="宋体"/>
          <w:sz w:val="24"/>
        </w:rPr>
      </w:pPr>
      <w:r>
        <w:rPr>
          <w:rFonts w:hint="eastAsia" w:ascii="宋体" w:hAnsi="宋体"/>
          <w:sz w:val="24"/>
        </w:rPr>
        <w:t>1、供应商需按本表格式填写，不得自行更改，也不得留空, 如有多分标，按分标分别提供响应报价表。</w:t>
      </w:r>
    </w:p>
    <w:p>
      <w:pPr>
        <w:spacing w:line="360" w:lineRule="auto"/>
        <w:ind w:right="-817" w:rightChars="-389" w:firstLine="2640" w:firstLineChars="1100"/>
        <w:contextualSpacing/>
        <w:rPr>
          <w:rFonts w:ascii="宋体" w:hAnsi="宋体" w:cs="仿宋_GB2312"/>
          <w:sz w:val="24"/>
        </w:rPr>
      </w:pP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供应商名称（电子签章）：</w:t>
      </w: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日期：  年  月   日</w:t>
      </w:r>
    </w:p>
    <w:p>
      <w:pPr>
        <w:rPr>
          <w:rFonts w:ascii="宋体" w:hAnsi="宋体" w:cs="仿宋_GB2312"/>
          <w:sz w:val="24"/>
        </w:rPr>
      </w:pPr>
      <w:r>
        <w:rPr>
          <w:rFonts w:ascii="宋体" w:hAnsi="宋体" w:cs="仿宋_GB2312"/>
          <w:sz w:val="24"/>
        </w:rPr>
        <w:br w:type="page"/>
      </w:r>
    </w:p>
    <w:p>
      <w:pPr>
        <w:jc w:val="center"/>
        <w:rPr>
          <w:rFonts w:ascii="宋体" w:hAnsi="宋体"/>
          <w:b/>
          <w:bCs/>
          <w:szCs w:val="32"/>
        </w:rPr>
      </w:pPr>
      <w:r>
        <w:rPr>
          <w:rFonts w:hint="eastAsia" w:ascii="宋体" w:hAnsi="宋体"/>
          <w:b/>
          <w:bCs/>
          <w:sz w:val="32"/>
          <w:szCs w:val="32"/>
        </w:rPr>
        <w:t>响应报价明细表</w:t>
      </w:r>
    </w:p>
    <w:p>
      <w:pPr>
        <w:snapToGrid w:val="0"/>
        <w:spacing w:before="50" w:after="50" w:line="360" w:lineRule="auto"/>
        <w:rPr>
          <w:rFonts w:ascii="宋体" w:hAnsi="宋体" w:cs="仿宋_GB2312"/>
          <w:sz w:val="24"/>
        </w:rPr>
      </w:pPr>
      <w:r>
        <w:rPr>
          <w:rFonts w:hint="eastAsia" w:ascii="宋体" w:hAnsi="宋体" w:cs="仿宋_GB2312"/>
          <w:sz w:val="24"/>
        </w:rPr>
        <w:t xml:space="preserve">项目名称：  </w:t>
      </w:r>
      <w:r>
        <w:rPr>
          <w:rFonts w:hint="eastAsia" w:ascii="宋体" w:hAnsi="宋体" w:cs="仿宋_GB2312"/>
          <w:sz w:val="24"/>
          <w:lang w:val="en-US" w:eastAsia="zh-CN"/>
        </w:rPr>
        <w:t xml:space="preserve">         </w:t>
      </w:r>
      <w:r>
        <w:rPr>
          <w:rFonts w:hint="eastAsia" w:ascii="宋体" w:hAnsi="宋体" w:cs="仿宋_GB2312"/>
          <w:sz w:val="24"/>
        </w:rPr>
        <w:t>项目编号：</w:t>
      </w:r>
    </w:p>
    <w:p>
      <w:pPr>
        <w:snapToGrid w:val="0"/>
        <w:spacing w:before="50" w:after="50" w:line="360" w:lineRule="auto"/>
        <w:rPr>
          <w:rFonts w:ascii="宋体" w:hAnsi="宋体" w:cs="仿宋_GB2312"/>
          <w:sz w:val="24"/>
          <w:u w:val="single"/>
        </w:rPr>
      </w:pPr>
      <w:r>
        <w:rPr>
          <w:rFonts w:hint="eastAsia" w:ascii="宋体" w:hAnsi="宋体" w:cs="仿宋_GB2312"/>
          <w:sz w:val="24"/>
        </w:rPr>
        <w:t>供应商名称：</w:t>
      </w:r>
    </w:p>
    <w:p>
      <w:pPr>
        <w:pStyle w:val="20"/>
        <w:spacing w:line="360" w:lineRule="auto"/>
        <w:contextualSpacing/>
        <w:rPr>
          <w:rFonts w:hAnsi="宋体" w:cs="仿宋_GB2312"/>
          <w:sz w:val="24"/>
          <w:u w:val="single"/>
        </w:rPr>
      </w:pPr>
      <w:r>
        <w:rPr>
          <w:rFonts w:hint="eastAsia" w:ascii="宋体" w:hAnsi="宋体" w:cs="仿宋_GB2312"/>
          <w:sz w:val="24"/>
        </w:rPr>
        <w:t>所竞标项名称：</w:t>
      </w:r>
      <w:r>
        <w:rPr>
          <w:rFonts w:hint="eastAsia" w:ascii="宋体" w:hAnsi="宋体" w:cs="仿宋_GB2312"/>
          <w:sz w:val="24"/>
          <w:u w:val="single"/>
          <w:lang w:val="en-US" w:eastAsia="zh-CN"/>
        </w:rPr>
        <w:t xml:space="preserve">  </w:t>
      </w:r>
      <w:r>
        <w:rPr>
          <w:rFonts w:hint="eastAsia" w:ascii="宋体" w:hAnsi="宋体" w:cs="仿宋_GB2312"/>
          <w:sz w:val="24"/>
          <w:u w:val="single"/>
        </w:rPr>
        <w:t>[营养科医用食品配送服务（二）/营养科医用食品配送服务（三）]</w:t>
      </w:r>
      <w:r>
        <w:rPr>
          <w:rFonts w:hint="eastAsia" w:ascii="宋体" w:hAnsi="宋体" w:cs="仿宋_GB2312"/>
          <w:sz w:val="24"/>
          <w:u w:val="single"/>
          <w:lang w:val="en-US" w:eastAsia="zh-CN"/>
        </w:rPr>
        <w:t xml:space="preserve"> </w:t>
      </w:r>
    </w:p>
    <w:tbl>
      <w:tblPr>
        <w:tblStyle w:val="32"/>
        <w:tblW w:w="8339" w:type="dxa"/>
        <w:tblInd w:w="0" w:type="dxa"/>
        <w:tblLayout w:type="fixed"/>
        <w:tblCellMar>
          <w:top w:w="0" w:type="dxa"/>
          <w:left w:w="108" w:type="dxa"/>
          <w:bottom w:w="0" w:type="dxa"/>
          <w:right w:w="108" w:type="dxa"/>
        </w:tblCellMar>
      </w:tblPr>
      <w:tblGrid>
        <w:gridCol w:w="1813"/>
        <w:gridCol w:w="2083"/>
        <w:gridCol w:w="2693"/>
        <w:gridCol w:w="1750"/>
      </w:tblGrid>
      <w:tr>
        <w:trPr>
          <w:trHeight w:val="741"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szCs w:val="21"/>
              </w:rPr>
              <w:t>产品名称</w:t>
            </w: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hint="eastAsia" w:ascii="宋体" w:hAnsi="宋体" w:eastAsia="宋体" w:cs="宋体"/>
                <w:b/>
                <w:szCs w:val="21"/>
                <w:lang w:eastAsia="zh-CN"/>
              </w:rPr>
            </w:pPr>
            <w:r>
              <w:rPr>
                <w:rFonts w:hint="eastAsia" w:ascii="宋体" w:hAnsi="宋体" w:cs="宋体"/>
                <w:b/>
                <w:szCs w:val="21"/>
              </w:rPr>
              <w:t>每样货品的最高限价</w:t>
            </w:r>
            <w:r>
              <w:rPr>
                <w:rFonts w:hint="eastAsia" w:ascii="宋体" w:hAnsi="宋体" w:cs="宋体"/>
                <w:b/>
                <w:szCs w:val="21"/>
                <w:lang w:eastAsia="zh-CN"/>
              </w:rPr>
              <w:t>（元）</w:t>
            </w: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szCs w:val="21"/>
              </w:rPr>
              <w:t>每样货品的竞标价格</w:t>
            </w:r>
          </w:p>
          <w:p>
            <w:pPr>
              <w:widowControl/>
              <w:jc w:val="center"/>
              <w:textAlignment w:val="center"/>
              <w:rPr>
                <w:rFonts w:hint="eastAsia" w:ascii="宋体" w:hAnsi="宋体" w:cs="宋体"/>
                <w:b/>
                <w:szCs w:val="21"/>
              </w:rPr>
            </w:pPr>
            <w:r>
              <w:rPr>
                <w:rFonts w:hint="eastAsia" w:ascii="宋体" w:hAnsi="宋体" w:cs="宋体"/>
                <w:b/>
                <w:szCs w:val="21"/>
              </w:rPr>
              <w:t>【即：每样货品的最高限价×（1-分标下浮系数）】</w:t>
            </w:r>
          </w:p>
          <w:p>
            <w:pPr>
              <w:widowControl/>
              <w:jc w:val="center"/>
              <w:textAlignment w:val="center"/>
              <w:rPr>
                <w:rFonts w:hint="eastAsia" w:ascii="宋体" w:hAnsi="宋体" w:eastAsia="宋体" w:cs="宋体"/>
                <w:b/>
                <w:szCs w:val="21"/>
                <w:lang w:eastAsia="zh-CN"/>
              </w:rPr>
            </w:pPr>
            <w:r>
              <w:rPr>
                <w:rFonts w:hint="eastAsia" w:ascii="宋体" w:hAnsi="宋体" w:cs="宋体"/>
                <w:b/>
                <w:szCs w:val="21"/>
                <w:lang w:eastAsia="zh-CN"/>
              </w:rPr>
              <w:t>（元）</w:t>
            </w: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备注</w:t>
            </w:r>
          </w:p>
        </w:tc>
      </w:tr>
      <w:tr>
        <w:tblPrEx>
          <w:tblCellMar>
            <w:top w:w="0" w:type="dxa"/>
            <w:left w:w="108" w:type="dxa"/>
            <w:bottom w:w="0" w:type="dxa"/>
            <w:right w:w="108" w:type="dxa"/>
          </w:tblCellMar>
        </w:tblPrEx>
        <w:trPr>
          <w:trHeight w:val="1443"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szCs w:val="21"/>
              </w:rPr>
            </w:pP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szCs w:val="21"/>
              </w:rPr>
            </w:pP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right"/>
              <w:textAlignment w:val="center"/>
              <w:rPr>
                <w:rFonts w:ascii="宋体" w:hAnsi="宋体" w:cs="宋体"/>
                <w:b/>
                <w:szCs w:val="21"/>
              </w:rPr>
            </w:pP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jc w:val="center"/>
              <w:rPr>
                <w:rFonts w:ascii="宋体" w:hAnsi="宋体" w:cs="宋体"/>
                <w:szCs w:val="21"/>
              </w:rPr>
            </w:pPr>
          </w:p>
        </w:tc>
      </w:tr>
      <w:tr>
        <w:trPr>
          <w:trHeight w:val="1516"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szCs w:val="21"/>
              </w:rPr>
            </w:pP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right"/>
              <w:textAlignment w:val="center"/>
              <w:rPr>
                <w:rFonts w:ascii="宋体" w:hAnsi="宋体" w:cs="宋体"/>
                <w:b/>
                <w:szCs w:val="21"/>
              </w:rPr>
            </w:pP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jc w:val="center"/>
              <w:rPr>
                <w:rFonts w:ascii="宋体" w:hAnsi="宋体" w:cs="宋体"/>
                <w:szCs w:val="21"/>
              </w:rPr>
            </w:pPr>
          </w:p>
        </w:tc>
      </w:tr>
      <w:tr>
        <w:trPr>
          <w:trHeight w:val="1516" w:hRule="atLeast"/>
        </w:trPr>
        <w:tc>
          <w:tcPr>
            <w:tcW w:w="181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w:t>
            </w:r>
          </w:p>
        </w:tc>
        <w:tc>
          <w:tcPr>
            <w:tcW w:w="2083"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2693" w:type="dxa"/>
            <w:tcBorders>
              <w:top w:val="single" w:color="000000" w:sz="4" w:space="0"/>
              <w:left w:val="single" w:color="000000" w:sz="4" w:space="0"/>
              <w:bottom w:val="single" w:color="000000" w:sz="4" w:space="0"/>
              <w:right w:val="nil"/>
            </w:tcBorders>
            <w:noWrap/>
            <w:tcMar>
              <w:top w:w="15" w:type="dxa"/>
              <w:left w:w="15" w:type="dxa"/>
              <w:bottom w:w="15" w:type="dxa"/>
              <w:right w:w="15" w:type="dxa"/>
            </w:tcMar>
            <w:vAlign w:val="center"/>
          </w:tcPr>
          <w:p>
            <w:pPr>
              <w:widowControl/>
              <w:jc w:val="right"/>
              <w:textAlignment w:val="center"/>
              <w:rPr>
                <w:rFonts w:ascii="宋体" w:hAnsi="宋体" w:cs="宋体"/>
                <w:b/>
                <w:szCs w:val="21"/>
              </w:rPr>
            </w:pPr>
          </w:p>
        </w:tc>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bottom w:w="15" w:type="dxa"/>
              <w:right w:w="15" w:type="dxa"/>
            </w:tcMar>
            <w:vAlign w:val="center"/>
          </w:tcPr>
          <w:p>
            <w:pPr>
              <w:jc w:val="center"/>
              <w:rPr>
                <w:rFonts w:ascii="宋体" w:hAnsi="宋体" w:cs="宋体"/>
                <w:szCs w:val="21"/>
              </w:rPr>
            </w:pPr>
          </w:p>
        </w:tc>
      </w:tr>
    </w:tbl>
    <w:p>
      <w:pPr>
        <w:snapToGrid w:val="0"/>
        <w:spacing w:before="50" w:after="50" w:line="360" w:lineRule="auto"/>
        <w:ind w:firstLine="480" w:firstLineChars="200"/>
        <w:rPr>
          <w:rFonts w:ascii="宋体" w:hAnsi="宋体"/>
          <w:sz w:val="24"/>
        </w:rPr>
      </w:pPr>
      <w:r>
        <w:rPr>
          <w:rFonts w:hint="eastAsia" w:ascii="宋体" w:hAnsi="宋体"/>
          <w:sz w:val="24"/>
        </w:rPr>
        <w:t xml:space="preserve">注： </w:t>
      </w:r>
    </w:p>
    <w:p>
      <w:pPr>
        <w:snapToGrid w:val="0"/>
        <w:spacing w:before="50" w:after="50" w:line="360" w:lineRule="auto"/>
        <w:ind w:firstLine="480" w:firstLineChars="200"/>
        <w:rPr>
          <w:rFonts w:ascii="宋体" w:hAnsi="宋体"/>
          <w:sz w:val="24"/>
        </w:rPr>
      </w:pPr>
      <w:r>
        <w:rPr>
          <w:rFonts w:hint="eastAsia" w:ascii="宋体" w:hAnsi="宋体"/>
          <w:sz w:val="24"/>
        </w:rPr>
        <w:t>1、供应商需按本表格式填写，不得自行更改，也不得留空,表格行数不够则自行增加行数，如有多分标，按分标分别提供响应报价明细表。</w:t>
      </w:r>
    </w:p>
    <w:p>
      <w:pPr>
        <w:spacing w:line="360" w:lineRule="auto"/>
        <w:ind w:right="-817" w:rightChars="-389" w:firstLine="2640" w:firstLineChars="1100"/>
        <w:contextualSpacing/>
        <w:rPr>
          <w:rFonts w:ascii="宋体" w:hAnsi="宋体" w:cs="仿宋_GB2312"/>
          <w:sz w:val="24"/>
        </w:rPr>
      </w:pP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供应商名称（电子签章）：</w:t>
      </w:r>
    </w:p>
    <w:p>
      <w:pPr>
        <w:spacing w:line="360" w:lineRule="auto"/>
        <w:ind w:right="-817" w:rightChars="-389" w:firstLine="2640" w:firstLineChars="1100"/>
        <w:contextualSpacing/>
        <w:rPr>
          <w:rFonts w:ascii="宋体" w:hAnsi="宋体" w:cs="仿宋_GB2312"/>
          <w:sz w:val="24"/>
        </w:rPr>
      </w:pPr>
      <w:r>
        <w:rPr>
          <w:rFonts w:hint="eastAsia" w:ascii="宋体" w:hAnsi="宋体" w:cs="仿宋_GB2312"/>
          <w:sz w:val="24"/>
        </w:rPr>
        <w:t>日期：  年  月   日</w:t>
      </w:r>
    </w:p>
    <w:p>
      <w:pPr>
        <w:rPr>
          <w:rFonts w:ascii="宋体" w:hAnsi="宋体" w:cs="宋体"/>
        </w:rPr>
      </w:pPr>
      <w:r>
        <w:rPr>
          <w:rFonts w:hint="eastAsia" w:ascii="宋体" w:hAnsi="宋体" w:cs="仿宋_GB2312"/>
          <w:sz w:val="24"/>
        </w:rPr>
        <w:br w:type="page"/>
      </w:r>
      <w:bookmarkStart w:id="167" w:name="_Toc13977"/>
    </w:p>
    <w:p>
      <w:pPr>
        <w:pStyle w:val="5"/>
        <w:spacing w:before="0" w:after="0" w:line="460" w:lineRule="exact"/>
        <w:jc w:val="center"/>
        <w:rPr>
          <w:rFonts w:ascii="宋体" w:hAnsi="宋体" w:cs="宋体"/>
        </w:rPr>
      </w:pPr>
      <w:bookmarkStart w:id="168" w:name="_Toc29051"/>
      <w:bookmarkStart w:id="169" w:name="_Toc13208"/>
      <w:bookmarkStart w:id="170" w:name="_Toc1250"/>
      <w:bookmarkStart w:id="171" w:name="_Toc21458"/>
      <w:r>
        <w:rPr>
          <w:rFonts w:hint="eastAsia" w:ascii="宋体" w:hAnsi="宋体" w:cs="宋体"/>
        </w:rPr>
        <w:t>第六章 合同主要条款格式</w:t>
      </w:r>
      <w:bookmarkEnd w:id="167"/>
      <w:bookmarkEnd w:id="168"/>
      <w:bookmarkEnd w:id="169"/>
      <w:bookmarkEnd w:id="170"/>
      <w:bookmarkEnd w:id="171"/>
    </w:p>
    <w:p>
      <w:pPr>
        <w:pStyle w:val="20"/>
        <w:jc w:val="center"/>
        <w:rPr>
          <w:rFonts w:hAnsi="宋体" w:cs="宋体"/>
          <w:b/>
          <w:sz w:val="52"/>
          <w:szCs w:val="52"/>
        </w:rPr>
      </w:pPr>
    </w:p>
    <w:p>
      <w:pPr>
        <w:pStyle w:val="20"/>
        <w:jc w:val="center"/>
        <w:rPr>
          <w:rFonts w:hAnsi="宋体" w:cs="宋体"/>
          <w:b/>
          <w:sz w:val="52"/>
          <w:szCs w:val="52"/>
        </w:rPr>
      </w:pPr>
      <w:r>
        <w:rPr>
          <w:rFonts w:hint="eastAsia" w:hAnsi="宋体" w:cs="宋体"/>
          <w:b/>
          <w:sz w:val="52"/>
          <w:szCs w:val="52"/>
        </w:rPr>
        <w:t>广西壮族自治区政府采购合同</w:t>
      </w:r>
    </w:p>
    <w:p>
      <w:pPr>
        <w:pStyle w:val="20"/>
        <w:rPr>
          <w:rFonts w:hAnsi="宋体" w:cs="宋体"/>
        </w:rPr>
      </w:pPr>
    </w:p>
    <w:p>
      <w:pPr>
        <w:pStyle w:val="3"/>
        <w:ind w:firstLine="344"/>
        <w:rPr>
          <w:rFonts w:hAnsi="宋体" w:cs="宋体"/>
        </w:rPr>
      </w:pPr>
    </w:p>
    <w:p>
      <w:pPr>
        <w:tabs>
          <w:tab w:val="left" w:pos="721"/>
          <w:tab w:val="left" w:pos="7920"/>
        </w:tabs>
        <w:snapToGrid w:val="0"/>
        <w:spacing w:line="360" w:lineRule="exact"/>
        <w:ind w:firstLine="1306" w:firstLineChars="500"/>
        <w:rPr>
          <w:rFonts w:ascii="宋体" w:hAnsi="宋体" w:cs="宋体"/>
          <w:b/>
          <w:spacing w:val="-20"/>
          <w:sz w:val="30"/>
          <w:szCs w:val="30"/>
        </w:rPr>
      </w:pPr>
    </w:p>
    <w:p>
      <w:pPr>
        <w:tabs>
          <w:tab w:val="left" w:pos="721"/>
          <w:tab w:val="left" w:pos="7920"/>
        </w:tabs>
        <w:snapToGrid w:val="0"/>
        <w:spacing w:line="360" w:lineRule="exact"/>
        <w:ind w:firstLine="784" w:firstLineChars="300"/>
        <w:rPr>
          <w:rFonts w:ascii="宋体" w:hAnsi="宋体" w:cs="宋体"/>
          <w:b/>
          <w:sz w:val="30"/>
          <w:szCs w:val="30"/>
        </w:rPr>
      </w:pPr>
      <w:r>
        <w:rPr>
          <w:rFonts w:hint="eastAsia" w:ascii="宋体" w:hAnsi="宋体" w:cs="宋体"/>
          <w:b/>
          <w:spacing w:val="-20"/>
          <w:sz w:val="30"/>
          <w:szCs w:val="30"/>
        </w:rPr>
        <w:t>合 同 名 称：</w:t>
      </w:r>
    </w:p>
    <w:p>
      <w:pPr>
        <w:tabs>
          <w:tab w:val="left" w:pos="721"/>
        </w:tabs>
        <w:snapToGrid w:val="0"/>
        <w:spacing w:line="360" w:lineRule="exact"/>
        <w:rPr>
          <w:rFonts w:ascii="宋体" w:hAnsi="宋体" w:cs="宋体"/>
          <w:b/>
          <w:spacing w:val="-20"/>
          <w:sz w:val="30"/>
          <w:szCs w:val="30"/>
        </w:rPr>
      </w:pPr>
    </w:p>
    <w:p>
      <w:pPr>
        <w:tabs>
          <w:tab w:val="left" w:pos="721"/>
        </w:tabs>
        <w:snapToGrid w:val="0"/>
        <w:spacing w:line="360" w:lineRule="exact"/>
        <w:ind w:firstLine="1306" w:firstLineChars="500"/>
        <w:rPr>
          <w:rFonts w:ascii="宋体" w:hAnsi="宋体" w:cs="宋体"/>
          <w:b/>
          <w:spacing w:val="-20"/>
          <w:sz w:val="30"/>
          <w:szCs w:val="30"/>
        </w:rPr>
      </w:pPr>
    </w:p>
    <w:p>
      <w:pPr>
        <w:tabs>
          <w:tab w:val="left" w:pos="721"/>
        </w:tabs>
        <w:snapToGrid w:val="0"/>
        <w:spacing w:line="360" w:lineRule="exact"/>
        <w:ind w:firstLine="784" w:firstLineChars="300"/>
        <w:rPr>
          <w:rFonts w:ascii="宋体" w:hAnsi="宋体" w:cs="宋体"/>
          <w:b/>
          <w:sz w:val="30"/>
          <w:szCs w:val="30"/>
          <w:u w:val="single"/>
        </w:rPr>
      </w:pPr>
      <w:r>
        <w:rPr>
          <w:rFonts w:hint="eastAsia" w:ascii="宋体" w:hAnsi="宋体" w:cs="宋体"/>
          <w:b/>
          <w:spacing w:val="-20"/>
          <w:sz w:val="30"/>
          <w:szCs w:val="30"/>
        </w:rPr>
        <w:t>合 同 编 号：</w:t>
      </w:r>
    </w:p>
    <w:p>
      <w:pPr>
        <w:tabs>
          <w:tab w:val="left" w:pos="721"/>
        </w:tabs>
        <w:snapToGrid w:val="0"/>
        <w:spacing w:line="360" w:lineRule="exact"/>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采购单位（甲方）</w:t>
      </w:r>
      <w:r>
        <w:rPr>
          <w:rFonts w:hint="eastAsia" w:ascii="宋体" w:hAnsi="宋体" w:cs="宋体"/>
          <w:b/>
          <w:sz w:val="30"/>
          <w:szCs w:val="30"/>
          <w:u w:val="single"/>
        </w:rPr>
        <w:t xml:space="preserve">广西中医药大学第一附属医院   </w:t>
      </w:r>
    </w:p>
    <w:p>
      <w:pPr>
        <w:tabs>
          <w:tab w:val="left" w:pos="721"/>
        </w:tabs>
        <w:snapToGrid w:val="0"/>
        <w:spacing w:beforeLines="100" w:line="360" w:lineRule="exact"/>
        <w:ind w:firstLine="904" w:firstLineChars="300"/>
        <w:rPr>
          <w:rFonts w:ascii="宋体" w:hAnsi="宋体" w:cs="宋体"/>
          <w:b/>
          <w:sz w:val="30"/>
          <w:szCs w:val="30"/>
        </w:rPr>
      </w:pPr>
      <w:r>
        <w:rPr>
          <w:rFonts w:hint="eastAsia" w:ascii="宋体" w:hAnsi="宋体" w:cs="宋体"/>
          <w:b/>
          <w:sz w:val="30"/>
          <w:szCs w:val="30"/>
        </w:rPr>
        <w:t>住  所：</w:t>
      </w: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供 应 商（乙方）</w:t>
      </w:r>
    </w:p>
    <w:p>
      <w:pPr>
        <w:tabs>
          <w:tab w:val="left" w:pos="721"/>
        </w:tabs>
        <w:snapToGrid w:val="0"/>
        <w:spacing w:beforeLines="100" w:line="360" w:lineRule="exact"/>
        <w:ind w:firstLine="904" w:firstLineChars="300"/>
        <w:rPr>
          <w:rFonts w:ascii="宋体" w:hAnsi="宋体" w:cs="宋体"/>
          <w:b/>
          <w:sz w:val="30"/>
          <w:szCs w:val="30"/>
          <w:u w:val="single"/>
        </w:rPr>
      </w:pPr>
      <w:r>
        <w:rPr>
          <w:rFonts w:hint="eastAsia" w:ascii="宋体" w:hAnsi="宋体" w:cs="宋体"/>
          <w:b/>
          <w:sz w:val="30"/>
          <w:szCs w:val="30"/>
        </w:rPr>
        <w:t>住  所：</w:t>
      </w:r>
    </w:p>
    <w:p>
      <w:pPr>
        <w:tabs>
          <w:tab w:val="left" w:pos="721"/>
        </w:tabs>
        <w:snapToGrid w:val="0"/>
        <w:spacing w:line="360" w:lineRule="exact"/>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签订合同地点：</w:t>
      </w:r>
    </w:p>
    <w:p>
      <w:pPr>
        <w:tabs>
          <w:tab w:val="left" w:pos="721"/>
        </w:tabs>
        <w:snapToGrid w:val="0"/>
        <w:spacing w:line="360" w:lineRule="exact"/>
        <w:rPr>
          <w:rFonts w:ascii="宋体" w:hAnsi="宋体" w:cs="宋体"/>
          <w:b/>
          <w:sz w:val="30"/>
          <w:szCs w:val="30"/>
        </w:rPr>
      </w:pPr>
    </w:p>
    <w:p>
      <w:pPr>
        <w:tabs>
          <w:tab w:val="left" w:pos="721"/>
        </w:tabs>
        <w:snapToGrid w:val="0"/>
        <w:spacing w:line="360" w:lineRule="exact"/>
        <w:ind w:firstLine="1355" w:firstLineChars="450"/>
        <w:rPr>
          <w:rFonts w:ascii="宋体" w:hAnsi="宋体" w:cs="宋体"/>
          <w:b/>
          <w:sz w:val="30"/>
          <w:szCs w:val="30"/>
        </w:rPr>
      </w:pPr>
    </w:p>
    <w:p>
      <w:pPr>
        <w:tabs>
          <w:tab w:val="left" w:pos="721"/>
        </w:tabs>
        <w:snapToGrid w:val="0"/>
        <w:spacing w:line="360" w:lineRule="exact"/>
        <w:ind w:firstLine="904" w:firstLineChars="300"/>
        <w:rPr>
          <w:rFonts w:ascii="宋体" w:hAnsi="宋体" w:cs="宋体"/>
          <w:b/>
          <w:sz w:val="30"/>
          <w:szCs w:val="30"/>
          <w:u w:val="single"/>
        </w:rPr>
      </w:pPr>
      <w:r>
        <w:rPr>
          <w:rFonts w:hint="eastAsia" w:ascii="宋体" w:hAnsi="宋体" w:cs="宋体"/>
          <w:b/>
          <w:sz w:val="30"/>
          <w:szCs w:val="30"/>
        </w:rPr>
        <w:t>签订合同时间：</w:t>
      </w:r>
    </w:p>
    <w:p>
      <w:pPr>
        <w:pStyle w:val="20"/>
        <w:jc w:val="center"/>
        <w:rPr>
          <w:rFonts w:hAnsi="宋体" w:cs="宋体"/>
        </w:rPr>
      </w:pPr>
    </w:p>
    <w:p>
      <w:pPr>
        <w:pStyle w:val="20"/>
        <w:jc w:val="center"/>
        <w:rPr>
          <w:rFonts w:hAnsi="宋体" w:cs="宋体"/>
        </w:rPr>
      </w:pPr>
    </w:p>
    <w:p>
      <w:pPr>
        <w:pStyle w:val="20"/>
        <w:jc w:val="center"/>
        <w:rPr>
          <w:rFonts w:hAnsi="宋体" w:cs="宋体"/>
        </w:rPr>
      </w:pPr>
    </w:p>
    <w:p>
      <w:pPr>
        <w:pStyle w:val="20"/>
        <w:jc w:val="center"/>
        <w:rPr>
          <w:rFonts w:hAnsi="宋体" w:cs="宋体"/>
        </w:rPr>
      </w:pPr>
    </w:p>
    <w:p>
      <w:pPr>
        <w:pStyle w:val="20"/>
        <w:jc w:val="left"/>
        <w:rPr>
          <w:rFonts w:hAnsi="宋体" w:cs="宋体"/>
        </w:rPr>
      </w:pPr>
      <w:r>
        <w:rPr>
          <w:rFonts w:hint="eastAsia" w:hAnsi="宋体" w:cs="宋体"/>
        </w:rPr>
        <w:t>合同使用说明：根据《中华人民共和国政府采购法》、《中华人民共和国民法典》等法律、法规规定，按照竞争性磋商文件规定条款和成交供应商竞争性磋商响应文件及其承诺，甲乙双方签订本合同。</w:t>
      </w:r>
    </w:p>
    <w:p>
      <w:pPr>
        <w:jc w:val="center"/>
        <w:rPr>
          <w:b/>
          <w:bCs/>
          <w:kern w:val="44"/>
          <w:sz w:val="44"/>
          <w:szCs w:val="44"/>
        </w:rPr>
      </w:pPr>
    </w:p>
    <w:p>
      <w:pPr>
        <w:rPr>
          <w:rFonts w:ascii="宋体" w:hAnsi="宋体" w:cs="仿宋_GB2312"/>
          <w:bCs/>
          <w:kern w:val="44"/>
          <w:sz w:val="44"/>
          <w:szCs w:val="44"/>
        </w:rPr>
      </w:pPr>
      <w:bookmarkStart w:id="172" w:name="_Toc16500"/>
      <w:r>
        <w:rPr>
          <w:rFonts w:hint="eastAsia" w:ascii="宋体" w:hAnsi="宋体" w:cs="仿宋_GB2312"/>
          <w:bCs/>
          <w:kern w:val="44"/>
          <w:sz w:val="44"/>
          <w:szCs w:val="44"/>
        </w:rPr>
        <w:br w:type="page"/>
      </w:r>
    </w:p>
    <w:p>
      <w:pPr>
        <w:spacing w:before="120" w:line="320" w:lineRule="atLeast"/>
        <w:ind w:firstLine="422" w:firstLineChars="200"/>
        <w:jc w:val="center"/>
        <w:outlineLvl w:val="1"/>
        <w:rPr>
          <w:rFonts w:ascii="宋体" w:hAnsi="宋体" w:cs="宋体"/>
          <w:b/>
          <w:bCs/>
          <w:kern w:val="0"/>
          <w:szCs w:val="21"/>
        </w:rPr>
      </w:pPr>
      <w:bookmarkStart w:id="173" w:name="_Toc3740"/>
      <w:bookmarkStart w:id="174" w:name="_Toc11666"/>
      <w:bookmarkStart w:id="175" w:name="_Toc25085"/>
      <w:bookmarkStart w:id="176" w:name="_Toc22182"/>
      <w:r>
        <w:rPr>
          <w:rFonts w:hint="eastAsia" w:ascii="宋体" w:hAnsi="宋体" w:cs="宋体"/>
          <w:b/>
          <w:bCs/>
          <w:kern w:val="0"/>
          <w:szCs w:val="21"/>
        </w:rPr>
        <w:t>广西壮族自治区政府采购合同</w:t>
      </w:r>
      <w:bookmarkEnd w:id="173"/>
      <w:bookmarkEnd w:id="174"/>
      <w:bookmarkEnd w:id="175"/>
      <w:bookmarkEnd w:id="176"/>
    </w:p>
    <w:p>
      <w:pPr>
        <w:snapToGrid w:val="0"/>
        <w:spacing w:line="360" w:lineRule="auto"/>
        <w:jc w:val="left"/>
        <w:rPr>
          <w:rFonts w:ascii="宋体" w:hAnsi="宋体" w:cs="宋体"/>
          <w:szCs w:val="21"/>
        </w:rPr>
      </w:pPr>
      <w:r>
        <w:rPr>
          <w:rFonts w:hint="eastAsia" w:ascii="宋体" w:hAnsi="宋体" w:cs="宋体"/>
          <w:szCs w:val="21"/>
        </w:rPr>
        <w:t>合同编号：</w:t>
      </w:r>
    </w:p>
    <w:p>
      <w:pPr>
        <w:snapToGrid w:val="0"/>
        <w:spacing w:line="360" w:lineRule="auto"/>
        <w:jc w:val="left"/>
        <w:rPr>
          <w:rFonts w:ascii="宋体" w:hAnsi="宋体" w:cs="宋体"/>
          <w:szCs w:val="21"/>
        </w:rPr>
      </w:pPr>
      <w:r>
        <w:rPr>
          <w:rFonts w:hint="eastAsia" w:ascii="宋体" w:hAnsi="宋体" w:cs="宋体"/>
          <w:szCs w:val="21"/>
        </w:rPr>
        <w:t xml:space="preserve">采购计划编号： </w:t>
      </w:r>
    </w:p>
    <w:p>
      <w:pPr>
        <w:snapToGrid w:val="0"/>
        <w:spacing w:line="360" w:lineRule="auto"/>
        <w:jc w:val="left"/>
        <w:rPr>
          <w:rFonts w:ascii="宋体" w:hAnsi="宋体" w:cs="宋体"/>
          <w:szCs w:val="21"/>
        </w:rPr>
      </w:pPr>
      <w:r>
        <w:rPr>
          <w:rFonts w:hint="eastAsia" w:ascii="宋体" w:hAnsi="宋体" w:cs="宋体"/>
          <w:szCs w:val="21"/>
        </w:rPr>
        <w:t>采购单位(甲方)：广西中医药大学第一附属医院</w:t>
      </w:r>
    </w:p>
    <w:p>
      <w:pPr>
        <w:snapToGrid w:val="0"/>
        <w:spacing w:line="360" w:lineRule="auto"/>
        <w:jc w:val="left"/>
        <w:rPr>
          <w:rFonts w:ascii="宋体" w:hAnsi="宋体" w:cs="宋体"/>
          <w:szCs w:val="21"/>
          <w:u w:val="single"/>
        </w:rPr>
      </w:pPr>
      <w:r>
        <w:rPr>
          <w:rFonts w:hint="eastAsia" w:ascii="宋体" w:hAnsi="宋体" w:cs="宋体"/>
          <w:szCs w:val="21"/>
        </w:rPr>
        <w:t>供 应 商(乙方)：</w:t>
      </w:r>
    </w:p>
    <w:p>
      <w:pPr>
        <w:snapToGrid w:val="0"/>
        <w:spacing w:line="360" w:lineRule="auto"/>
        <w:jc w:val="left"/>
        <w:rPr>
          <w:rFonts w:ascii="宋体" w:hAnsi="宋体" w:cs="宋体"/>
          <w:szCs w:val="21"/>
        </w:rPr>
      </w:pPr>
      <w:r>
        <w:rPr>
          <w:rFonts w:hint="eastAsia" w:ascii="宋体" w:hAnsi="宋体" w:cs="宋体"/>
          <w:szCs w:val="21"/>
        </w:rPr>
        <w:t>项目名称和编号：</w:t>
      </w:r>
    </w:p>
    <w:p>
      <w:pPr>
        <w:snapToGrid w:val="0"/>
        <w:spacing w:line="360" w:lineRule="auto"/>
        <w:jc w:val="left"/>
        <w:rPr>
          <w:rFonts w:ascii="宋体" w:hAnsi="宋体" w:cs="宋体"/>
          <w:szCs w:val="21"/>
        </w:rPr>
      </w:pPr>
      <w:r>
        <w:rPr>
          <w:rFonts w:hint="eastAsia" w:ascii="宋体" w:hAnsi="宋体" w:cs="宋体"/>
          <w:szCs w:val="21"/>
        </w:rPr>
        <w:t>签订地点：广西南宁市青秀区                                  签订时间：2024年   月    日</w:t>
      </w:r>
    </w:p>
    <w:p>
      <w:pPr>
        <w:snapToGrid w:val="0"/>
        <w:spacing w:line="360" w:lineRule="auto"/>
        <w:ind w:right="480" w:firstLine="5985" w:firstLineChars="2850"/>
        <w:jc w:val="left"/>
        <w:rPr>
          <w:rFonts w:ascii="宋体" w:hAnsi="宋体" w:cs="宋体"/>
          <w:bCs/>
          <w:szCs w:val="21"/>
        </w:rPr>
      </w:pPr>
    </w:p>
    <w:p>
      <w:pPr>
        <w:pStyle w:val="20"/>
        <w:snapToGrid w:val="0"/>
        <w:spacing w:line="360" w:lineRule="auto"/>
        <w:ind w:firstLine="420" w:firstLineChars="200"/>
        <w:jc w:val="left"/>
        <w:rPr>
          <w:rFonts w:hAnsi="宋体" w:cs="宋体"/>
          <w:sz w:val="21"/>
        </w:rPr>
      </w:pPr>
      <w:r>
        <w:rPr>
          <w:rFonts w:hint="eastAsia" w:hAnsi="宋体" w:cs="宋体"/>
          <w:sz w:val="21"/>
        </w:rPr>
        <w:t>根据《中华人民共和国政府采购法》、《中华人民共和国政府采购法实施条例》等法律、法规规定，按照采购文件规定、乙方响应文件及其承诺，甲乙双方签订本合同。</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合同标的</w:t>
      </w:r>
    </w:p>
    <w:p>
      <w:pPr>
        <w:snapToGrid w:val="0"/>
        <w:spacing w:line="360" w:lineRule="auto"/>
        <w:ind w:firstLine="420" w:firstLineChars="200"/>
        <w:jc w:val="left"/>
        <w:rPr>
          <w:rFonts w:ascii="宋体" w:hAnsi="宋体" w:cs="宋体"/>
          <w:szCs w:val="21"/>
        </w:rPr>
      </w:pPr>
      <w:r>
        <w:rPr>
          <w:rFonts w:hint="eastAsia" w:ascii="宋体" w:hAnsi="宋体" w:cs="宋体"/>
          <w:szCs w:val="21"/>
        </w:rPr>
        <w:t>1、标的名称及价格</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134"/>
        <w:gridCol w:w="2521"/>
        <w:gridCol w:w="2831"/>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序号</w:t>
            </w:r>
          </w:p>
        </w:tc>
        <w:tc>
          <w:tcPr>
            <w:tcW w:w="1134"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标项名称</w:t>
            </w:r>
          </w:p>
        </w:tc>
        <w:tc>
          <w:tcPr>
            <w:tcW w:w="2521"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品种及规格</w:t>
            </w:r>
          </w:p>
        </w:tc>
        <w:tc>
          <w:tcPr>
            <w:tcW w:w="2831"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下浮系数（%）</w:t>
            </w:r>
          </w:p>
        </w:tc>
        <w:tc>
          <w:tcPr>
            <w:tcW w:w="1858"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预算金额（万元）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1</w:t>
            </w:r>
          </w:p>
        </w:tc>
        <w:tc>
          <w:tcPr>
            <w:tcW w:w="1134" w:type="dxa"/>
          </w:tcPr>
          <w:p>
            <w:pPr>
              <w:pStyle w:val="23"/>
              <w:spacing w:line="360" w:lineRule="auto"/>
              <w:rPr>
                <w:rFonts w:ascii="宋体" w:hAnsi="宋体" w:eastAsia="宋体" w:cs="宋体"/>
                <w:sz w:val="21"/>
                <w:szCs w:val="21"/>
              </w:rPr>
            </w:pPr>
          </w:p>
        </w:tc>
        <w:tc>
          <w:tcPr>
            <w:tcW w:w="2521" w:type="dxa"/>
          </w:tcPr>
          <w:p>
            <w:pPr>
              <w:pStyle w:val="23"/>
              <w:spacing w:line="360" w:lineRule="auto"/>
              <w:rPr>
                <w:rFonts w:ascii="宋体" w:hAnsi="宋体" w:eastAsia="宋体" w:cs="宋体"/>
                <w:sz w:val="21"/>
                <w:szCs w:val="21"/>
              </w:rPr>
            </w:pPr>
            <w:r>
              <w:rPr>
                <w:rFonts w:hint="eastAsia" w:ascii="宋体" w:hAnsi="宋体" w:eastAsia="宋体" w:cs="宋体"/>
                <w:sz w:val="21"/>
                <w:szCs w:val="21"/>
              </w:rPr>
              <w:t>具体品种和数量以甲方实际购买的种类及数量核实核算</w:t>
            </w:r>
          </w:p>
        </w:tc>
        <w:tc>
          <w:tcPr>
            <w:tcW w:w="2831" w:type="dxa"/>
          </w:tcPr>
          <w:p>
            <w:pPr>
              <w:pStyle w:val="23"/>
              <w:spacing w:line="360" w:lineRule="auto"/>
              <w:rPr>
                <w:rFonts w:ascii="宋体" w:hAnsi="宋体" w:eastAsia="宋体" w:cs="宋体"/>
                <w:sz w:val="21"/>
                <w:szCs w:val="21"/>
              </w:rPr>
            </w:pPr>
          </w:p>
        </w:tc>
        <w:tc>
          <w:tcPr>
            <w:tcW w:w="1858" w:type="dxa"/>
          </w:tcPr>
          <w:p>
            <w:pPr>
              <w:pStyle w:val="23"/>
              <w:spacing w:line="360" w:lineRule="auto"/>
              <w:rPr>
                <w:rFonts w:ascii="宋体" w:hAnsi="宋体" w:eastAsia="宋体" w:cs="宋体"/>
                <w:sz w:val="21"/>
                <w:szCs w:val="21"/>
              </w:rPr>
            </w:pPr>
          </w:p>
        </w:tc>
      </w:tr>
    </w:tbl>
    <w:p>
      <w:pPr>
        <w:snapToGrid w:val="0"/>
        <w:spacing w:line="360" w:lineRule="auto"/>
        <w:jc w:val="left"/>
        <w:rPr>
          <w:rFonts w:ascii="宋体" w:hAnsi="宋体" w:cs="宋体"/>
          <w:szCs w:val="21"/>
          <w:u w:val="single"/>
        </w:rPr>
      </w:pPr>
      <w:r>
        <w:rPr>
          <w:rFonts w:hint="eastAsia" w:ascii="宋体" w:hAnsi="宋体" w:cs="宋体"/>
          <w:b/>
          <w:bCs/>
          <w:szCs w:val="21"/>
        </w:rPr>
        <w:t>合同金额（含税）（大写）人民币</w:t>
      </w:r>
      <w:r>
        <w:rPr>
          <w:rFonts w:hint="eastAsia" w:ascii="宋体" w:hAnsi="宋体" w:cs="宋体"/>
          <w:szCs w:val="21"/>
          <w:u w:val="single"/>
          <w:lang w:val="en-US" w:eastAsia="zh-CN"/>
        </w:rPr>
        <w:t xml:space="preserve">       </w:t>
      </w:r>
      <w:r>
        <w:rPr>
          <w:rFonts w:hint="eastAsia" w:ascii="宋体" w:hAnsi="宋体" w:cs="宋体"/>
          <w:szCs w:val="21"/>
          <w:u w:val="single"/>
        </w:rPr>
        <w:t>元整（小写¥          ）</w:t>
      </w:r>
    </w:p>
    <w:p>
      <w:pPr>
        <w:snapToGrid w:val="0"/>
        <w:spacing w:line="360" w:lineRule="auto"/>
        <w:ind w:firstLine="420" w:firstLineChars="200"/>
        <w:jc w:val="left"/>
        <w:rPr>
          <w:rFonts w:ascii="宋体" w:hAnsi="宋体" w:cs="宋体"/>
          <w:szCs w:val="21"/>
        </w:rPr>
      </w:pPr>
      <w:r>
        <w:rPr>
          <w:rFonts w:hint="eastAsia" w:ascii="宋体" w:hAnsi="宋体" w:cs="宋体"/>
          <w:szCs w:val="21"/>
        </w:rPr>
        <w:t>【合同金额=预算金额×（1-下浮系数）】</w:t>
      </w:r>
    </w:p>
    <w:p>
      <w:pPr>
        <w:pStyle w:val="23"/>
        <w:numPr>
          <w:ilvl w:val="0"/>
          <w:numId w:val="2"/>
        </w:numPr>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定价要求：</w:t>
      </w:r>
    </w:p>
    <w:p>
      <w:pPr>
        <w:snapToGrid w:val="0"/>
        <w:spacing w:line="360" w:lineRule="auto"/>
        <w:ind w:firstLine="420" w:firstLineChars="200"/>
        <w:jc w:val="left"/>
        <w:rPr>
          <w:rFonts w:ascii="宋体" w:hAnsi="宋体" w:cs="宋体"/>
          <w:szCs w:val="21"/>
        </w:rPr>
      </w:pPr>
      <w:r>
        <w:rPr>
          <w:rFonts w:hint="eastAsia" w:ascii="宋体" w:hAnsi="宋体" w:cs="宋体"/>
          <w:szCs w:val="21"/>
        </w:rPr>
        <w:t>（1）按下浮系数报价，下浮系数为：</w:t>
      </w:r>
      <w:r>
        <w:rPr>
          <w:rFonts w:hint="eastAsia" w:ascii="宋体" w:hAnsi="宋体" w:cs="宋体"/>
          <w:szCs w:val="21"/>
          <w:lang w:val="en-US" w:eastAsia="zh-CN"/>
        </w:rPr>
        <w:t xml:space="preserve">  </w:t>
      </w:r>
      <w:r>
        <w:rPr>
          <w:rFonts w:hint="eastAsia" w:ascii="宋体" w:hAnsi="宋体" w:cs="宋体"/>
          <w:szCs w:val="21"/>
        </w:rPr>
        <w:t>%；</w:t>
      </w:r>
    </w:p>
    <w:p>
      <w:pPr>
        <w:snapToGrid w:val="0"/>
        <w:spacing w:line="360" w:lineRule="auto"/>
        <w:ind w:firstLine="420" w:firstLineChars="200"/>
        <w:jc w:val="left"/>
        <w:rPr>
          <w:rFonts w:ascii="宋体" w:hAnsi="宋体" w:cs="宋体"/>
          <w:szCs w:val="21"/>
        </w:rPr>
      </w:pPr>
      <w:r>
        <w:rPr>
          <w:rFonts w:hint="eastAsia" w:ascii="宋体" w:hAnsi="宋体" w:cs="宋体"/>
          <w:szCs w:val="21"/>
        </w:rPr>
        <w:t>（2）乙方报价结合市场价格、成本及自身条件、市场风险考虑报出综合的下浮系数。以每样货物的最高限价作为价格基准，实际采购价格=货物的最高限价×（1-成交下浮系数），乙方一旦成交，该结算综合下浮系数在合同服务期内不得改变，否则甲方有权单方终止合同，扣罚全部履约保证金，由此产生的一切经济损失由乙方自行承担。</w:t>
      </w:r>
    </w:p>
    <w:p>
      <w:pPr>
        <w:snapToGrid w:val="0"/>
        <w:spacing w:line="360" w:lineRule="auto"/>
        <w:ind w:firstLine="420" w:firstLineChars="200"/>
        <w:jc w:val="left"/>
        <w:rPr>
          <w:rFonts w:ascii="宋体" w:hAnsi="宋体" w:cs="宋体"/>
          <w:szCs w:val="21"/>
        </w:rPr>
      </w:pPr>
      <w:r>
        <w:rPr>
          <w:rFonts w:hint="eastAsia" w:ascii="宋体" w:hAnsi="宋体" w:cs="宋体"/>
          <w:szCs w:val="21"/>
        </w:rPr>
        <w:t>（3）报价必须含以下部分：</w:t>
      </w:r>
    </w:p>
    <w:p>
      <w:pPr>
        <w:snapToGrid w:val="0"/>
        <w:spacing w:line="360" w:lineRule="auto"/>
        <w:ind w:firstLine="420" w:firstLineChars="200"/>
        <w:jc w:val="left"/>
        <w:rPr>
          <w:rFonts w:ascii="宋体" w:hAnsi="宋体" w:cs="宋体"/>
          <w:szCs w:val="21"/>
        </w:rPr>
      </w:pPr>
      <w:r>
        <w:rPr>
          <w:rFonts w:hint="eastAsia" w:ascii="宋体" w:hAnsi="宋体" w:cs="宋体"/>
          <w:szCs w:val="21"/>
        </w:rPr>
        <w:t>①配送的货物、服务的价格；</w:t>
      </w:r>
    </w:p>
    <w:p>
      <w:pPr>
        <w:snapToGrid w:val="0"/>
        <w:spacing w:line="360" w:lineRule="auto"/>
        <w:ind w:firstLine="420" w:firstLineChars="200"/>
        <w:jc w:val="left"/>
        <w:rPr>
          <w:rFonts w:ascii="宋体" w:hAnsi="宋体" w:cs="宋体"/>
          <w:szCs w:val="21"/>
        </w:rPr>
      </w:pPr>
      <w:r>
        <w:rPr>
          <w:rFonts w:hint="eastAsia" w:ascii="宋体" w:hAnsi="宋体" w:cs="宋体"/>
          <w:szCs w:val="21"/>
        </w:rPr>
        <w:t>②必要的保险费用和各项税金；</w:t>
      </w:r>
    </w:p>
    <w:p>
      <w:pPr>
        <w:snapToGrid w:val="0"/>
        <w:spacing w:line="360" w:lineRule="auto"/>
        <w:ind w:firstLine="420" w:firstLineChars="200"/>
        <w:jc w:val="left"/>
        <w:rPr>
          <w:rFonts w:ascii="宋体" w:hAnsi="宋体" w:cs="宋体"/>
          <w:szCs w:val="21"/>
        </w:rPr>
      </w:pPr>
      <w:r>
        <w:rPr>
          <w:rFonts w:hint="eastAsia" w:ascii="宋体" w:hAnsi="宋体" w:cs="宋体"/>
          <w:szCs w:val="21"/>
        </w:rPr>
        <w:t>③运输、搬运、样品检测、包装加工、售后服务等费用；</w:t>
      </w:r>
    </w:p>
    <w:p>
      <w:pPr>
        <w:snapToGrid w:val="0"/>
        <w:spacing w:line="360" w:lineRule="auto"/>
        <w:ind w:firstLine="420" w:firstLineChars="200"/>
        <w:jc w:val="left"/>
        <w:rPr>
          <w:rFonts w:ascii="宋体" w:hAnsi="宋体" w:cs="宋体"/>
          <w:szCs w:val="21"/>
        </w:rPr>
      </w:pPr>
      <w:r>
        <w:rPr>
          <w:rFonts w:hint="eastAsia" w:ascii="宋体" w:hAnsi="宋体" w:cs="宋体"/>
          <w:szCs w:val="21"/>
        </w:rPr>
        <w:t>④检测部门产品检测费用；</w:t>
      </w:r>
    </w:p>
    <w:p>
      <w:pPr>
        <w:snapToGrid w:val="0"/>
        <w:spacing w:line="360" w:lineRule="auto"/>
        <w:ind w:firstLine="420" w:firstLineChars="200"/>
        <w:jc w:val="left"/>
        <w:rPr>
          <w:rFonts w:ascii="宋体" w:hAnsi="宋体" w:cs="宋体"/>
          <w:szCs w:val="21"/>
        </w:rPr>
      </w:pPr>
      <w:r>
        <w:rPr>
          <w:rFonts w:hint="eastAsia" w:ascii="宋体" w:hAnsi="宋体" w:cs="宋体"/>
          <w:szCs w:val="21"/>
        </w:rPr>
        <w:t>⑤审核部门费用。</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合同期限</w:t>
      </w:r>
    </w:p>
    <w:p>
      <w:pPr>
        <w:snapToGrid w:val="0"/>
        <w:spacing w:line="360" w:lineRule="auto"/>
        <w:ind w:firstLine="420" w:firstLineChars="200"/>
        <w:jc w:val="left"/>
        <w:rPr>
          <w:rFonts w:ascii="宋体" w:hAnsi="宋体" w:cs="宋体"/>
          <w:szCs w:val="21"/>
        </w:rPr>
      </w:pPr>
      <w:r>
        <w:rPr>
          <w:rFonts w:hint="eastAsia" w:ascii="宋体" w:hAnsi="宋体" w:cs="宋体"/>
          <w:szCs w:val="21"/>
        </w:rPr>
        <w:t>本供货合同期限为合同签订之日起2年，即</w:t>
      </w:r>
      <w:r>
        <w:rPr>
          <w:rFonts w:hint="eastAsia" w:ascii="宋体" w:hAnsi="宋体" w:cs="宋体"/>
          <w:szCs w:val="21"/>
          <w:u w:val="single"/>
        </w:rPr>
        <w:t>2024</w:t>
      </w:r>
      <w:r>
        <w:rPr>
          <w:rFonts w:hint="eastAsia" w:ascii="宋体" w:hAnsi="宋体" w:cs="宋体"/>
          <w:szCs w:val="21"/>
        </w:rPr>
        <w:t>年_月__ 日至 2026年_月__ 日。按实际采购金额进行结算。</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产品的质量和保证</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乙方保证向甲方销售的产品质量、包装符合国家相关的食品检验准标，完全符合国家农产品和食品质量相关法律法规要求。依据产品质量监督检验所提供的质量标准，乙方提供的产品必须是经过质量监督管理部门检验并取得合格证明的产品，每批次产品提供时应交存货物质量合格证明或产品质量检测合格报告复印件。甲方有权对产品进行抽样送检，检测费用由乙方承担。乙方必须依法接受质量技术监督、工商、卫生、食品药品监督等职能部门的监督管理，并接受、配合相关职能部门的检测。因产品卫生和质量不合格而发生安全事故，乙方无条件承担全部责任，有关职能部门依法追究乙方责任，甲方有权解除合同并取消乙方配送资格。</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乙方应严格遵守《食品安全法》等相关规定，所提供的产品是合格安全的产品，一经发现供应不符合要求的食品，甲方除全部退货外，有权解除合同取消乙方配送资格，没收全部履约保证金(如有)，乙方并承担由此造成的一切经济责任和法律责任。</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3、基本要求</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（1）配送人员必须持有有效健康证明，配送人员必须是乙方正式员工。</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（2）用于配送的车辆必须经消毒、整洁且能按甲方规定的时间及地点一次完成该批次货物的供应。</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食品安全责任</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1、乙方必须建立食品安全追溯体系，如实、准确、完整记录并保存食品进货查验等信息，保证食品可追溯。必须依据国家有关法律法规要求建立健全各项管理制度，有明确的食品安全责任人。</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乙方所供原材料均应符合《食品安全法》的有关规定。食品配送采购，按照甲方的具体要求，将甲方需要的食品在规定时间内保质保量配送到指定地点。服从甲方的监督、协调、指导与管理。凡是《食品安全法》禁止经营的食品一律不得采购和使用，严禁配送"三无”食品、有毒、有害、过期、变质、假冒伪劣等不合格食品。</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3、乙方在本合同签订时，向甲方提供本单位合法有效的企业法人营业执照、食品经营许可证等资质原件送甲方查验，将上述证件的复印件及单位经营负责人身份证签字盖章一并交甲方备案。</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4、乙方每次送货时必须根据不同产品向甲方提供相应产品批次合格证等相关证明，否则甲方有权拒收相关批次货物并有权要求乙方赔偿因此造成的一切损失。</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交（提）货的时间、地点和方式</w:t>
      </w:r>
    </w:p>
    <w:p>
      <w:pPr>
        <w:pStyle w:val="3"/>
        <w:snapToGrid w:val="0"/>
        <w:spacing w:after="0" w:line="360" w:lineRule="auto"/>
        <w:jc w:val="left"/>
        <w:rPr>
          <w:rFonts w:hAnsi="宋体" w:cs="宋体"/>
          <w:spacing w:val="0"/>
          <w:sz w:val="21"/>
          <w:szCs w:val="21"/>
        </w:rPr>
      </w:pPr>
      <w:r>
        <w:rPr>
          <w:rFonts w:hint="eastAsia" w:hAnsi="宋体" w:cs="宋体"/>
          <w:spacing w:val="0"/>
          <w:sz w:val="21"/>
          <w:szCs w:val="21"/>
        </w:rPr>
        <w:t>1、交货时间</w:t>
      </w:r>
      <w:r>
        <w:rPr>
          <w:rFonts w:hint="eastAsia" w:hAnsi="宋体" w:cs="宋体"/>
          <w:sz w:val="21"/>
          <w:szCs w:val="21"/>
        </w:rPr>
        <w:t>：</w:t>
      </w:r>
      <w:r>
        <w:rPr>
          <w:rFonts w:hint="eastAsia" w:hAnsi="宋体" w:cs="宋体"/>
          <w:b/>
          <w:bCs/>
          <w:spacing w:val="0"/>
          <w:sz w:val="21"/>
          <w:szCs w:val="21"/>
          <w:u w:val="single"/>
        </w:rPr>
        <w:t>乙方接到采购单位供货通知，正常情况下24小时内送达，紧急情况下2小时内送达</w:t>
      </w:r>
      <w:r>
        <w:rPr>
          <w:rFonts w:hint="eastAsia" w:hAnsi="宋体" w:cs="宋体"/>
          <w:spacing w:val="0"/>
          <w:sz w:val="21"/>
          <w:szCs w:val="21"/>
        </w:rPr>
        <w:t>。甲方需要补货的，乙方应在甲方下单后</w:t>
      </w:r>
      <w:r>
        <w:rPr>
          <w:rFonts w:hint="eastAsia" w:hAnsi="宋体" w:cs="宋体"/>
          <w:spacing w:val="0"/>
          <w:sz w:val="21"/>
          <w:szCs w:val="21"/>
          <w:u w:val="single"/>
        </w:rPr>
        <w:t>2小时内</w:t>
      </w:r>
      <w:r>
        <w:rPr>
          <w:rFonts w:hint="eastAsia" w:hAnsi="宋体" w:cs="宋体"/>
          <w:spacing w:val="0"/>
          <w:sz w:val="21"/>
          <w:szCs w:val="21"/>
        </w:rPr>
        <w:t>将相关货品送至甲方指定地点。由于特殊原因导致需要补货时，乙方必须配合甲方补齐。</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2、交货地点：甲方指定地点。</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3、甲、乙双方的任何一方如需提前或延期交货与提货，均应事先通知对方，达成协议后按协议执行。</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4、货物在交付甲方签字验收前发生的风险均由乙方负责。验收后，甲方不免除乙方的质量责任，不能认为质量已完全合格。</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验收</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1、验收地点：甲方指定的乙方送货的交货地点为验收地点。</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验收办法：（1）验收时，甲方对符合要求的给予签收，如食品有质量不合格、品种规格不符、价格不符及数量不足等问题，甲方将不予签收；乙方应按甲方的要求及时补货，否则造成的损失由乙方负责。（2）验收后，甲方不免除乙方的质量责任，不能认为质量已完全合格，如在使用过程中发现食品存在其他问题的，乙方须及时到现场解决，并在规定时间内及时退换货，否则造成的损失由乙方负责。</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3、双方人员验货、交货完成后，甲方不得无故向乙方提出退货要求，如甲方对质量发生争议，甲乙双方应友好协商解决。</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4、验收标准：</w:t>
      </w:r>
      <w:r>
        <w:rPr>
          <w:rFonts w:hint="eastAsia" w:ascii="宋体" w:hAnsi="宋体" w:cs="宋体"/>
          <w:szCs w:val="21"/>
          <w:u w:val="single"/>
        </w:rPr>
        <w:t>详见采购文件的采购需求</w:t>
      </w:r>
      <w:r>
        <w:rPr>
          <w:rFonts w:hint="eastAsia" w:ascii="宋体" w:hAnsi="宋体" w:cs="宋体"/>
          <w:szCs w:val="21"/>
        </w:rPr>
        <w:t>。</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5、其他未尽事宜应严格参照《关于印发广西壮族自治区政府采购项目履约验收管理办法的通知》[桂财采(2015) 22号]以及《财政部关于进一步加强政府采购需求和履约验收管理的指导意见》[财库(2016) 205号]规定执行。</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货款结算方式</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无预付款，当月采购的货款于次月结算。甲方按月进行公对公账户转账，以甲方实际购买的种类及数量据实核算。乙方必须提供详细的物品销售清单与甲方的收货单核对，无误后，由乙方按照甲方财务规定出具正式发票，甲方才予以付款，甲方最迟付款日不超过三个月（以汇款日为准）。</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履约保证金</w:t>
      </w:r>
    </w:p>
    <w:p>
      <w:pPr>
        <w:numPr>
          <w:ilvl w:val="0"/>
          <w:numId w:val="3"/>
        </w:numPr>
        <w:wordWrap w:val="0"/>
        <w:snapToGrid w:val="0"/>
        <w:spacing w:line="360" w:lineRule="auto"/>
        <w:ind w:firstLine="420" w:firstLineChars="200"/>
        <w:jc w:val="left"/>
        <w:rPr>
          <w:rFonts w:ascii="宋体" w:hAnsi="宋体" w:cs="宋体"/>
          <w:szCs w:val="21"/>
        </w:rPr>
      </w:pPr>
      <w:r>
        <w:rPr>
          <w:rFonts w:hint="eastAsia" w:ascii="宋体" w:hAnsi="宋体" w:cs="宋体"/>
          <w:szCs w:val="21"/>
        </w:rPr>
        <w:t>乙方应在本合同签订前按预算金额的</w:t>
      </w:r>
      <w:r>
        <w:rPr>
          <w:rFonts w:hint="eastAsia" w:ascii="宋体" w:hAnsi="宋体" w:cs="宋体"/>
          <w:szCs w:val="21"/>
          <w:lang w:val="en-US" w:eastAsia="zh-CN"/>
        </w:rPr>
        <w:t>2</w:t>
      </w:r>
      <w:r>
        <w:rPr>
          <w:rFonts w:hint="eastAsia" w:ascii="宋体" w:hAnsi="宋体" w:cs="宋体"/>
          <w:szCs w:val="21"/>
        </w:rPr>
        <w:t>%即</w:t>
      </w:r>
      <w:r>
        <w:rPr>
          <w:rFonts w:hint="eastAsia" w:ascii="宋体" w:hAnsi="宋体" w:cs="宋体"/>
          <w:b/>
          <w:bCs/>
          <w:szCs w:val="21"/>
          <w:u w:val="single"/>
        </w:rPr>
        <w:t>人民币  元整（¥  ）</w:t>
      </w:r>
      <w:r>
        <w:rPr>
          <w:rFonts w:hint="eastAsia" w:ascii="宋体" w:hAnsi="宋体" w:cs="宋体"/>
          <w:szCs w:val="21"/>
        </w:rPr>
        <w:t>向甲方指定账户提交履约保证金，待交货并验收合格后，乙方交付的产品无质量问题、同时乙方无任何违约行为的，甲方接到乙方书面退还申请和收款收据后5个工作日内办理返还手续（不计息）。</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甲方指定收款银行账户为：</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开户银行：建行南宁园湖南路支行</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账户名：广西中医药大学第一附属医院</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账  号：45001604652050502742</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2、乙方未按约定缴纳履约保证金的，甲方有权选择以下任一方式处理：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（1）视为乙方放弃成交资格，不予签订合同；</w:t>
      </w:r>
    </w:p>
    <w:p>
      <w:pPr>
        <w:wordWrap w:val="0"/>
        <w:snapToGrid w:val="0"/>
        <w:spacing w:line="360" w:lineRule="auto"/>
        <w:ind w:firstLine="420" w:firstLineChars="200"/>
        <w:jc w:val="left"/>
        <w:rPr>
          <w:rFonts w:ascii="宋体" w:hAnsi="宋体" w:cs="宋体"/>
          <w:bCs/>
          <w:szCs w:val="21"/>
        </w:rPr>
      </w:pPr>
      <w:r>
        <w:rPr>
          <w:rFonts w:hint="eastAsia" w:ascii="宋体" w:hAnsi="宋体" w:cs="宋体"/>
          <w:szCs w:val="21"/>
        </w:rPr>
        <w:t>（2）继续签订合同，履约保证金从应付货款中扣除；</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甲方的责任</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1、甲方无故拒收乙方供应的产品的，需补偿乙方因此增加的直接成本。</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2、经甲方验收合格接受乙方供应货物后，因甲方储存不当引起产品损耗、变质的由甲方自行负责。</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乙方的责任</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乙方提供食品出现假冒或者严重质量、安全问题，甲方有权单方解除本项目合同，并有权扣罚乙方全部履约保证金。给甲方或使用人造成实际损失的，甲方有权要求乙方承担，同时甲方有权禁止乙方及其关联方与甲方进行合作。</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2、乙方接到甲方供货通知，正常情况下24小时内送达，紧急情况下2小时内送达，不管需求量的多少，不得以任何理由拒绝供货、送货。免费送货上门，行政上班时间外、周末、节假日做好备货、送货供应。</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乙方未能按</w:t>
      </w:r>
      <w:r>
        <w:rPr>
          <w:rFonts w:hint="eastAsia" w:ascii="宋体" w:hAnsi="宋体" w:cs="宋体"/>
          <w:szCs w:val="21"/>
          <w:lang w:eastAsia="zh-CN"/>
        </w:rPr>
        <w:t>甲方</w:t>
      </w:r>
      <w:r>
        <w:rPr>
          <w:rFonts w:hint="eastAsia" w:ascii="宋体" w:hAnsi="宋体" w:cs="宋体"/>
          <w:szCs w:val="21"/>
        </w:rPr>
        <w:t>要求时间完成配送,每延迟半小时按照当笔订单总金额的千分之三向甲方支付违约金；迟延超过1小时的，甲方有权选择拒收；甲方不拒收的，按折价</w:t>
      </w:r>
      <w:r>
        <w:rPr>
          <w:rFonts w:hint="eastAsia" w:ascii="宋体" w:hAnsi="宋体" w:cs="宋体"/>
          <w:szCs w:val="21"/>
          <w:u w:val="single"/>
        </w:rPr>
        <w:t>10%</w:t>
      </w:r>
      <w:r>
        <w:rPr>
          <w:rFonts w:hint="eastAsia" w:ascii="宋体" w:hAnsi="宋体" w:cs="宋体"/>
          <w:szCs w:val="21"/>
        </w:rPr>
        <w:t>收货，以赔偿给甲方造成的影响。</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乙方提供医用食品与</w:t>
      </w:r>
      <w:r>
        <w:rPr>
          <w:rFonts w:hint="eastAsia" w:ascii="宋体" w:hAnsi="宋体" w:cs="宋体"/>
          <w:szCs w:val="21"/>
          <w:lang w:eastAsia="zh-CN"/>
        </w:rPr>
        <w:t>甲方</w:t>
      </w:r>
      <w:r>
        <w:rPr>
          <w:rFonts w:hint="eastAsia" w:ascii="宋体" w:hAnsi="宋体" w:cs="宋体"/>
          <w:szCs w:val="21"/>
        </w:rPr>
        <w:t>要求种类、品质不符品种，乙方应在2小时内将不符品种予以替换，逾期未替换或替换后仍无法通过甲方验货的，或者逾期交货超过2小时的，甲方有权拒收并要求成乙方在甲方规定时间内支付相当于该批不符品种订货价款3倍的违约金。</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甲方有权从任一笔应付采购款中直接扣除乙方应支付的违约金或应承担的其他赔偿费用。</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发生上述违约情形累计超过3次，或者乙方拒不支付违约金的，或者发生一次但情节严重的(如因乙方所提供的医用食品不合格导致发生群体性食品安全事故、被政府相关部门处罚等)，甲方有权单方解除本合同，给甲方造成损失的，甲方有权要求乙方承担。履约保证金在扣除了乙方支付的违约金后，如有剩余甲方应退还乙方，不足部分，甲方有权从未支付的货款中扣除。</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乙方安排专人负责甲方采购事宜，提供全天候24小时服务。乙方指定联系人及联系方式发生变化的，应提前通知甲方，因怠于通知导致甲方与其联络不畅或者迟延履行合同的，属违约行为，如影响或导致逾期交货属乙方责任，甲方将按前第2项约定进行处罚。累计情形超过3次，或者发生一次但情节严重的，甲方有权单方解除本合同，给甲方造成损失的，甲方有权要求乙方承担。</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4、乙方每次配送前应对所提供的服务车辆使用情况及安全状况进行排查，确保甲方所采购的食品物资在规定时间正常交货，因乙方车辆情况导致逾期交货属乙方责任，甲方将按前第</w:t>
      </w:r>
      <w:r>
        <w:rPr>
          <w:rFonts w:hint="eastAsia" w:ascii="宋体" w:hAnsi="宋体" w:cs="宋体"/>
          <w:szCs w:val="21"/>
          <w:lang w:val="en-US" w:eastAsia="zh-CN"/>
        </w:rPr>
        <w:t>2</w:t>
      </w:r>
      <w:r>
        <w:rPr>
          <w:rFonts w:hint="eastAsia" w:ascii="宋体" w:hAnsi="宋体" w:cs="宋体"/>
          <w:szCs w:val="21"/>
        </w:rPr>
        <w:t>项约定进行处罚。累计情形超过3次，或者发生一次但情节严重的，甲方有权单方解除本合同，给甲方造成损失的，甲方有权要求乙方承担。</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5、乙方不得以任何形式将本项目转包、分包，否则甲方有权单方终止合同，由此产生的一切经济损失由乙方自行承担。</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6、配送的产品必须是具备合法厂家渠道的全新产品。为确保配送的原装货品的正品性，乙方需配合甲方对相关货品进行电话或二维码查询等正品验证，通过验证方可验收。在验证过程中如发现有假货的，甲方将拒绝验收该产品并报相关采购监督管理部门。</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7、合同期内，乙方不得恶意停供，否则造成的缺货损失全部由乙方承担。若遇可预见性的减产、停产或更换产品规格的，乙方应提前30个工作日书面通知甲方。</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8、紧急供货要求:在收到甲方发出紧急供货通知后，乙方在甲方规定的时间内完成当次现场供货。</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9、乙方提供的货物如侵犯了第三方合法权益(包括但不限于所有权等)而引发的任何纠纷或诉讼，均由乙方负责交涉并承担全部责任。在处理纠纷或诉讼的过程中，乙方应为甲方取得继续使用该货物的权利，或者将该货物替换或修改，以便使用该货物不再侵权。如果乙方不能合理地完成这些补救措施，并且甲方必须停止使用侵权的货物，甲方有权解除合同，要求乙方需退还甲方已付价款，没收履约保证金(如有)，并有权要求乙方按该批次货物金额的30%支付违约金。</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10、乙方未按本合同和投标文件中规定的服务承诺提供售后服务的，每出现一次，乙方应按该批次产品金额的5%向甲方支付违约金，同时甲方有权自行交由第三方提供售后服务，乙方每次除向甲方支付违约金外，还需承担甲方为此支出人工费等一切售后服务相关费用。</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11、乙方在实施产品供货期间，不得将供货的实际数量及供货地点泄露给其他企业或者个人，乙方必须指派相对固定的人员完成产品配送及售后服务，产品配送及售后服务人员必须遵纪守法、品行良好，无违法犯罪记录。如需要更换配送及售后服务人员，必须事先书面通知甲方并经甲方同意后才能更换。</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12、乙方未按约提供真实、有效、合法的正式发票的，除须向甲方补开合法发票外，须赔偿甲方发票票面金额一倍的违约金，且甲方有权解除合同，要求乙方退还已付款项。</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13、乙方其它违约行为按违约货款额5%收取违约金并赔偿由该违约行为导致的经济损失。</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不可抗力事件处理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2、不可抗力事件发生后，应立即通知对方，并寄送有关权威机构出具的证明。</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3、不可抗力事件延续一百二十天以上，双方应通过友好协商，确定是否继续履行合同。</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合同争议解决</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因履行本合同引起的或与本合同有关的争议，甲乙双方应首先通过友好协商解决，如果协商不能解决，可向甲方所在地人民法院提起诉讼。</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合同的变更、终止与转让</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1、除《中华人民共和国政府采购法》第五十条规定的情形外，本合同一经签订，甲乙双方不得擅自变更、中止或终止。</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2、未经甲方书面同意，乙方不得擅自转让(无进口资格的乙方委托进口货物除外)其应履行的合同义务。</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通知与送达</w:t>
      </w:r>
    </w:p>
    <w:p>
      <w:pPr>
        <w:numPr>
          <w:ilvl w:val="0"/>
          <w:numId w:val="4"/>
        </w:numPr>
        <w:wordWrap w:val="0"/>
        <w:snapToGrid w:val="0"/>
        <w:spacing w:line="360" w:lineRule="auto"/>
        <w:ind w:firstLine="420" w:firstLineChars="200"/>
        <w:jc w:val="left"/>
        <w:rPr>
          <w:rFonts w:ascii="宋体" w:hAnsi="宋体" w:cs="宋体"/>
          <w:szCs w:val="21"/>
        </w:rPr>
      </w:pPr>
      <w:r>
        <w:rPr>
          <w:rFonts w:hint="eastAsia" w:ascii="宋体" w:hAnsi="宋体" w:cs="宋体"/>
          <w:szCs w:val="21"/>
        </w:rPr>
        <w:t>本协议项下对合同一方对另外一方的任何通知或请求，应当发送至接收方在合同中约定的地址、联系人和通信终端。一方当事人变更名称、地址、联系人或通信终端等信息的，应当在变更后3日内及时书面通知对方当事人，对方当事人实际收到变更通知前的送达仍为有效送达，电子送达与书面送达具有同等法律效力。</w:t>
      </w:r>
    </w:p>
    <w:p>
      <w:pPr>
        <w:numPr>
          <w:ilvl w:val="0"/>
          <w:numId w:val="4"/>
        </w:numPr>
        <w:wordWrap w:val="0"/>
        <w:snapToGrid w:val="0"/>
        <w:spacing w:line="360" w:lineRule="auto"/>
        <w:ind w:firstLine="420" w:firstLineChars="200"/>
        <w:jc w:val="left"/>
        <w:rPr>
          <w:rFonts w:ascii="宋体" w:hAnsi="宋体" w:cs="宋体"/>
          <w:szCs w:val="21"/>
        </w:rPr>
      </w:pPr>
      <w:r>
        <w:rPr>
          <w:rFonts w:hint="eastAsia" w:ascii="宋体" w:hAnsi="宋体" w:cs="宋体"/>
          <w:szCs w:val="21"/>
        </w:rPr>
        <w:t>任何一方当事人向对/他方所发出的通知或请求送达时间：</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（1）如果是传真，则在发送当日视为送达；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（2）如果是短信/微信/电子邮件，自电子文件内容在发送方正确填写地址且未被系统退回的情况下，进入对方数据电文接收系统当日视为送达；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（3）如果是信函，在挂号信交邮后第三日视为送达；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（4）如果是派人专程送达，则在收件人签收之日视为收到；</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（5）如果同时使用几种通知方式的，以其中较快到达接收方者为准；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（6）若送达日为非工作日，则视为在下一工作日送达。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本合同约定的地址、联系人及电子通信终端等信息亦为双方工作联系往来、法律文书及争议解决时人民法院和/或仲裁机构的法律文书送达地址。人民法院和/或仲裁机构的诉讼文书(含裁判文书)向任何合同任何一方当事人的上述地址和/或工商登记公示地址(居民身份证登记地址)送达的，视为有效送达。当事人对电子通信终端的联系送达适用于争议解决时的送达。</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4、合同送达条款与争议解决条款均为独立条款，不受合同整体或其他条款的效力的影响。</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合同组成及相互关系</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1、本合同的采购文件(含采购答疑)、符合采购要求的响应文件、成交通知书、本合同履行过程</w:t>
      </w:r>
    </w:p>
    <w:p>
      <w:pPr>
        <w:pStyle w:val="2"/>
        <w:snapToGrid w:val="0"/>
        <w:spacing w:after="0" w:line="360" w:lineRule="auto"/>
        <w:jc w:val="left"/>
        <w:rPr>
          <w:rFonts w:ascii="宋体" w:hAnsi="宋体" w:cs="宋体"/>
          <w:szCs w:val="21"/>
        </w:rPr>
      </w:pPr>
      <w:r>
        <w:rPr>
          <w:rFonts w:hint="eastAsia" w:ascii="宋体" w:hAnsi="宋体" w:cs="宋体"/>
          <w:szCs w:val="21"/>
        </w:rPr>
        <w:t>中双方签章确认的协议或其他文件均为本合同的组成部分，若合同组成文件之间发生矛盾的，以下排列顺序为合同组成文件之间的优先解释顺序：</w:t>
      </w:r>
    </w:p>
    <w:p>
      <w:pPr>
        <w:pStyle w:val="2"/>
        <w:snapToGrid w:val="0"/>
        <w:spacing w:after="0" w:line="360" w:lineRule="auto"/>
        <w:ind w:firstLine="420" w:firstLineChars="200"/>
        <w:jc w:val="left"/>
        <w:rPr>
          <w:rFonts w:ascii="宋体" w:hAnsi="宋体" w:cs="宋体"/>
          <w:szCs w:val="21"/>
        </w:rPr>
      </w:pPr>
      <w:r>
        <w:rPr>
          <w:rFonts w:hint="eastAsia" w:ascii="宋体" w:hAnsi="宋体" w:cs="宋体"/>
          <w:szCs w:val="21"/>
        </w:rPr>
        <w:t>2、合同履行过程中双方签章确认的协议或其他文件：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(1)本合同及其附件；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(2)成交通知书；</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(3)符合采购要求的响应文件；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(4)采购文件(采购答疑)；</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(5)标准、规范及有关技术文件；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(6)其他合同文件。</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3、前述文件应认为是互为补充和解释的，如有互相矛盾之处，以前述文件所列顺序作为其优先解释的顺序，但如果某一文件对甲方权利维护更有利或对乙方有更高、更严格要求的以该文件内容为准。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4、前述各项文件包括双方就该合同组成文件所作出的补充和修改，属于同一项文件的，应以最新签署的为准。前述文件应认为是互为补充和解释的，如有互相矛盾之处，以前述文件所列顺序作为其优先解释的顺序，但如果某一文件对甲方权利维护更有利或对乙方有更高、更严格要求的以该文件内容为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5、前述各项文件包括双方就该合同组成文件所作出的补充和修改，属于同一项文件的，应以最新签署的为准。</w:t>
      </w:r>
    </w:p>
    <w:p>
      <w:pPr>
        <w:numPr>
          <w:ilvl w:val="0"/>
          <w:numId w:val="1"/>
        </w:numPr>
        <w:snapToGrid w:val="0"/>
        <w:spacing w:line="360" w:lineRule="auto"/>
        <w:ind w:firstLine="422" w:firstLineChars="200"/>
        <w:jc w:val="left"/>
        <w:rPr>
          <w:rFonts w:ascii="宋体" w:hAnsi="宋体" w:cs="宋体"/>
          <w:b/>
          <w:bCs/>
          <w:szCs w:val="21"/>
        </w:rPr>
      </w:pPr>
      <w:r>
        <w:rPr>
          <w:rFonts w:hint="eastAsia" w:ascii="宋体" w:hAnsi="宋体" w:cs="宋体"/>
          <w:b/>
          <w:bCs/>
          <w:szCs w:val="21"/>
        </w:rPr>
        <w:t>合同生效及其它</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1.合同经双方法定代表人或授权代表签字并加盖单位公章后生效。本合同一式六份，具有同等法律效力,甲方三份，乙方一份，采购代理机构二份。</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2.合同执行中涉及采购资金和采购内容修改或补充的，须经财政部门审批，并签书面补充协议报财政部门备案，方可作为主合同不可分割的一部分。</w:t>
      </w:r>
    </w:p>
    <w:p>
      <w:pPr>
        <w:wordWrap w:val="0"/>
        <w:snapToGrid w:val="0"/>
        <w:spacing w:line="360" w:lineRule="auto"/>
        <w:ind w:firstLine="420" w:firstLineChars="200"/>
        <w:jc w:val="left"/>
        <w:rPr>
          <w:rFonts w:ascii="宋体" w:hAnsi="宋体" w:cs="宋体"/>
          <w:szCs w:val="21"/>
        </w:rPr>
      </w:pPr>
      <w:r>
        <w:rPr>
          <w:rFonts w:hint="eastAsia" w:ascii="宋体" w:hAnsi="宋体" w:cs="宋体"/>
          <w:szCs w:val="21"/>
        </w:rPr>
        <w:t>3.本合同未尽事宜，遵照《民法典》有关条文执行。</w:t>
      </w:r>
    </w:p>
    <w:p>
      <w:pPr>
        <w:rPr>
          <w:rFonts w:ascii="宋体" w:hAnsi="宋体" w:cs="宋体"/>
          <w:szCs w:val="21"/>
        </w:rPr>
      </w:pPr>
      <w:r>
        <w:rPr>
          <w:rFonts w:hint="eastAsia" w:ascii="宋体" w:hAnsi="宋体" w:cs="宋体"/>
          <w:szCs w:val="21"/>
        </w:rPr>
        <w:br w:type="page"/>
      </w:r>
    </w:p>
    <w:p>
      <w:pPr>
        <w:pStyle w:val="2"/>
      </w:pPr>
    </w:p>
    <w:tbl>
      <w:tblPr>
        <w:tblStyle w:val="32"/>
        <w:tblW w:w="8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2"/>
        <w:gridCol w:w="4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甲方(章) 广西中医药大学第一附属医院</w:t>
            </w:r>
          </w:p>
          <w:p>
            <w:pPr>
              <w:wordWrap w:val="0"/>
              <w:spacing w:line="360" w:lineRule="exact"/>
              <w:rPr>
                <w:rFonts w:ascii="宋体" w:hAnsi="宋体" w:cs="宋体"/>
                <w:szCs w:val="21"/>
              </w:rPr>
            </w:pPr>
          </w:p>
        </w:tc>
        <w:tc>
          <w:tcPr>
            <w:tcW w:w="4270" w:type="dxa"/>
            <w:noWrap/>
          </w:tcPr>
          <w:p>
            <w:pPr>
              <w:wordWrap w:val="0"/>
              <w:spacing w:line="360" w:lineRule="exact"/>
              <w:rPr>
                <w:rFonts w:ascii="宋体" w:hAnsi="宋体" w:cs="宋体"/>
                <w:szCs w:val="21"/>
              </w:rPr>
            </w:pPr>
            <w:r>
              <w:rPr>
                <w:rFonts w:hint="eastAsia" w:ascii="宋体" w:hAnsi="宋体" w:cs="宋体"/>
                <w:szCs w:val="21"/>
              </w:rPr>
              <w:t xml:space="preserve">乙方(章) </w:t>
            </w:r>
          </w:p>
          <w:p>
            <w:pPr>
              <w:wordWrap w:val="0"/>
              <w:spacing w:line="360" w:lineRule="exac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单位地址：广西南宁市东葛路89-9号</w:t>
            </w:r>
          </w:p>
        </w:tc>
        <w:tc>
          <w:tcPr>
            <w:tcW w:w="4270" w:type="dxa"/>
            <w:noWrap/>
          </w:tcPr>
          <w:p>
            <w:pPr>
              <w:wordWrap w:val="0"/>
              <w:spacing w:line="360" w:lineRule="exact"/>
              <w:rPr>
                <w:rFonts w:ascii="宋体" w:hAnsi="宋体" w:cs="宋体"/>
                <w:szCs w:val="21"/>
              </w:rPr>
            </w:pPr>
            <w:r>
              <w:rPr>
                <w:rFonts w:hint="eastAsia" w:ascii="宋体" w:hAnsi="宋体" w:cs="宋体"/>
                <w:szCs w:val="21"/>
              </w:rPr>
              <w:t xml:space="preserve">单位地址：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法定代表人：</w:t>
            </w:r>
          </w:p>
        </w:tc>
        <w:tc>
          <w:tcPr>
            <w:tcW w:w="4270" w:type="dxa"/>
            <w:noWrap/>
          </w:tcPr>
          <w:p>
            <w:pPr>
              <w:wordWrap w:val="0"/>
              <w:spacing w:line="360" w:lineRule="exact"/>
              <w:rPr>
                <w:rFonts w:ascii="宋体" w:hAnsi="宋体" w:cs="宋体"/>
                <w:szCs w:val="21"/>
              </w:rPr>
            </w:pPr>
            <w:r>
              <w:rPr>
                <w:rFonts w:hint="eastAsia" w:ascii="宋体" w:hAnsi="宋体" w:cs="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委托代理人：</w:t>
            </w:r>
          </w:p>
        </w:tc>
        <w:tc>
          <w:tcPr>
            <w:tcW w:w="4270" w:type="dxa"/>
            <w:noWrap/>
          </w:tcPr>
          <w:p>
            <w:pPr>
              <w:wordWrap w:val="0"/>
              <w:spacing w:line="360" w:lineRule="exact"/>
              <w:rPr>
                <w:rFonts w:ascii="宋体" w:hAnsi="宋体" w:cs="宋体"/>
                <w:szCs w:val="21"/>
              </w:rPr>
            </w:pPr>
            <w:r>
              <w:rPr>
                <w:rFonts w:hint="eastAsia" w:ascii="宋体" w:hAnsi="宋体" w:cs="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电话：</w:t>
            </w:r>
          </w:p>
        </w:tc>
        <w:tc>
          <w:tcPr>
            <w:tcW w:w="4270" w:type="dxa"/>
            <w:noWrap/>
          </w:tcPr>
          <w:p>
            <w:pPr>
              <w:wordWrap w:val="0"/>
              <w:spacing w:line="360" w:lineRule="exact"/>
              <w:rPr>
                <w:rFonts w:ascii="宋体" w:hAnsi="宋体" w:cs="宋体"/>
                <w:szCs w:val="21"/>
              </w:rPr>
            </w:pPr>
            <w:r>
              <w:rPr>
                <w:rFonts w:hint="eastAsia" w:ascii="宋体" w:hAnsi="宋体" w:cs="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电子邮箱：</w:t>
            </w:r>
          </w:p>
        </w:tc>
        <w:tc>
          <w:tcPr>
            <w:tcW w:w="4270" w:type="dxa"/>
            <w:noWrap/>
          </w:tcPr>
          <w:p>
            <w:pPr>
              <w:wordWrap w:val="0"/>
              <w:spacing w:line="360" w:lineRule="exact"/>
              <w:rPr>
                <w:rFonts w:ascii="宋体" w:hAnsi="宋体" w:cs="宋体"/>
                <w:szCs w:val="21"/>
              </w:rPr>
            </w:pPr>
            <w:r>
              <w:rPr>
                <w:rFonts w:hint="eastAsia" w:ascii="宋体" w:hAnsi="宋体" w:cs="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开户银行：建行南宁园湖南路支行</w:t>
            </w:r>
          </w:p>
        </w:tc>
        <w:tc>
          <w:tcPr>
            <w:tcW w:w="4270" w:type="dxa"/>
            <w:noWrap/>
          </w:tcPr>
          <w:p>
            <w:pPr>
              <w:wordWrap w:val="0"/>
              <w:spacing w:line="360" w:lineRule="exact"/>
              <w:rPr>
                <w:rFonts w:ascii="宋体" w:hAnsi="宋体" w:cs="宋体"/>
                <w:szCs w:val="21"/>
              </w:rPr>
            </w:pPr>
            <w:r>
              <w:rPr>
                <w:rFonts w:hint="eastAsia" w:ascii="宋体" w:hAnsi="宋体" w:cs="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账号：45001604652050502742</w:t>
            </w:r>
          </w:p>
        </w:tc>
        <w:tc>
          <w:tcPr>
            <w:tcW w:w="4270" w:type="dxa"/>
            <w:noWrap/>
          </w:tcPr>
          <w:p>
            <w:pPr>
              <w:wordWrap w:val="0"/>
              <w:spacing w:line="360" w:lineRule="exact"/>
              <w:rPr>
                <w:rFonts w:ascii="宋体" w:hAnsi="宋体" w:cs="宋体"/>
                <w:szCs w:val="21"/>
              </w:rPr>
            </w:pPr>
            <w:r>
              <w:rPr>
                <w:rFonts w:hint="eastAsia" w:ascii="宋体" w:hAnsi="宋体" w:cs="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282" w:type="dxa"/>
            <w:noWrap/>
          </w:tcPr>
          <w:p>
            <w:pPr>
              <w:wordWrap w:val="0"/>
              <w:spacing w:line="360" w:lineRule="exact"/>
              <w:rPr>
                <w:rFonts w:ascii="宋体" w:hAnsi="宋体" w:cs="宋体"/>
                <w:szCs w:val="21"/>
              </w:rPr>
            </w:pPr>
            <w:r>
              <w:rPr>
                <w:rFonts w:hint="eastAsia" w:ascii="宋体" w:hAnsi="宋体" w:cs="宋体"/>
                <w:szCs w:val="21"/>
              </w:rPr>
              <w:t>邮政编码：530023</w:t>
            </w:r>
          </w:p>
        </w:tc>
        <w:tc>
          <w:tcPr>
            <w:tcW w:w="4270" w:type="dxa"/>
            <w:noWrap/>
          </w:tcPr>
          <w:p>
            <w:pPr>
              <w:wordWrap w:val="0"/>
              <w:spacing w:line="360" w:lineRule="exact"/>
              <w:rPr>
                <w:rFonts w:ascii="宋体" w:hAnsi="宋体" w:cs="宋体"/>
                <w:szCs w:val="21"/>
              </w:rPr>
            </w:pPr>
            <w:r>
              <w:rPr>
                <w:rFonts w:hint="eastAsia" w:ascii="宋体" w:hAnsi="宋体" w:cs="宋体"/>
                <w:szCs w:val="21"/>
              </w:rPr>
              <w:t>邮政编码：</w:t>
            </w:r>
          </w:p>
        </w:tc>
      </w:tr>
    </w:tbl>
    <w:p>
      <w:pPr>
        <w:rPr>
          <w:rFonts w:ascii="宋体" w:hAnsi="宋体" w:cs="宋体"/>
        </w:rPr>
      </w:pPr>
      <w:r>
        <w:rPr>
          <w:rFonts w:hint="eastAsia" w:ascii="宋体" w:hAnsi="宋体" w:cs="宋体"/>
        </w:rPr>
        <w:br w:type="page"/>
      </w:r>
    </w:p>
    <w:p>
      <w:pPr>
        <w:spacing w:before="120" w:line="320" w:lineRule="atLeast"/>
        <w:jc w:val="left"/>
        <w:outlineLvl w:val="1"/>
        <w:rPr>
          <w:rFonts w:ascii="宋体" w:hAnsi="宋体" w:cs="宋体"/>
          <w:b/>
          <w:bCs/>
          <w:kern w:val="0"/>
          <w:szCs w:val="21"/>
        </w:rPr>
      </w:pPr>
      <w:bookmarkStart w:id="177" w:name="_Toc24101"/>
      <w:bookmarkStart w:id="178" w:name="_Toc1004"/>
      <w:bookmarkStart w:id="179" w:name="_Toc5757"/>
      <w:bookmarkStart w:id="180" w:name="_Toc18254"/>
      <w:r>
        <w:rPr>
          <w:rFonts w:hint="eastAsia" w:ascii="宋体" w:hAnsi="宋体" w:cs="宋体"/>
          <w:b/>
          <w:bCs/>
          <w:kern w:val="0"/>
          <w:szCs w:val="21"/>
        </w:rPr>
        <w:t>合同附件1</w:t>
      </w:r>
      <w:bookmarkEnd w:id="177"/>
      <w:bookmarkEnd w:id="178"/>
      <w:bookmarkEnd w:id="179"/>
      <w:bookmarkEnd w:id="180"/>
    </w:p>
    <w:p>
      <w:pPr>
        <w:snapToGrid w:val="0"/>
        <w:rPr>
          <w:rFonts w:ascii="宋体" w:hAnsi="宋体" w:cs="宋体"/>
          <w:sz w:val="18"/>
          <w:szCs w:val="18"/>
        </w:rPr>
      </w:pPr>
    </w:p>
    <w:tbl>
      <w:tblPr>
        <w:tblStyle w:val="32"/>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008" w:type="dxa"/>
            <w:vMerge w:val="restart"/>
            <w:noWrap/>
            <w:vAlign w:val="center"/>
          </w:tcPr>
          <w:p>
            <w:pPr>
              <w:jc w:val="center"/>
              <w:rPr>
                <w:rFonts w:ascii="宋体" w:hAnsi="宋体" w:cs="宋体"/>
                <w:szCs w:val="21"/>
              </w:rPr>
            </w:pPr>
            <w:r>
              <w:rPr>
                <w:rFonts w:hint="eastAsia" w:ascii="宋体" w:hAnsi="宋体" w:cs="宋体"/>
                <w:szCs w:val="21"/>
              </w:rPr>
              <w:t>供</w:t>
            </w:r>
          </w:p>
          <w:p>
            <w:pPr>
              <w:jc w:val="center"/>
              <w:rPr>
                <w:rFonts w:ascii="宋体" w:hAnsi="宋体" w:cs="宋体"/>
                <w:szCs w:val="21"/>
              </w:rPr>
            </w:pPr>
            <w:r>
              <w:rPr>
                <w:rFonts w:hint="eastAsia" w:ascii="宋体" w:hAnsi="宋体" w:cs="宋体"/>
                <w:szCs w:val="21"/>
              </w:rPr>
              <w:t>应</w:t>
            </w:r>
          </w:p>
          <w:p>
            <w:pPr>
              <w:jc w:val="center"/>
              <w:rPr>
                <w:rFonts w:ascii="宋体" w:hAnsi="宋体" w:cs="宋体"/>
                <w:szCs w:val="21"/>
              </w:rPr>
            </w:pPr>
            <w:r>
              <w:rPr>
                <w:rFonts w:hint="eastAsia" w:ascii="宋体" w:hAnsi="宋体" w:cs="宋体"/>
                <w:szCs w:val="21"/>
              </w:rPr>
              <w:t>商</w:t>
            </w:r>
          </w:p>
          <w:p>
            <w:pPr>
              <w:jc w:val="center"/>
              <w:rPr>
                <w:rFonts w:ascii="宋体" w:hAnsi="宋体" w:cs="宋体"/>
                <w:szCs w:val="21"/>
              </w:rPr>
            </w:pPr>
            <w:r>
              <w:rPr>
                <w:rFonts w:hint="eastAsia" w:ascii="宋体" w:hAnsi="宋体" w:cs="宋体"/>
                <w:szCs w:val="21"/>
              </w:rPr>
              <w:t>申</w:t>
            </w:r>
          </w:p>
          <w:p>
            <w:pPr>
              <w:jc w:val="center"/>
              <w:rPr>
                <w:rFonts w:ascii="宋体" w:hAnsi="宋体" w:cs="宋体"/>
                <w:szCs w:val="21"/>
              </w:rPr>
            </w:pPr>
            <w:r>
              <w:rPr>
                <w:rFonts w:hint="eastAsia" w:ascii="宋体" w:hAnsi="宋体" w:cs="宋体"/>
                <w:szCs w:val="21"/>
              </w:rPr>
              <w:t>请</w:t>
            </w:r>
          </w:p>
        </w:tc>
        <w:tc>
          <w:tcPr>
            <w:tcW w:w="8640" w:type="dxa"/>
            <w:noWrap/>
            <w:vAlign w:val="center"/>
          </w:tcPr>
          <w:p>
            <w:pPr>
              <w:rPr>
                <w:rFonts w:ascii="宋体" w:hAnsi="宋体" w:cs="宋体"/>
                <w:szCs w:val="21"/>
              </w:rPr>
            </w:pPr>
            <w:r>
              <w:rPr>
                <w:rFonts w:hint="eastAsia" w:ascii="宋体" w:hAnsi="宋体" w:cs="宋体"/>
                <w:szCs w:val="21"/>
              </w:rPr>
              <w:t>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008" w:type="dxa"/>
            <w:vMerge w:val="continue"/>
            <w:noWrap/>
            <w:vAlign w:val="center"/>
          </w:tcPr>
          <w:p>
            <w:pPr>
              <w:rPr>
                <w:rFonts w:ascii="宋体" w:hAnsi="宋体" w:cs="宋体"/>
                <w:szCs w:val="21"/>
              </w:rPr>
            </w:pPr>
          </w:p>
        </w:tc>
        <w:tc>
          <w:tcPr>
            <w:tcW w:w="8640" w:type="dxa"/>
            <w:noWrap/>
            <w:vAlign w:val="center"/>
          </w:tcPr>
          <w:p>
            <w:pPr>
              <w:rPr>
                <w:rFonts w:ascii="宋体" w:hAnsi="宋体" w:cs="宋体"/>
                <w:szCs w:val="21"/>
              </w:rPr>
            </w:pPr>
            <w:r>
              <w:rPr>
                <w:rFonts w:hint="eastAsia" w:ascii="宋体" w:hAnsi="宋体" w:cs="宋体"/>
                <w:szCs w:val="21"/>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vMerge w:val="continue"/>
            <w:noWrap/>
          </w:tcPr>
          <w:p>
            <w:pPr>
              <w:rPr>
                <w:rFonts w:ascii="宋体" w:hAnsi="宋体" w:cs="宋体"/>
                <w:szCs w:val="21"/>
              </w:rPr>
            </w:pPr>
          </w:p>
        </w:tc>
        <w:tc>
          <w:tcPr>
            <w:tcW w:w="8640" w:type="dxa"/>
            <w:noWrap/>
          </w:tcPr>
          <w:p>
            <w:pPr>
              <w:rPr>
                <w:rFonts w:ascii="宋体" w:hAnsi="宋体" w:cs="宋体"/>
                <w:szCs w:val="21"/>
              </w:rPr>
            </w:pPr>
          </w:p>
          <w:p>
            <w:pPr>
              <w:spacing w:line="400" w:lineRule="exact"/>
              <w:ind w:firstLine="420" w:firstLineChars="200"/>
              <w:rPr>
                <w:rFonts w:ascii="宋体" w:hAnsi="宋体" w:cs="宋体"/>
                <w:szCs w:val="21"/>
              </w:rPr>
            </w:pPr>
            <w:r>
              <w:rPr>
                <w:rFonts w:hint="eastAsia" w:ascii="宋体" w:hAnsi="宋体" w:cs="宋体"/>
                <w:szCs w:val="21"/>
              </w:rPr>
              <w:t>该项目已于年月日验收并交付使用。根据合同规定，该项目的履约保证金期限于年月日已满，请将履约保证金</w:t>
            </w:r>
          </w:p>
          <w:p>
            <w:pPr>
              <w:spacing w:line="400" w:lineRule="exact"/>
              <w:rPr>
                <w:rFonts w:ascii="宋体" w:hAnsi="宋体" w:cs="宋体"/>
                <w:szCs w:val="21"/>
              </w:rPr>
            </w:pPr>
            <w:r>
              <w:rPr>
                <w:rFonts w:hint="eastAsia" w:ascii="宋体" w:hAnsi="宋体" w:cs="宋体"/>
                <w:szCs w:val="21"/>
              </w:rPr>
              <w:t>（大写）¥（小写）退付到达以下账户。</w:t>
            </w:r>
          </w:p>
          <w:p>
            <w:pPr>
              <w:spacing w:line="400" w:lineRule="exact"/>
              <w:ind w:firstLine="705"/>
              <w:rPr>
                <w:rFonts w:ascii="宋体" w:hAnsi="宋体" w:cs="宋体"/>
                <w:szCs w:val="21"/>
              </w:rPr>
            </w:pPr>
            <w:r>
              <w:rPr>
                <w:rFonts w:hint="eastAsia" w:ascii="宋体" w:hAnsi="宋体" w:cs="宋体"/>
                <w:szCs w:val="21"/>
              </w:rPr>
              <w:t>单位名称：</w:t>
            </w:r>
          </w:p>
          <w:p>
            <w:pPr>
              <w:spacing w:line="400" w:lineRule="exact"/>
              <w:ind w:firstLine="705"/>
              <w:rPr>
                <w:rFonts w:ascii="宋体" w:hAnsi="宋体" w:cs="宋体"/>
                <w:szCs w:val="21"/>
              </w:rPr>
            </w:pPr>
            <w:r>
              <w:rPr>
                <w:rFonts w:hint="eastAsia" w:ascii="宋体" w:hAnsi="宋体" w:cs="宋体"/>
                <w:szCs w:val="21"/>
              </w:rPr>
              <w:t>开户银行：</w:t>
            </w:r>
          </w:p>
          <w:p>
            <w:pPr>
              <w:spacing w:line="400" w:lineRule="exact"/>
              <w:ind w:firstLine="705"/>
              <w:rPr>
                <w:rFonts w:ascii="宋体" w:hAnsi="宋体" w:cs="宋体"/>
                <w:szCs w:val="21"/>
              </w:rPr>
            </w:pPr>
            <w:r>
              <w:rPr>
                <w:rFonts w:hint="eastAsia" w:ascii="宋体" w:hAnsi="宋体" w:cs="宋体"/>
                <w:szCs w:val="21"/>
              </w:rPr>
              <w:t>账   号：</w:t>
            </w:r>
          </w:p>
          <w:p>
            <w:pPr>
              <w:spacing w:line="400" w:lineRule="exact"/>
              <w:rPr>
                <w:rFonts w:ascii="宋体" w:hAnsi="宋体" w:cs="宋体"/>
                <w:szCs w:val="21"/>
              </w:rPr>
            </w:pPr>
            <w:r>
              <w:rPr>
                <w:rFonts w:hint="eastAsia" w:ascii="宋体" w:hAnsi="宋体" w:cs="宋体"/>
                <w:szCs w:val="21"/>
              </w:rPr>
              <w:t>联系人及电话：</w:t>
            </w:r>
          </w:p>
          <w:p>
            <w:pPr>
              <w:spacing w:line="400" w:lineRule="exact"/>
              <w:rPr>
                <w:rFonts w:ascii="宋体" w:hAnsi="宋体" w:cs="宋体"/>
                <w:szCs w:val="21"/>
              </w:rPr>
            </w:pPr>
          </w:p>
          <w:p>
            <w:pPr>
              <w:spacing w:line="520" w:lineRule="exact"/>
              <w:jc w:val="center"/>
              <w:rPr>
                <w:rFonts w:ascii="宋体" w:hAnsi="宋体" w:cs="宋体"/>
                <w:szCs w:val="21"/>
              </w:rPr>
            </w:pPr>
            <w:r>
              <w:rPr>
                <w:rFonts w:hint="eastAsia" w:ascii="宋体" w:hAnsi="宋体" w:cs="宋体"/>
                <w:szCs w:val="21"/>
              </w:rPr>
              <w:t xml:space="preserve">                                     供应商公章：</w:t>
            </w:r>
          </w:p>
          <w:p>
            <w:pPr>
              <w:spacing w:line="520" w:lineRule="exact"/>
              <w:jc w:val="center"/>
              <w:rPr>
                <w:rFonts w:ascii="宋体" w:hAnsi="宋体" w:cs="宋体"/>
                <w:szCs w:val="21"/>
              </w:rPr>
            </w:pPr>
            <w:r>
              <w:rPr>
                <w:rFonts w:hint="eastAsia" w:ascii="宋体" w:hAnsi="宋体" w:cs="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ign w:val="center"/>
          </w:tcPr>
          <w:p>
            <w:pPr>
              <w:jc w:val="center"/>
              <w:rPr>
                <w:rFonts w:ascii="宋体" w:hAnsi="宋体" w:cs="宋体"/>
                <w:szCs w:val="21"/>
              </w:rPr>
            </w:pPr>
            <w:r>
              <w:rPr>
                <w:rFonts w:hint="eastAsia" w:ascii="宋体" w:hAnsi="宋体" w:cs="宋体"/>
                <w:szCs w:val="21"/>
              </w:rPr>
              <w:t>采</w:t>
            </w:r>
          </w:p>
          <w:p>
            <w:pPr>
              <w:jc w:val="center"/>
              <w:rPr>
                <w:rFonts w:ascii="宋体" w:hAnsi="宋体" w:cs="宋体"/>
                <w:szCs w:val="21"/>
              </w:rPr>
            </w:pPr>
            <w:r>
              <w:rPr>
                <w:rFonts w:hint="eastAsia" w:ascii="宋体" w:hAnsi="宋体" w:cs="宋体"/>
                <w:szCs w:val="21"/>
              </w:rPr>
              <w:t>购</w:t>
            </w:r>
          </w:p>
          <w:p>
            <w:pPr>
              <w:jc w:val="center"/>
              <w:rPr>
                <w:rFonts w:ascii="宋体" w:hAnsi="宋体" w:cs="宋体"/>
                <w:szCs w:val="21"/>
              </w:rPr>
            </w:pPr>
            <w:r>
              <w:rPr>
                <w:rFonts w:hint="eastAsia" w:ascii="宋体" w:hAnsi="宋体" w:cs="宋体"/>
                <w:szCs w:val="21"/>
              </w:rPr>
              <w:t>单</w:t>
            </w:r>
          </w:p>
          <w:p>
            <w:pPr>
              <w:jc w:val="center"/>
              <w:rPr>
                <w:rFonts w:ascii="宋体" w:hAnsi="宋体" w:cs="宋体"/>
                <w:szCs w:val="21"/>
              </w:rPr>
            </w:pPr>
            <w:r>
              <w:rPr>
                <w:rFonts w:hint="eastAsia" w:ascii="宋体" w:hAnsi="宋体" w:cs="宋体"/>
                <w:szCs w:val="21"/>
              </w:rPr>
              <w:t>位</w:t>
            </w:r>
          </w:p>
          <w:p>
            <w:pPr>
              <w:jc w:val="center"/>
              <w:rPr>
                <w:rFonts w:ascii="宋体" w:hAnsi="宋体" w:cs="宋体"/>
                <w:szCs w:val="21"/>
              </w:rPr>
            </w:pPr>
            <w:r>
              <w:rPr>
                <w:rFonts w:hint="eastAsia" w:ascii="宋体" w:hAnsi="宋体" w:cs="宋体"/>
                <w:szCs w:val="21"/>
              </w:rPr>
              <w:t>意</w:t>
            </w:r>
          </w:p>
          <w:p>
            <w:pPr>
              <w:jc w:val="center"/>
              <w:rPr>
                <w:rFonts w:ascii="宋体" w:hAnsi="宋体" w:cs="宋体"/>
                <w:szCs w:val="21"/>
              </w:rPr>
            </w:pPr>
            <w:r>
              <w:rPr>
                <w:rFonts w:hint="eastAsia" w:ascii="宋体" w:hAnsi="宋体" w:cs="宋体"/>
                <w:szCs w:val="21"/>
              </w:rPr>
              <w:t>见</w:t>
            </w:r>
          </w:p>
        </w:tc>
        <w:tc>
          <w:tcPr>
            <w:tcW w:w="8640" w:type="dxa"/>
            <w:noWrap/>
          </w:tcPr>
          <w:p>
            <w:pPr>
              <w:rPr>
                <w:rFonts w:ascii="宋体" w:hAnsi="宋体" w:cs="宋体"/>
                <w:szCs w:val="21"/>
              </w:rPr>
            </w:pPr>
          </w:p>
          <w:p>
            <w:pPr>
              <w:rPr>
                <w:rFonts w:ascii="宋体" w:hAnsi="宋体" w:cs="宋体"/>
                <w:szCs w:val="21"/>
              </w:rPr>
            </w:pPr>
            <w:r>
              <w:rPr>
                <w:rFonts w:hint="eastAsia" w:ascii="宋体" w:hAnsi="宋体" w:cs="宋体"/>
                <w:szCs w:val="21"/>
              </w:rPr>
              <w:t>退付意见：是否同意退付履约保证金及退付金额：</w:t>
            </w:r>
          </w:p>
          <w:p>
            <w:pPr>
              <w:rPr>
                <w:rFonts w:ascii="宋体" w:hAnsi="宋体" w:cs="宋体"/>
                <w:szCs w:val="21"/>
              </w:rPr>
            </w:pPr>
          </w:p>
          <w:p>
            <w:pPr>
              <w:rPr>
                <w:rFonts w:ascii="宋体" w:hAnsi="宋体" w:cs="宋体"/>
                <w:szCs w:val="21"/>
              </w:rPr>
            </w:pPr>
          </w:p>
          <w:p>
            <w:pPr>
              <w:spacing w:line="520" w:lineRule="exact"/>
              <w:rPr>
                <w:rFonts w:ascii="宋体" w:hAnsi="宋体" w:cs="宋体"/>
                <w:szCs w:val="21"/>
              </w:rPr>
            </w:pPr>
            <w:r>
              <w:rPr>
                <w:rFonts w:hint="eastAsia" w:ascii="宋体" w:hAnsi="宋体" w:cs="宋体"/>
                <w:szCs w:val="21"/>
              </w:rPr>
              <w:t>联系人及电话：                                 采购单位公章</w:t>
            </w:r>
          </w:p>
          <w:p>
            <w:pPr>
              <w:spacing w:line="520" w:lineRule="exact"/>
              <w:jc w:val="center"/>
              <w:rPr>
                <w:rFonts w:ascii="宋体" w:hAnsi="宋体" w:cs="宋体"/>
                <w:szCs w:val="21"/>
              </w:rPr>
            </w:pPr>
            <w:r>
              <w:rPr>
                <w:rFonts w:hint="eastAsia" w:ascii="宋体" w:hAnsi="宋体" w:cs="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ign w:val="center"/>
          </w:tcPr>
          <w:p>
            <w:pPr>
              <w:jc w:val="center"/>
              <w:rPr>
                <w:rFonts w:ascii="宋体" w:hAnsi="宋体" w:cs="宋体"/>
                <w:szCs w:val="21"/>
              </w:rPr>
            </w:pPr>
            <w:r>
              <w:rPr>
                <w:rFonts w:hint="eastAsia" w:ascii="宋体" w:hAnsi="宋体" w:cs="宋体"/>
                <w:szCs w:val="21"/>
              </w:rPr>
              <w:t>财</w:t>
            </w:r>
          </w:p>
          <w:p>
            <w:pPr>
              <w:jc w:val="center"/>
              <w:rPr>
                <w:rFonts w:ascii="宋体" w:hAnsi="宋体" w:cs="宋体"/>
                <w:szCs w:val="21"/>
              </w:rPr>
            </w:pPr>
            <w:r>
              <w:rPr>
                <w:rFonts w:hint="eastAsia" w:ascii="宋体" w:hAnsi="宋体" w:cs="宋体"/>
                <w:szCs w:val="21"/>
              </w:rPr>
              <w:t>务</w:t>
            </w:r>
          </w:p>
          <w:p>
            <w:pPr>
              <w:jc w:val="center"/>
              <w:rPr>
                <w:rFonts w:ascii="宋体" w:hAnsi="宋体" w:cs="宋体"/>
                <w:szCs w:val="21"/>
              </w:rPr>
            </w:pPr>
            <w:r>
              <w:rPr>
                <w:rFonts w:hint="eastAsia" w:ascii="宋体" w:hAnsi="宋体" w:cs="宋体"/>
                <w:szCs w:val="21"/>
              </w:rPr>
              <w:t>部</w:t>
            </w:r>
          </w:p>
          <w:p>
            <w:pPr>
              <w:jc w:val="center"/>
              <w:rPr>
                <w:rFonts w:ascii="宋体" w:hAnsi="宋体" w:cs="宋体"/>
                <w:szCs w:val="21"/>
              </w:rPr>
            </w:pPr>
            <w:r>
              <w:rPr>
                <w:rFonts w:hint="eastAsia" w:ascii="宋体" w:hAnsi="宋体" w:cs="宋体"/>
                <w:szCs w:val="21"/>
              </w:rPr>
              <w:t>门</w:t>
            </w:r>
          </w:p>
          <w:p>
            <w:pPr>
              <w:jc w:val="center"/>
              <w:rPr>
                <w:rFonts w:ascii="宋体" w:hAnsi="宋体" w:cs="宋体"/>
                <w:szCs w:val="21"/>
              </w:rPr>
            </w:pPr>
            <w:r>
              <w:rPr>
                <w:rFonts w:hint="eastAsia" w:ascii="宋体" w:hAnsi="宋体" w:cs="宋体"/>
                <w:szCs w:val="21"/>
              </w:rPr>
              <w:t>意</w:t>
            </w:r>
          </w:p>
          <w:p>
            <w:pPr>
              <w:jc w:val="center"/>
              <w:rPr>
                <w:rFonts w:ascii="宋体" w:hAnsi="宋体" w:cs="宋体"/>
                <w:szCs w:val="21"/>
              </w:rPr>
            </w:pPr>
            <w:r>
              <w:rPr>
                <w:rFonts w:hint="eastAsia" w:ascii="宋体" w:hAnsi="宋体" w:cs="宋体"/>
                <w:szCs w:val="21"/>
              </w:rPr>
              <w:t>见</w:t>
            </w:r>
          </w:p>
        </w:tc>
        <w:tc>
          <w:tcPr>
            <w:tcW w:w="8640" w:type="dxa"/>
            <w:noWrap/>
          </w:tcPr>
          <w:p>
            <w:pPr>
              <w:spacing w:line="640" w:lineRule="exact"/>
              <w:rPr>
                <w:rFonts w:ascii="宋体" w:hAnsi="宋体" w:cs="宋体"/>
                <w:szCs w:val="21"/>
              </w:rPr>
            </w:pPr>
            <w:r>
              <w:rPr>
                <w:rFonts w:hint="eastAsia" w:ascii="宋体" w:hAnsi="宋体" w:cs="宋体"/>
                <w:szCs w:val="21"/>
              </w:rPr>
              <w:t>此表于年 月  日收到。</w:t>
            </w:r>
          </w:p>
          <w:p>
            <w:pPr>
              <w:spacing w:line="640" w:lineRule="exact"/>
              <w:rPr>
                <w:rFonts w:ascii="宋体" w:hAnsi="宋体" w:cs="宋体"/>
                <w:szCs w:val="21"/>
              </w:rPr>
            </w:pPr>
            <w:r>
              <w:rPr>
                <w:rFonts w:hint="eastAsia" w:ascii="宋体" w:hAnsi="宋体" w:cs="宋体"/>
                <w:szCs w:val="21"/>
              </w:rPr>
              <w:t>会计审核：</w:t>
            </w:r>
          </w:p>
          <w:p>
            <w:pPr>
              <w:spacing w:line="640" w:lineRule="exact"/>
              <w:rPr>
                <w:rFonts w:ascii="宋体" w:hAnsi="宋体" w:cs="宋体"/>
                <w:szCs w:val="21"/>
              </w:rPr>
            </w:pPr>
            <w:r>
              <w:rPr>
                <w:rFonts w:hint="eastAsia" w:ascii="宋体" w:hAnsi="宋体" w:cs="宋体"/>
                <w:szCs w:val="21"/>
              </w:rPr>
              <w:t>财务负责人审核：</w:t>
            </w:r>
          </w:p>
          <w:p>
            <w:pPr>
              <w:spacing w:line="640" w:lineRule="exact"/>
              <w:rPr>
                <w:rFonts w:ascii="宋体" w:hAnsi="宋体" w:cs="宋体"/>
                <w:szCs w:val="21"/>
              </w:rPr>
            </w:pPr>
            <w:r>
              <w:rPr>
                <w:rFonts w:hint="eastAsia" w:ascii="宋体" w:hAnsi="宋体" w:cs="宋体"/>
                <w:szCs w:val="21"/>
              </w:rPr>
              <w:t>单位负责人签字：</w:t>
            </w:r>
          </w:p>
          <w:p>
            <w:pPr>
              <w:spacing w:line="640" w:lineRule="exact"/>
              <w:rPr>
                <w:rFonts w:ascii="宋体" w:hAnsi="宋体" w:cs="宋体"/>
                <w:szCs w:val="21"/>
              </w:rPr>
            </w:pPr>
            <w:r>
              <w:rPr>
                <w:rFonts w:hint="eastAsia" w:ascii="宋体" w:hAnsi="宋体" w:cs="宋体"/>
                <w:szCs w:val="21"/>
              </w:rPr>
              <w:t>出纳办理转账日期：</w:t>
            </w:r>
          </w:p>
        </w:tc>
      </w:tr>
    </w:tbl>
    <w:p>
      <w:pPr>
        <w:pStyle w:val="2"/>
        <w:ind w:left="450" w:leftChars="114" w:hanging="211" w:hangingChars="100"/>
        <w:rPr>
          <w:rFonts w:ascii="宋体" w:hAnsi="宋体" w:cs="宋体"/>
          <w:b/>
          <w:bCs/>
          <w:szCs w:val="21"/>
        </w:rPr>
      </w:pPr>
      <w:r>
        <w:rPr>
          <w:rFonts w:hint="eastAsia" w:ascii="宋体" w:hAnsi="宋体" w:cs="宋体"/>
          <w:b/>
          <w:bCs/>
          <w:szCs w:val="21"/>
        </w:rPr>
        <w:t>注：供应商凭经采购单位审批的退付意见书到相关财务部办理履约保证金退付事宜。</w:t>
      </w:r>
    </w:p>
    <w:p>
      <w:pPr>
        <w:spacing w:before="120" w:line="320" w:lineRule="atLeast"/>
        <w:jc w:val="left"/>
        <w:outlineLvl w:val="1"/>
        <w:rPr>
          <w:rFonts w:ascii="宋体" w:hAnsi="宋体" w:cs="宋体"/>
          <w:b/>
          <w:bCs/>
          <w:kern w:val="0"/>
          <w:szCs w:val="21"/>
        </w:rPr>
      </w:pPr>
      <w:r>
        <w:rPr>
          <w:rFonts w:hint="eastAsia" w:ascii="宋体" w:hAnsi="宋体" w:cs="宋体"/>
          <w:b/>
          <w:sz w:val="32"/>
          <w:szCs w:val="32"/>
        </w:rPr>
        <w:br w:type="page"/>
      </w:r>
      <w:bookmarkStart w:id="181" w:name="_Toc22912"/>
      <w:bookmarkStart w:id="182" w:name="_Toc23934"/>
      <w:bookmarkStart w:id="183" w:name="_Toc15663"/>
      <w:bookmarkStart w:id="184" w:name="_Toc20567"/>
      <w:r>
        <w:rPr>
          <w:rFonts w:hint="eastAsia" w:ascii="宋体" w:hAnsi="宋体" w:cs="宋体"/>
          <w:b/>
          <w:bCs/>
          <w:kern w:val="0"/>
          <w:szCs w:val="21"/>
        </w:rPr>
        <w:t>合同附件2</w:t>
      </w:r>
      <w:bookmarkEnd w:id="181"/>
      <w:bookmarkEnd w:id="182"/>
      <w:bookmarkEnd w:id="183"/>
      <w:bookmarkEnd w:id="184"/>
    </w:p>
    <w:p>
      <w:pPr>
        <w:snapToGrid w:val="0"/>
        <w:spacing w:line="360" w:lineRule="exact"/>
        <w:jc w:val="center"/>
        <w:rPr>
          <w:rFonts w:ascii="宋体" w:hAnsi="宋体" w:cs="宋体"/>
          <w:b/>
          <w:bCs/>
          <w:szCs w:val="21"/>
        </w:rPr>
      </w:pPr>
    </w:p>
    <w:p>
      <w:pPr>
        <w:snapToGrid w:val="0"/>
        <w:spacing w:line="360" w:lineRule="exact"/>
        <w:jc w:val="center"/>
        <w:rPr>
          <w:rFonts w:ascii="宋体" w:hAnsi="宋体" w:cs="宋体"/>
          <w:b/>
          <w:bCs/>
          <w:szCs w:val="21"/>
        </w:rPr>
      </w:pPr>
      <w:r>
        <w:rPr>
          <w:rFonts w:hint="eastAsia" w:ascii="宋体" w:hAnsi="宋体" w:cs="宋体"/>
          <w:b/>
          <w:bCs/>
          <w:szCs w:val="21"/>
        </w:rPr>
        <w:t>履约验收方案</w:t>
      </w:r>
    </w:p>
    <w:p>
      <w:pPr>
        <w:widowControl/>
        <w:jc w:val="left"/>
        <w:rPr>
          <w:rFonts w:ascii="宋体" w:hAnsi="宋体" w:cs="宋体"/>
          <w:szCs w:val="21"/>
        </w:rPr>
      </w:pPr>
    </w:p>
    <w:p>
      <w:pPr>
        <w:pStyle w:val="20"/>
        <w:snapToGrid w:val="0"/>
        <w:jc w:val="center"/>
        <w:rPr>
          <w:rFonts w:hAnsi="宋体" w:cs="宋体"/>
          <w:b/>
          <w:sz w:val="24"/>
          <w:szCs w:val="24"/>
        </w:rPr>
      </w:pPr>
      <w:r>
        <w:rPr>
          <w:rFonts w:hint="eastAsia" w:hAnsi="宋体" w:cs="宋体"/>
          <w:b/>
          <w:sz w:val="24"/>
          <w:szCs w:val="24"/>
        </w:rPr>
        <w:t>【备注：本方案除无法确定的内容外，所有选项必须选择，所有空格必须填写内容】</w:t>
      </w:r>
    </w:p>
    <w:p>
      <w:pPr>
        <w:pStyle w:val="101"/>
        <w:ind w:firstLineChars="0"/>
        <w:rPr>
          <w:rFonts w:ascii="宋体" w:hAnsi="宋体" w:eastAsia="宋体" w:cs="宋体"/>
          <w:kern w:val="2"/>
          <w:sz w:val="21"/>
          <w:szCs w:val="21"/>
        </w:rPr>
      </w:pPr>
    </w:p>
    <w:p>
      <w:pPr>
        <w:spacing w:before="120" w:line="320" w:lineRule="exact"/>
        <w:jc w:val="left"/>
        <w:rPr>
          <w:rFonts w:ascii="宋体" w:hAnsi="宋体" w:cs="宋体"/>
          <w:b/>
          <w:bCs/>
          <w:szCs w:val="21"/>
        </w:rPr>
      </w:pPr>
      <w:r>
        <w:rPr>
          <w:rFonts w:hint="eastAsia" w:ascii="宋体" w:hAnsi="宋体" w:cs="宋体"/>
          <w:b/>
          <w:bCs/>
          <w:szCs w:val="21"/>
        </w:rPr>
        <w:t>1.履约验收工作参加人员</w:t>
      </w:r>
    </w:p>
    <w:p>
      <w:pPr>
        <w:spacing w:before="120" w:line="320" w:lineRule="exact"/>
        <w:jc w:val="left"/>
        <w:rPr>
          <w:rFonts w:ascii="宋体" w:hAnsi="宋体" w:cs="宋体"/>
          <w:szCs w:val="21"/>
        </w:rPr>
      </w:pPr>
      <w:r>
        <w:rPr>
          <w:rFonts w:hint="eastAsia" w:ascii="宋体" w:hAnsi="宋体" w:cs="宋体"/>
          <w:b/>
          <w:bCs/>
          <w:szCs w:val="21"/>
        </w:rPr>
        <w:t>1.1履约验收主体单位</w:t>
      </w:r>
    </w:p>
    <w:p>
      <w:pPr>
        <w:spacing w:before="120" w:line="320" w:lineRule="exact"/>
        <w:ind w:firstLine="420" w:firstLineChars="200"/>
        <w:jc w:val="left"/>
        <w:rPr>
          <w:rFonts w:ascii="宋体" w:hAnsi="宋体" w:cs="宋体"/>
          <w:szCs w:val="21"/>
          <w:u w:val="single"/>
        </w:rPr>
      </w:pPr>
      <w:r>
        <w:rPr>
          <w:rStyle w:val="38"/>
          <w:rFonts w:hint="eastAsia" w:ascii="宋体" w:hAnsi="宋体" w:cs="宋体"/>
          <w:u w:val="single"/>
        </w:rPr>
        <w:t>采购人</w:t>
      </w:r>
      <w:r>
        <w:rPr>
          <w:rStyle w:val="38"/>
          <w:rFonts w:hint="eastAsia" w:ascii="宋体" w:hAnsi="宋体" w:cs="宋体"/>
        </w:rPr>
        <w:t>（如委托第三方机构签订，应注明收费方式）</w:t>
      </w:r>
    </w:p>
    <w:p>
      <w:pPr>
        <w:spacing w:before="120" w:line="320" w:lineRule="exact"/>
        <w:jc w:val="left"/>
        <w:rPr>
          <w:rFonts w:ascii="宋体" w:hAnsi="宋体" w:cs="宋体"/>
          <w:szCs w:val="21"/>
        </w:rPr>
      </w:pPr>
      <w:r>
        <w:rPr>
          <w:rFonts w:hint="eastAsia" w:ascii="宋体" w:hAnsi="宋体" w:cs="宋体"/>
          <w:b/>
          <w:bCs/>
          <w:szCs w:val="21"/>
        </w:rPr>
        <w:t>1.2履约验收参加人员</w:t>
      </w:r>
    </w:p>
    <w:p>
      <w:pPr>
        <w:spacing w:before="120" w:line="320" w:lineRule="exact"/>
        <w:ind w:firstLine="420" w:firstLineChars="200"/>
        <w:jc w:val="left"/>
        <w:rPr>
          <w:rFonts w:ascii="宋体" w:hAnsi="宋体" w:cs="宋体"/>
          <w:szCs w:val="21"/>
          <w:u w:val="single"/>
        </w:rPr>
      </w:pPr>
      <w:r>
        <w:rPr>
          <w:rFonts w:hint="eastAsia" w:ascii="宋体" w:hAnsi="宋体" w:cs="宋体"/>
        </w:rPr>
        <w:t>采购人代表、委托机构代表、成交供应商代表及采购人邀请的其他人员</w:t>
      </w:r>
    </w:p>
    <w:p>
      <w:pPr>
        <w:spacing w:before="120" w:line="320" w:lineRule="exact"/>
        <w:jc w:val="left"/>
        <w:rPr>
          <w:rFonts w:ascii="宋体" w:hAnsi="宋体" w:cs="宋体"/>
          <w:b/>
          <w:bCs/>
          <w:szCs w:val="21"/>
        </w:rPr>
      </w:pPr>
      <w:r>
        <w:rPr>
          <w:rFonts w:hint="eastAsia" w:ascii="宋体" w:hAnsi="宋体" w:cs="宋体"/>
          <w:b/>
          <w:bCs/>
          <w:szCs w:val="21"/>
        </w:rPr>
        <w:t>2.履约验收时间</w:t>
      </w:r>
    </w:p>
    <w:p>
      <w:pPr>
        <w:spacing w:before="120" w:line="320" w:lineRule="exact"/>
        <w:jc w:val="left"/>
        <w:rPr>
          <w:rFonts w:ascii="宋体" w:hAnsi="宋体" w:cs="宋体"/>
          <w:szCs w:val="21"/>
        </w:rPr>
      </w:pPr>
      <w:r>
        <w:rPr>
          <w:rFonts w:hint="eastAsia" w:ascii="宋体" w:hAnsi="宋体" w:cs="宋体"/>
          <w:szCs w:val="21"/>
        </w:rPr>
        <w:t>20XX年XX月XX日</w:t>
      </w:r>
    </w:p>
    <w:p>
      <w:pPr>
        <w:spacing w:before="120" w:line="320" w:lineRule="exact"/>
        <w:jc w:val="left"/>
        <w:rPr>
          <w:rFonts w:ascii="宋体" w:hAnsi="宋体" w:cs="宋体"/>
          <w:b/>
          <w:bCs/>
          <w:szCs w:val="21"/>
        </w:rPr>
      </w:pPr>
      <w:r>
        <w:rPr>
          <w:rFonts w:hint="eastAsia" w:ascii="宋体" w:hAnsi="宋体" w:cs="宋体"/>
          <w:b/>
          <w:bCs/>
          <w:szCs w:val="21"/>
        </w:rPr>
        <w:t>3.履约验收地点</w:t>
      </w:r>
    </w:p>
    <w:p>
      <w:pPr>
        <w:spacing w:before="120" w:line="320" w:lineRule="exact"/>
        <w:jc w:val="left"/>
        <w:rPr>
          <w:rFonts w:ascii="宋体" w:hAnsi="宋体" w:cs="宋体"/>
          <w:szCs w:val="21"/>
        </w:rPr>
      </w:pPr>
      <w:r>
        <w:rPr>
          <w:rFonts w:hint="eastAsia" w:ascii="宋体" w:hAnsi="宋体" w:cs="宋体"/>
          <w:szCs w:val="21"/>
        </w:rPr>
        <w:t>XX市XX区XX路XX号</w:t>
      </w:r>
    </w:p>
    <w:p>
      <w:pPr>
        <w:spacing w:before="120" w:line="320" w:lineRule="exact"/>
        <w:jc w:val="left"/>
        <w:rPr>
          <w:rFonts w:ascii="宋体" w:hAnsi="宋体" w:cs="宋体"/>
          <w:b/>
          <w:bCs/>
          <w:szCs w:val="21"/>
        </w:rPr>
      </w:pPr>
      <w:r>
        <w:rPr>
          <w:rFonts w:hint="eastAsia" w:ascii="宋体" w:hAnsi="宋体" w:cs="宋体"/>
          <w:b/>
          <w:bCs/>
          <w:szCs w:val="21"/>
        </w:rPr>
        <w:t>4.履约验收方式</w:t>
      </w:r>
    </w:p>
    <w:p>
      <w:pPr>
        <w:spacing w:before="120" w:line="320" w:lineRule="exact"/>
        <w:jc w:val="left"/>
        <w:rPr>
          <w:rFonts w:ascii="宋体" w:hAnsi="宋体" w:cs="宋体"/>
          <w:b/>
          <w:bCs/>
          <w:szCs w:val="21"/>
          <w:u w:val="single"/>
        </w:rPr>
      </w:pPr>
      <w:r>
        <w:rPr>
          <w:rFonts w:hint="eastAsia" w:ascii="宋体" w:hAnsi="宋体" w:cs="宋体"/>
          <w:szCs w:val="21"/>
          <w:u w:val="single"/>
        </w:rPr>
        <w:t>采购人自行验收</w:t>
      </w:r>
    </w:p>
    <w:p>
      <w:pPr>
        <w:spacing w:before="120" w:line="320" w:lineRule="exact"/>
        <w:jc w:val="left"/>
        <w:rPr>
          <w:rFonts w:ascii="宋体" w:hAnsi="宋体" w:cs="宋体"/>
          <w:b/>
          <w:bCs/>
          <w:szCs w:val="21"/>
        </w:rPr>
      </w:pPr>
      <w:r>
        <w:rPr>
          <w:rFonts w:hint="eastAsia" w:ascii="宋体" w:hAnsi="宋体" w:cs="宋体"/>
          <w:b/>
          <w:bCs/>
          <w:szCs w:val="21"/>
        </w:rPr>
        <w:t>5.履约验收程序</w:t>
      </w:r>
    </w:p>
    <w:p>
      <w:pPr>
        <w:spacing w:before="120" w:line="320" w:lineRule="exact"/>
        <w:jc w:val="left"/>
        <w:rPr>
          <w:rFonts w:ascii="宋体" w:hAnsi="宋体" w:cs="宋体"/>
          <w:b/>
          <w:bCs/>
          <w:szCs w:val="21"/>
        </w:rPr>
      </w:pPr>
      <w:r>
        <w:rPr>
          <w:rFonts w:hint="eastAsia" w:ascii="宋体" w:hAnsi="宋体" w:cs="宋体"/>
          <w:b/>
          <w:bCs/>
          <w:szCs w:val="21"/>
        </w:rPr>
        <w:t>5.1成立验收小组</w:t>
      </w:r>
    </w:p>
    <w:p>
      <w:pPr>
        <w:spacing w:before="120" w:line="320" w:lineRule="exact"/>
        <w:jc w:val="left"/>
        <w:rPr>
          <w:rFonts w:ascii="宋体" w:hAnsi="宋体" w:cs="宋体"/>
          <w:b/>
          <w:bCs/>
          <w:szCs w:val="21"/>
        </w:rPr>
      </w:pPr>
      <w:r>
        <w:rPr>
          <w:rFonts w:hint="eastAsia" w:ascii="宋体" w:hAnsi="宋体" w:cs="宋体"/>
          <w:b/>
          <w:bCs/>
          <w:szCs w:val="21"/>
        </w:rPr>
        <w:t>5.2量化验收标准</w:t>
      </w:r>
    </w:p>
    <w:p>
      <w:pPr>
        <w:spacing w:before="120" w:line="320" w:lineRule="exact"/>
        <w:jc w:val="left"/>
        <w:rPr>
          <w:rFonts w:ascii="宋体" w:hAnsi="宋体" w:cs="宋体"/>
          <w:b/>
          <w:bCs/>
          <w:szCs w:val="21"/>
        </w:rPr>
      </w:pPr>
      <w:r>
        <w:rPr>
          <w:rFonts w:hint="eastAsia" w:ascii="宋体" w:hAnsi="宋体" w:cs="宋体"/>
          <w:b/>
          <w:bCs/>
          <w:szCs w:val="21"/>
        </w:rPr>
        <w:t>5.3组织验收</w:t>
      </w:r>
    </w:p>
    <w:p>
      <w:pPr>
        <w:spacing w:before="120" w:line="320" w:lineRule="exact"/>
        <w:jc w:val="left"/>
        <w:rPr>
          <w:rFonts w:ascii="宋体" w:hAnsi="宋体" w:cs="宋体"/>
          <w:b/>
          <w:bCs/>
          <w:szCs w:val="21"/>
        </w:rPr>
      </w:pPr>
      <w:r>
        <w:rPr>
          <w:rFonts w:hint="eastAsia" w:ascii="宋体" w:hAnsi="宋体" w:cs="宋体"/>
          <w:b/>
          <w:bCs/>
          <w:szCs w:val="21"/>
        </w:rPr>
        <w:t>5.4出具验收报告</w:t>
      </w:r>
    </w:p>
    <w:p>
      <w:pPr>
        <w:spacing w:before="120" w:line="320" w:lineRule="exact"/>
        <w:jc w:val="left"/>
        <w:rPr>
          <w:rFonts w:ascii="宋体" w:hAnsi="宋体" w:cs="宋体"/>
          <w:b/>
          <w:bCs/>
          <w:szCs w:val="21"/>
        </w:rPr>
      </w:pPr>
      <w:r>
        <w:rPr>
          <w:rFonts w:hint="eastAsia" w:ascii="宋体" w:hAnsi="宋体" w:cs="宋体"/>
          <w:b/>
          <w:bCs/>
          <w:szCs w:val="21"/>
        </w:rPr>
        <w:t>5.5验收结果公告</w:t>
      </w:r>
    </w:p>
    <w:p>
      <w:pPr>
        <w:spacing w:before="120" w:line="320" w:lineRule="exact"/>
        <w:jc w:val="left"/>
        <w:rPr>
          <w:rFonts w:ascii="宋体" w:hAnsi="宋体" w:cs="宋体"/>
          <w:b/>
          <w:bCs/>
          <w:szCs w:val="21"/>
        </w:rPr>
      </w:pPr>
      <w:r>
        <w:rPr>
          <w:rFonts w:hint="eastAsia" w:ascii="宋体" w:hAnsi="宋体" w:cs="宋体"/>
          <w:b/>
          <w:bCs/>
          <w:szCs w:val="21"/>
        </w:rPr>
        <w:t>5.6验收资料归档</w:t>
      </w:r>
    </w:p>
    <w:p>
      <w:pPr>
        <w:spacing w:before="120" w:line="320" w:lineRule="exact"/>
        <w:ind w:firstLine="420" w:firstLineChars="200"/>
        <w:jc w:val="left"/>
        <w:rPr>
          <w:rFonts w:ascii="宋体" w:hAnsi="宋体" w:cs="宋体"/>
          <w:szCs w:val="21"/>
        </w:rPr>
      </w:pPr>
      <w:r>
        <w:rPr>
          <w:rFonts w:hint="eastAsia" w:ascii="宋体" w:hAnsi="宋体" w:cs="宋体"/>
          <w:szCs w:val="21"/>
        </w:rPr>
        <w:t>采购合同项目完成验收后，采购人整理好验收原始记录、验收书等资料后妥善保管，不得变造、隐匿或者销毁，验收资料保存期为采购结束之日起至少保存15年。</w:t>
      </w:r>
    </w:p>
    <w:p>
      <w:pPr>
        <w:spacing w:before="120" w:line="320" w:lineRule="exact"/>
        <w:jc w:val="left"/>
        <w:rPr>
          <w:rFonts w:ascii="宋体" w:hAnsi="宋体" w:cs="宋体"/>
          <w:b/>
          <w:bCs/>
          <w:iCs/>
          <w:szCs w:val="21"/>
        </w:rPr>
      </w:pPr>
      <w:r>
        <w:rPr>
          <w:rFonts w:hint="eastAsia" w:ascii="宋体" w:hAnsi="宋体" w:cs="宋体"/>
          <w:b/>
          <w:bCs/>
          <w:szCs w:val="21"/>
        </w:rPr>
        <w:t>6.履约验收内容</w:t>
      </w:r>
    </w:p>
    <w:p>
      <w:pPr>
        <w:spacing w:before="120" w:line="320" w:lineRule="exact"/>
        <w:jc w:val="left"/>
        <w:rPr>
          <w:rFonts w:ascii="宋体" w:hAnsi="宋体" w:cs="宋体"/>
          <w:iCs/>
          <w:szCs w:val="21"/>
        </w:rPr>
      </w:pPr>
      <w:r>
        <w:rPr>
          <w:rFonts w:hint="eastAsia" w:ascii="宋体" w:hAnsi="宋体" w:cs="宋体"/>
          <w:b/>
          <w:bCs/>
          <w:szCs w:val="21"/>
        </w:rPr>
        <w:t>6.1商务验收内容</w:t>
      </w:r>
    </w:p>
    <w:p>
      <w:pPr>
        <w:spacing w:before="120" w:line="320" w:lineRule="exact"/>
        <w:ind w:firstLine="420" w:firstLineChars="200"/>
        <w:jc w:val="left"/>
        <w:rPr>
          <w:rFonts w:ascii="宋体" w:hAnsi="宋体" w:cs="宋体"/>
          <w:szCs w:val="21"/>
          <w:u w:val="single"/>
        </w:rPr>
      </w:pPr>
      <w:r>
        <w:rPr>
          <w:rFonts w:hint="eastAsia" w:ascii="宋体" w:hAnsi="宋体" w:cs="宋体"/>
          <w:szCs w:val="21"/>
        </w:rPr>
        <w:t>对采购标的交付的情况、财务和服务要求，包括交付（实施）的时间（期限）和地点（范围），付款条件（进度和方式），包装和运输，售后服务，保险等进行验收。</w:t>
      </w:r>
    </w:p>
    <w:p>
      <w:pPr>
        <w:spacing w:before="120" w:line="320" w:lineRule="exact"/>
        <w:jc w:val="left"/>
        <w:rPr>
          <w:rFonts w:ascii="宋体" w:hAnsi="宋体" w:cs="宋体"/>
          <w:iCs/>
          <w:szCs w:val="21"/>
        </w:rPr>
      </w:pPr>
      <w:r>
        <w:rPr>
          <w:rFonts w:hint="eastAsia" w:ascii="宋体" w:hAnsi="宋体" w:cs="宋体"/>
          <w:b/>
          <w:bCs/>
          <w:szCs w:val="21"/>
        </w:rPr>
        <w:t>6.2技术验收内容</w:t>
      </w:r>
    </w:p>
    <w:p>
      <w:pPr>
        <w:spacing w:before="120" w:line="320" w:lineRule="exact"/>
        <w:ind w:firstLine="420" w:firstLineChars="200"/>
        <w:jc w:val="left"/>
        <w:rPr>
          <w:rFonts w:ascii="宋体" w:hAnsi="宋体" w:cs="宋体"/>
          <w:szCs w:val="21"/>
          <w:u w:val="single"/>
        </w:rPr>
      </w:pPr>
      <w:r>
        <w:rPr>
          <w:rFonts w:hint="eastAsia" w:ascii="宋体" w:hAnsi="宋体" w:cs="宋体"/>
          <w:szCs w:val="21"/>
        </w:rPr>
        <w:t>对采购标的的功能和质量要求，包括性能、材料、结构、外观、安全，或者服务内容和标准等进行验收。</w:t>
      </w:r>
    </w:p>
    <w:p>
      <w:pPr>
        <w:spacing w:before="120" w:line="320" w:lineRule="exact"/>
        <w:jc w:val="left"/>
        <w:rPr>
          <w:rFonts w:ascii="宋体" w:hAnsi="宋体" w:cs="宋体"/>
          <w:b/>
          <w:bCs/>
          <w:szCs w:val="21"/>
        </w:rPr>
      </w:pPr>
      <w:r>
        <w:rPr>
          <w:rFonts w:hint="eastAsia" w:ascii="宋体" w:hAnsi="宋体" w:cs="宋体"/>
          <w:b/>
          <w:bCs/>
          <w:szCs w:val="21"/>
        </w:rPr>
        <w:t>7.履约验收标准</w:t>
      </w:r>
    </w:p>
    <w:p>
      <w:pPr>
        <w:pStyle w:val="101"/>
        <w:spacing w:before="120" w:line="320" w:lineRule="exact"/>
        <w:ind w:firstLine="420"/>
        <w:rPr>
          <w:rFonts w:ascii="宋体" w:hAnsi="宋体" w:eastAsia="宋体" w:cs="宋体"/>
          <w:sz w:val="21"/>
          <w:szCs w:val="21"/>
        </w:rPr>
      </w:pPr>
      <w:r>
        <w:rPr>
          <w:rFonts w:hint="eastAsia" w:ascii="宋体" w:hAnsi="宋体" w:eastAsia="宋体" w:cs="宋体"/>
          <w:sz w:val="21"/>
          <w:szCs w:val="21"/>
        </w:rPr>
        <w:t>验收标准：</w:t>
      </w:r>
    </w:p>
    <w:p>
      <w:pPr>
        <w:pStyle w:val="101"/>
        <w:spacing w:before="120" w:line="320" w:lineRule="exact"/>
        <w:ind w:firstLine="420"/>
        <w:rPr>
          <w:rFonts w:ascii="宋体" w:hAnsi="宋体" w:eastAsia="宋体" w:cs="宋体"/>
          <w:kern w:val="2"/>
          <w:sz w:val="21"/>
          <w:szCs w:val="21"/>
        </w:rPr>
      </w:pPr>
      <w:r>
        <w:rPr>
          <w:rFonts w:hint="eastAsia" w:ascii="宋体" w:hAnsi="宋体" w:eastAsia="宋体" w:cs="宋体"/>
          <w:kern w:val="2"/>
          <w:sz w:val="21"/>
          <w:szCs w:val="21"/>
        </w:rPr>
        <w:t>（1）中标（成交）供应商应提供完备的技术或服务资料、装箱单和合格证等，并派遣专业人员进行现场安装调试。验收合格条件如下：</w:t>
      </w:r>
    </w:p>
    <w:p>
      <w:pPr>
        <w:spacing w:before="120" w:line="320" w:lineRule="exact"/>
        <w:rPr>
          <w:rFonts w:ascii="宋体" w:hAnsi="宋体" w:cs="宋体"/>
          <w:szCs w:val="21"/>
        </w:rPr>
      </w:pPr>
      <w:r>
        <w:rPr>
          <w:rFonts w:hint="eastAsia" w:ascii="宋体" w:hAnsi="宋体" w:cs="宋体"/>
          <w:szCs w:val="21"/>
        </w:rPr>
        <w:t>服务技术参数与响应文件中响应表或证明材料一致，性能或指标达到规定的标准。否则，以实际服务技术参数与响应文件响应表参数或证明材料比较，按如下情况处理：</w:t>
      </w:r>
    </w:p>
    <w:p>
      <w:pPr>
        <w:spacing w:before="120" w:line="320" w:lineRule="exact"/>
        <w:rPr>
          <w:rFonts w:ascii="宋体" w:hAnsi="宋体" w:cs="宋体"/>
          <w:szCs w:val="21"/>
        </w:rPr>
      </w:pPr>
      <w:r>
        <w:rPr>
          <w:rFonts w:hint="eastAsia" w:ascii="宋体" w:hAnsi="宋体" w:cs="宋体"/>
          <w:szCs w:val="21"/>
        </w:rPr>
        <w:t>①供应商响应文件响应表或证明材料中满足或优于的技术参数，在验收时实际不满足技术参数要求的，视为供应商违约，采购人有权终止合同拒收服务成果，并追究供应商责任，同时报财政部门备案。</w:t>
      </w:r>
    </w:p>
    <w:p>
      <w:pPr>
        <w:spacing w:before="120" w:line="320" w:lineRule="exact"/>
        <w:rPr>
          <w:rFonts w:ascii="宋体" w:hAnsi="宋体" w:cs="宋体"/>
          <w:szCs w:val="21"/>
        </w:rPr>
      </w:pPr>
      <w:r>
        <w:rPr>
          <w:rFonts w:hint="eastAsia" w:ascii="宋体" w:hAnsi="宋体" w:cs="宋体"/>
          <w:szCs w:val="21"/>
        </w:rPr>
        <w:t>②供应商响应文件响应表或证明材料中优于的技术参数，在验收时实际仅满足并未优于技术参数要求的，视为供应商违约，采购人有权终止合同拒收服务成果，并追究供应商责任，同时报财政部门备案。</w:t>
      </w:r>
    </w:p>
    <w:p>
      <w:pPr>
        <w:spacing w:before="120" w:line="320" w:lineRule="exact"/>
        <w:rPr>
          <w:rFonts w:ascii="宋体" w:hAnsi="宋体" w:cs="宋体"/>
          <w:szCs w:val="21"/>
        </w:rPr>
      </w:pPr>
      <w:r>
        <w:rPr>
          <w:rFonts w:hint="eastAsia" w:ascii="宋体" w:hAnsi="宋体" w:cs="宋体"/>
          <w:szCs w:val="21"/>
        </w:rPr>
        <w:t xml:space="preserve">③供应商响应文件响应表或证明材料中不满足的技术参数，在验收时实际满足技术参数的要求，以满足技术参数的要求验收。 </w:t>
      </w:r>
    </w:p>
    <w:p>
      <w:pPr>
        <w:spacing w:before="120" w:line="320" w:lineRule="exact"/>
        <w:rPr>
          <w:rFonts w:ascii="宋体" w:hAnsi="宋体" w:cs="宋体"/>
          <w:szCs w:val="21"/>
        </w:rPr>
      </w:pPr>
      <w:r>
        <w:rPr>
          <w:rFonts w:hint="eastAsia" w:ascii="宋体" w:hAnsi="宋体" w:cs="宋体"/>
          <w:szCs w:val="21"/>
        </w:rPr>
        <w:t>④供应商响应文件响应表或证明材料中满足的技术参数，在验收时实际优于技术参数的要求，以满足技术参数的要求验收。</w:t>
      </w:r>
    </w:p>
    <w:p>
      <w:pPr>
        <w:spacing w:before="120" w:line="320" w:lineRule="exact"/>
        <w:rPr>
          <w:rFonts w:ascii="宋体" w:hAnsi="宋体" w:cs="宋体"/>
          <w:szCs w:val="21"/>
        </w:rPr>
      </w:pPr>
      <w:r>
        <w:rPr>
          <w:rFonts w:hint="eastAsia" w:ascii="宋体" w:hAnsi="宋体" w:cs="宋体"/>
          <w:szCs w:val="21"/>
        </w:rPr>
        <w:t>⑤供应商响应文件响应表或证明材料中优于的技术参数，在验收时实际也优于技术参数的要求，但没有达到响应表或证明材料中优于的程度，由采购人与供应商协商按是否满足要求验收。</w:t>
      </w:r>
    </w:p>
    <w:p>
      <w:pPr>
        <w:spacing w:before="120" w:line="320" w:lineRule="exact"/>
        <w:ind w:firstLine="420" w:firstLineChars="200"/>
        <w:jc w:val="left"/>
        <w:rPr>
          <w:rFonts w:ascii="宋体" w:hAnsi="宋体" w:cs="宋体"/>
          <w:szCs w:val="21"/>
        </w:rPr>
      </w:pPr>
      <w:r>
        <w:rPr>
          <w:rFonts w:hint="eastAsia" w:ascii="宋体" w:hAnsi="宋体" w:cs="宋体"/>
          <w:szCs w:val="21"/>
        </w:rPr>
        <w:t>（1）在测试或试运行期间所出现的问题得到解决，并运行或工作正常。</w:t>
      </w:r>
    </w:p>
    <w:p>
      <w:pPr>
        <w:spacing w:before="120" w:line="320" w:lineRule="exact"/>
        <w:ind w:firstLine="420" w:firstLineChars="200"/>
        <w:jc w:val="left"/>
        <w:rPr>
          <w:rFonts w:ascii="宋体" w:hAnsi="宋体" w:cs="宋体"/>
          <w:szCs w:val="21"/>
        </w:rPr>
      </w:pPr>
      <w:r>
        <w:rPr>
          <w:rFonts w:hint="eastAsia" w:ascii="宋体" w:hAnsi="宋体" w:cs="宋体"/>
          <w:szCs w:val="21"/>
        </w:rPr>
        <w:t>（2）在规定时间内完成交付及验收，并经采购人确认。</w:t>
      </w:r>
    </w:p>
    <w:p>
      <w:pPr>
        <w:spacing w:before="120" w:line="320" w:lineRule="exact"/>
        <w:ind w:firstLine="420" w:firstLineChars="200"/>
        <w:jc w:val="left"/>
        <w:rPr>
          <w:rFonts w:ascii="宋体" w:hAnsi="宋体" w:cs="宋体"/>
          <w:szCs w:val="21"/>
        </w:rPr>
      </w:pPr>
      <w:r>
        <w:rPr>
          <w:rFonts w:hint="eastAsia" w:ascii="宋体" w:hAnsi="宋体" w:cs="宋体"/>
          <w:szCs w:val="21"/>
        </w:rPr>
        <w:t>（3）服务在安装调试并试运行符合要求后，才作为最终验收。</w:t>
      </w:r>
    </w:p>
    <w:p>
      <w:pPr>
        <w:spacing w:before="120" w:line="320" w:lineRule="exact"/>
        <w:ind w:firstLine="420" w:firstLineChars="200"/>
        <w:jc w:val="left"/>
        <w:rPr>
          <w:rFonts w:ascii="宋体" w:hAnsi="宋体" w:cs="宋体"/>
          <w:szCs w:val="21"/>
        </w:rPr>
      </w:pPr>
      <w:r>
        <w:rPr>
          <w:rFonts w:hint="eastAsia" w:ascii="宋体" w:hAnsi="宋体" w:cs="宋体"/>
          <w:szCs w:val="21"/>
        </w:rPr>
        <w:t>（4）成交供应商提供的服务未达到采购文件规定要求，且对采购人造成损失的，由成交供应商承担一切责任，并赔偿所造成的损失。</w:t>
      </w:r>
    </w:p>
    <w:p>
      <w:pPr>
        <w:spacing w:before="120" w:line="320" w:lineRule="exact"/>
        <w:ind w:firstLine="420" w:firstLineChars="200"/>
        <w:jc w:val="left"/>
        <w:rPr>
          <w:rFonts w:ascii="宋体" w:hAnsi="宋体" w:cs="宋体"/>
          <w:szCs w:val="21"/>
        </w:rPr>
      </w:pPr>
      <w:r>
        <w:rPr>
          <w:rFonts w:hint="eastAsia" w:ascii="宋体" w:hAnsi="宋体" w:cs="宋体"/>
          <w:szCs w:val="21"/>
        </w:rPr>
        <w:t>（5）政府采购合同约定的其他要求及响应文件响应的其他标准。</w:t>
      </w:r>
    </w:p>
    <w:p>
      <w:pPr>
        <w:spacing w:before="120" w:line="320" w:lineRule="exact"/>
        <w:ind w:firstLine="422" w:firstLineChars="200"/>
        <w:jc w:val="left"/>
        <w:rPr>
          <w:rFonts w:ascii="宋体" w:hAnsi="宋体" w:cs="宋体"/>
          <w:b/>
          <w:bCs/>
          <w:szCs w:val="21"/>
        </w:rPr>
      </w:pPr>
      <w:r>
        <w:rPr>
          <w:rFonts w:hint="eastAsia" w:ascii="宋体" w:hAnsi="宋体" w:cs="宋体"/>
          <w:b/>
          <w:bCs/>
          <w:szCs w:val="21"/>
        </w:rPr>
        <w:t>8.履约验收其他事项</w:t>
      </w:r>
    </w:p>
    <w:p>
      <w:pPr>
        <w:spacing w:before="120" w:line="320" w:lineRule="exact"/>
        <w:ind w:firstLine="420" w:firstLineChars="200"/>
        <w:jc w:val="left"/>
        <w:rPr>
          <w:rFonts w:ascii="宋体" w:hAnsi="宋体" w:cs="宋体"/>
          <w:szCs w:val="21"/>
        </w:rPr>
      </w:pPr>
      <w:r>
        <w:rPr>
          <w:rFonts w:hint="eastAsia" w:ascii="宋体" w:hAnsi="宋体" w:cs="宋体"/>
          <w:szCs w:val="21"/>
        </w:rPr>
        <w:t>无</w:t>
      </w:r>
    </w:p>
    <w:p>
      <w:pPr>
        <w:spacing w:before="120" w:line="320" w:lineRule="exact"/>
        <w:rPr>
          <w:rFonts w:ascii="宋体" w:hAnsi="宋体" w:cs="宋体"/>
          <w:szCs w:val="21"/>
          <w:u w:val="single"/>
        </w:rPr>
      </w:pPr>
      <w:r>
        <w:rPr>
          <w:rFonts w:hint="eastAsia" w:ascii="宋体" w:hAnsi="宋体" w:cs="宋体"/>
          <w:szCs w:val="21"/>
          <w:u w:val="single"/>
        </w:rPr>
        <w:br w:type="page"/>
      </w:r>
    </w:p>
    <w:p>
      <w:pPr>
        <w:snapToGrid w:val="0"/>
        <w:spacing w:line="360" w:lineRule="exact"/>
        <w:jc w:val="center"/>
        <w:rPr>
          <w:rFonts w:ascii="宋体" w:hAnsi="宋体" w:cs="宋体"/>
          <w:b/>
          <w:bCs/>
          <w:szCs w:val="21"/>
        </w:rPr>
      </w:pPr>
      <w:r>
        <w:rPr>
          <w:rFonts w:hint="eastAsia" w:ascii="宋体" w:hAnsi="宋体" w:cs="宋体"/>
          <w:b/>
          <w:bCs/>
          <w:szCs w:val="21"/>
        </w:rPr>
        <w:t>广西壮族自治区政府采购项目合同验收书</w:t>
      </w:r>
    </w:p>
    <w:p>
      <w:pPr>
        <w:widowControl/>
        <w:snapToGrid w:val="0"/>
        <w:spacing w:before="100" w:beforeAutospacing="1" w:after="100" w:afterAutospacing="1" w:line="320" w:lineRule="exact"/>
        <w:ind w:left="-359" w:leftChars="-171" w:firstLine="420" w:firstLineChars="200"/>
        <w:jc w:val="left"/>
        <w:rPr>
          <w:rFonts w:ascii="宋体" w:hAnsi="宋体" w:cs="宋体"/>
          <w:kern w:val="0"/>
          <w:szCs w:val="21"/>
        </w:rPr>
      </w:pPr>
      <w:r>
        <w:rPr>
          <w:rFonts w:hint="eastAsia" w:ascii="宋体" w:hAnsi="宋体" w:cs="宋体"/>
          <w:kern w:val="0"/>
          <w:szCs w:val="21"/>
        </w:rPr>
        <w:t>根据政府采购项目（</w:t>
      </w:r>
      <w:r>
        <w:rPr>
          <w:rFonts w:hint="eastAsia" w:ascii="宋体" w:hAnsi="宋体" w:cs="宋体"/>
          <w:kern w:val="0"/>
          <w:szCs w:val="21"/>
          <w:u w:val="single"/>
        </w:rPr>
        <w:t>采购合同编号：</w:t>
      </w:r>
      <w:r>
        <w:rPr>
          <w:rFonts w:hint="eastAsia" w:ascii="宋体" w:hAnsi="宋体" w:cs="宋体"/>
          <w:szCs w:val="21"/>
          <w:u w:val="single"/>
        </w:rPr>
        <w:t>GXZC20XX-XX-XXXXX-JDZB</w:t>
      </w:r>
      <w:r>
        <w:rPr>
          <w:rFonts w:hint="eastAsia" w:ascii="宋体" w:hAnsi="宋体" w:cs="宋体"/>
          <w:kern w:val="0"/>
          <w:szCs w:val="21"/>
        </w:rPr>
        <w:t>）的约定，我单位对（</w:t>
      </w:r>
      <w:r>
        <w:rPr>
          <w:rFonts w:hint="eastAsia" w:ascii="宋体" w:hAnsi="宋体" w:cs="宋体"/>
          <w:szCs w:val="21"/>
          <w:u w:val="single"/>
        </w:rPr>
        <w:t>XXXX采购项目</w:t>
      </w:r>
      <w:r>
        <w:rPr>
          <w:rFonts w:hint="eastAsia" w:ascii="宋体" w:hAnsi="宋体" w:cs="宋体"/>
          <w:kern w:val="0"/>
          <w:szCs w:val="21"/>
        </w:rPr>
        <w:t>）政府采购项目中标（或成交）供应商</w:t>
      </w:r>
      <w:r>
        <w:rPr>
          <w:rFonts w:hint="eastAsia" w:ascii="宋体" w:hAnsi="宋体" w:cs="宋体"/>
          <w:kern w:val="0"/>
          <w:szCs w:val="21"/>
          <w:u w:val="single"/>
        </w:rPr>
        <w:t>XX公司（填写供应商名称）</w:t>
      </w:r>
      <w:r>
        <w:rPr>
          <w:rFonts w:hint="eastAsia" w:ascii="宋体" w:hAnsi="宋体" w:cs="宋体"/>
          <w:kern w:val="0"/>
          <w:szCs w:val="21"/>
        </w:rPr>
        <w:t>提供的服务（或工程、货物）进行了验收，验收情况如下：</w:t>
      </w:r>
    </w:p>
    <w:tbl>
      <w:tblPr>
        <w:tblStyle w:val="32"/>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 w:firstLineChars="2"/>
              <w:jc w:val="center"/>
              <w:rPr>
                <w:rFonts w:ascii="宋体" w:hAnsi="宋体" w:cs="宋体"/>
                <w:kern w:val="0"/>
                <w:szCs w:val="21"/>
              </w:rPr>
            </w:pPr>
            <w:r>
              <w:rPr>
                <w:rFonts w:hint="eastAsia" w:ascii="宋体" w:hAnsi="宋体" w:cs="宋体"/>
                <w:kern w:val="0"/>
                <w:szCs w:val="21"/>
              </w:rPr>
              <w:t>验收方式：</w:t>
            </w:r>
          </w:p>
        </w:tc>
        <w:tc>
          <w:tcPr>
            <w:tcW w:w="7123" w:type="dxa"/>
            <w:gridSpan w:val="5"/>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20" w:firstLineChars="200"/>
              <w:jc w:val="center"/>
              <w:rPr>
                <w:rFonts w:ascii="宋体" w:hAnsi="宋体" w:cs="宋体"/>
                <w:kern w:val="0"/>
                <w:szCs w:val="21"/>
              </w:rPr>
            </w:pPr>
            <w:r>
              <w:rPr>
                <w:rFonts w:hint="eastAsia" w:ascii="宋体" w:hAnsi="宋体" w:cs="宋体"/>
                <w:szCs w:val="21"/>
              </w:rPr>
              <w:t>□</w:t>
            </w:r>
            <w:r>
              <w:rPr>
                <w:rFonts w:hint="eastAsia" w:ascii="宋体" w:hAnsi="宋体" w:cs="宋体"/>
                <w:kern w:val="0"/>
                <w:szCs w:val="21"/>
              </w:rPr>
              <w:t>自行验收        </w:t>
            </w:r>
            <w:r>
              <w:rPr>
                <w:rFonts w:hint="eastAsia" w:ascii="宋体" w:hAnsi="宋体" w:cs="宋体"/>
                <w:szCs w:val="21"/>
              </w:rPr>
              <w:sym w:font="Wingdings 2" w:char="00A3"/>
            </w:r>
            <w:r>
              <w:rPr>
                <w:rFonts w:hint="eastAsia" w:ascii="宋体" w:hAnsi="宋体" w:cs="宋体"/>
                <w:kern w:val="0"/>
                <w:szCs w:val="21"/>
              </w:rPr>
              <w:t>委托验收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firstLine="2" w:firstLineChars="1"/>
              <w:jc w:val="center"/>
              <w:rPr>
                <w:rFonts w:ascii="宋体" w:hAnsi="宋体" w:cs="宋体"/>
                <w:kern w:val="0"/>
                <w:szCs w:val="21"/>
              </w:rPr>
            </w:pPr>
            <w:r>
              <w:rPr>
                <w:rFonts w:hint="eastAsia" w:ascii="宋体" w:hAnsi="宋体" w:cs="宋体"/>
                <w:kern w:val="0"/>
                <w:szCs w:val="21"/>
              </w:rPr>
              <w:t>序号</w:t>
            </w:r>
          </w:p>
        </w:tc>
        <w:tc>
          <w:tcPr>
            <w:tcW w:w="1843"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2" w:firstLineChars="1"/>
              <w:jc w:val="center"/>
              <w:rPr>
                <w:rFonts w:ascii="宋体" w:hAnsi="宋体" w:cs="宋体"/>
                <w:kern w:val="0"/>
                <w:szCs w:val="21"/>
              </w:rPr>
            </w:pPr>
            <w:r>
              <w:rPr>
                <w:rFonts w:hint="eastAsia" w:ascii="宋体" w:hAnsi="宋体" w:cs="宋体"/>
                <w:kern w:val="0"/>
                <w:szCs w:val="21"/>
              </w:rPr>
              <w:t>名  称</w:t>
            </w:r>
          </w:p>
        </w:tc>
        <w:tc>
          <w:tcPr>
            <w:tcW w:w="3871"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2" w:firstLineChars="1"/>
              <w:jc w:val="center"/>
              <w:rPr>
                <w:rFonts w:ascii="宋体" w:hAnsi="宋体" w:cs="宋体"/>
                <w:kern w:val="0"/>
                <w:szCs w:val="21"/>
              </w:rPr>
            </w:pPr>
            <w:r>
              <w:rPr>
                <w:rFonts w:hint="eastAsia" w:ascii="宋体" w:hAnsi="宋体" w:cs="宋体"/>
                <w:kern w:val="0"/>
                <w:szCs w:val="21"/>
              </w:rPr>
              <w:t>服务内容、标准等</w:t>
            </w:r>
          </w:p>
        </w:tc>
        <w:tc>
          <w:tcPr>
            <w:tcW w:w="850"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jc w:val="center"/>
              <w:rPr>
                <w:rFonts w:ascii="宋体" w:hAnsi="宋体" w:cs="宋体"/>
                <w:kern w:val="0"/>
                <w:szCs w:val="21"/>
              </w:rPr>
            </w:pPr>
            <w:r>
              <w:rPr>
                <w:rFonts w:hint="eastAsia" w:ascii="宋体" w:hAnsi="宋体" w:cs="宋体"/>
                <w:kern w:val="0"/>
                <w:szCs w:val="21"/>
              </w:rPr>
              <w:t>数量</w:t>
            </w:r>
          </w:p>
        </w:tc>
        <w:tc>
          <w:tcPr>
            <w:tcW w:w="2402"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2" w:firstLineChars="1"/>
              <w:jc w:val="center"/>
              <w:rPr>
                <w:rFonts w:ascii="宋体" w:hAnsi="宋体" w:cs="宋体"/>
                <w:kern w:val="0"/>
                <w:szCs w:val="21"/>
              </w:rPr>
            </w:pPr>
            <w:r>
              <w:rPr>
                <w:rFonts w:hint="eastAsia" w:ascii="宋体" w:hAnsi="宋体" w:cs="宋体"/>
                <w:kern w:val="0"/>
                <w:szCs w:val="21"/>
              </w:rPr>
              <w:t>金  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 w:firstLineChars="2"/>
              <w:jc w:val="center"/>
              <w:rPr>
                <w:rFonts w:ascii="宋体" w:hAnsi="宋体" w:cs="宋体"/>
                <w:kern w:val="0"/>
                <w:szCs w:val="21"/>
              </w:rPr>
            </w:pPr>
            <w:r>
              <w:rPr>
                <w:rFonts w:hint="eastAsia" w:ascii="宋体" w:hAnsi="宋体" w:cs="宋体"/>
                <w:kern w:val="0"/>
                <w:szCs w:val="21"/>
              </w:rPr>
              <w:t>1</w:t>
            </w:r>
          </w:p>
        </w:tc>
        <w:tc>
          <w:tcPr>
            <w:tcW w:w="1843"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left="-3" w:firstLine="420" w:firstLineChars="200"/>
              <w:jc w:val="left"/>
              <w:rPr>
                <w:rFonts w:ascii="宋体" w:hAnsi="宋体" w:cs="宋体"/>
                <w:kern w:val="0"/>
                <w:szCs w:val="21"/>
              </w:rPr>
            </w:pPr>
            <w:r>
              <w:rPr>
                <w:rFonts w:hint="eastAsia" w:ascii="宋体" w:hAnsi="宋体" w:cs="宋体"/>
                <w:kern w:val="0"/>
                <w:szCs w:val="21"/>
              </w:rPr>
              <w:t>XXXX设备</w:t>
            </w:r>
          </w:p>
        </w:tc>
        <w:tc>
          <w:tcPr>
            <w:tcW w:w="3871" w:type="dxa"/>
            <w:gridSpan w:val="2"/>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rPr>
                <w:rFonts w:ascii="宋体" w:hAnsi="宋体" w:eastAsia="宋体" w:cs="宋体"/>
                <w:szCs w:val="21"/>
              </w:rPr>
            </w:pPr>
          </w:p>
        </w:tc>
        <w:tc>
          <w:tcPr>
            <w:tcW w:w="850"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jc w:val="center"/>
              <w:rPr>
                <w:rFonts w:ascii="宋体" w:hAnsi="宋体" w:cs="宋体"/>
                <w:kern w:val="0"/>
                <w:szCs w:val="21"/>
              </w:rPr>
            </w:pPr>
            <w:r>
              <w:rPr>
                <w:rFonts w:hint="eastAsia" w:ascii="宋体" w:hAnsi="宋体" w:cs="宋体"/>
                <w:kern w:val="0"/>
                <w:szCs w:val="21"/>
              </w:rPr>
              <w:t>1套</w:t>
            </w:r>
          </w:p>
        </w:tc>
        <w:tc>
          <w:tcPr>
            <w:tcW w:w="2402" w:type="dxa"/>
            <w:gridSpan w:val="2"/>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jc w:val="center"/>
              <w:rPr>
                <w:rFonts w:ascii="宋体" w:hAnsi="宋体" w:eastAsia="宋体" w:cs="宋体"/>
                <w:szCs w:val="21"/>
              </w:rPr>
            </w:pPr>
            <w:r>
              <w:rPr>
                <w:rFonts w:hint="eastAsia" w:ascii="宋体" w:hAnsi="宋体" w:eastAsia="宋体" w:cs="宋体"/>
                <w:szCs w:val="21"/>
              </w:rPr>
              <w:t>¥0.00元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jc w:val="center"/>
              <w:rPr>
                <w:rFonts w:ascii="宋体" w:hAnsi="宋体" w:eastAsia="宋体" w:cs="宋体"/>
                <w:szCs w:val="21"/>
              </w:rPr>
            </w:pPr>
            <w:r>
              <w:rPr>
                <w:rFonts w:hint="eastAsia" w:ascii="宋体" w:hAnsi="宋体" w:eastAsia="宋体" w:cs="宋体"/>
                <w:szCs w:val="21"/>
              </w:rPr>
              <w:t>合 计</w:t>
            </w:r>
          </w:p>
        </w:tc>
        <w:tc>
          <w:tcPr>
            <w:tcW w:w="850" w:type="dxa"/>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jc w:val="center"/>
              <w:rPr>
                <w:rFonts w:ascii="宋体" w:hAnsi="宋体" w:cs="宋体"/>
                <w:kern w:val="0"/>
                <w:szCs w:val="21"/>
              </w:rPr>
            </w:pPr>
          </w:p>
        </w:tc>
        <w:tc>
          <w:tcPr>
            <w:tcW w:w="2402" w:type="dxa"/>
            <w:gridSpan w:val="2"/>
            <w:tcBorders>
              <w:top w:val="single" w:color="auto" w:sz="8" w:space="0"/>
              <w:left w:val="single" w:color="auto" w:sz="8" w:space="0"/>
              <w:bottom w:val="single" w:color="auto" w:sz="8" w:space="0"/>
              <w:right w:val="single" w:color="auto" w:sz="8" w:space="0"/>
            </w:tcBorders>
            <w:noWrap/>
            <w:vAlign w:val="center"/>
          </w:tcPr>
          <w:p>
            <w:pPr>
              <w:pStyle w:val="102"/>
              <w:spacing w:before="120" w:after="120"/>
              <w:ind w:firstLine="0" w:firstLineChars="0"/>
              <w:jc w:val="center"/>
              <w:rPr>
                <w:rFonts w:ascii="宋体" w:hAnsi="宋体" w:eastAsia="宋体" w:cs="宋体"/>
                <w:szCs w:val="21"/>
              </w:rPr>
            </w:pPr>
            <w:r>
              <w:rPr>
                <w:rFonts w:hint="eastAsia" w:ascii="宋体" w:hAnsi="宋体" w:eastAsia="宋体" w:cs="宋体"/>
                <w:szCs w:val="21"/>
              </w:rPr>
              <w:t>¥0.00元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firstLine="2" w:firstLineChars="1"/>
              <w:jc w:val="left"/>
              <w:rPr>
                <w:rFonts w:ascii="宋体" w:hAnsi="宋体" w:cs="宋体"/>
                <w:kern w:val="0"/>
                <w:szCs w:val="21"/>
              </w:rPr>
            </w:pPr>
            <w:r>
              <w:rPr>
                <w:rFonts w:hint="eastAsia" w:ascii="宋体" w:hAnsi="宋体" w:cs="宋体"/>
                <w:kern w:val="0"/>
                <w:szCs w:val="21"/>
              </w:rPr>
              <w:t>合计大写金额：人民币元整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noWrap/>
            <w:vAlign w:val="center"/>
          </w:tcPr>
          <w:p>
            <w:pPr>
              <w:widowControl/>
              <w:snapToGrid w:val="0"/>
              <w:spacing w:before="100" w:beforeAutospacing="1" w:after="100" w:afterAutospacing="1" w:line="320" w:lineRule="exact"/>
              <w:ind w:firstLine="2" w:firstLineChars="1"/>
              <w:jc w:val="left"/>
              <w:rPr>
                <w:rFonts w:ascii="宋体" w:hAnsi="宋体" w:cs="宋体"/>
                <w:kern w:val="0"/>
                <w:szCs w:val="21"/>
              </w:rPr>
            </w:pPr>
            <w:r>
              <w:rPr>
                <w:rFonts w:hint="eastAsia" w:ascii="宋体" w:hAnsi="宋体" w:cs="宋体"/>
                <w:kern w:val="0"/>
                <w:szCs w:val="21"/>
              </w:rPr>
              <w:t>实际交付日期</w:t>
            </w:r>
          </w:p>
        </w:tc>
        <w:tc>
          <w:tcPr>
            <w:tcW w:w="3240" w:type="dxa"/>
            <w:gridSpan w:val="2"/>
            <w:tcBorders>
              <w:top w:val="single" w:color="auto" w:sz="8" w:space="0"/>
              <w:left w:val="single" w:color="auto" w:sz="8" w:space="0"/>
              <w:bottom w:val="single" w:color="auto" w:sz="8" w:space="0"/>
              <w:right w:val="single" w:color="auto" w:sz="8" w:space="0"/>
            </w:tcBorders>
            <w:noWrap/>
            <w:vAlign w:val="center"/>
          </w:tcPr>
          <w:p>
            <w:pPr>
              <w:snapToGrid w:val="0"/>
              <w:spacing w:before="100" w:beforeAutospacing="1" w:after="100" w:afterAutospacing="1" w:line="320" w:lineRule="exact"/>
              <w:ind w:firstLine="420" w:firstLineChars="200"/>
              <w:jc w:val="left"/>
              <w:rPr>
                <w:rFonts w:ascii="宋体" w:hAnsi="宋体" w:cs="宋体"/>
                <w:kern w:val="0"/>
                <w:szCs w:val="21"/>
              </w:rPr>
            </w:pPr>
            <w:r>
              <w:rPr>
                <w:rFonts w:hint="eastAsia" w:ascii="宋体" w:hAnsi="宋体" w:cs="宋体"/>
                <w:kern w:val="0"/>
                <w:szCs w:val="21"/>
              </w:rPr>
              <w:t>20  年  月  日</w:t>
            </w:r>
          </w:p>
        </w:tc>
        <w:tc>
          <w:tcPr>
            <w:tcW w:w="2700" w:type="dxa"/>
            <w:gridSpan w:val="3"/>
            <w:tcBorders>
              <w:top w:val="single" w:color="auto" w:sz="8" w:space="0"/>
              <w:left w:val="single" w:color="auto" w:sz="8" w:space="0"/>
              <w:bottom w:val="single" w:color="auto" w:sz="8" w:space="0"/>
              <w:right w:val="single" w:color="auto" w:sz="8" w:space="0"/>
            </w:tcBorders>
            <w:noWrap/>
            <w:vAlign w:val="center"/>
          </w:tcPr>
          <w:p>
            <w:pPr>
              <w:snapToGrid w:val="0"/>
              <w:spacing w:before="100" w:beforeAutospacing="1" w:after="100" w:afterAutospacing="1" w:line="320" w:lineRule="exact"/>
              <w:ind w:firstLine="39" w:firstLineChars="19"/>
              <w:jc w:val="center"/>
              <w:rPr>
                <w:rFonts w:ascii="宋体" w:hAnsi="宋体" w:cs="宋体"/>
                <w:kern w:val="0"/>
                <w:szCs w:val="21"/>
              </w:rPr>
            </w:pPr>
            <w:r>
              <w:rPr>
                <w:rFonts w:hint="eastAsia" w:ascii="宋体" w:hAnsi="宋体" w:cs="宋体"/>
                <w:kern w:val="0"/>
                <w:szCs w:val="21"/>
              </w:rPr>
              <w:t>合同交付验收日期</w:t>
            </w:r>
          </w:p>
        </w:tc>
        <w:tc>
          <w:tcPr>
            <w:tcW w:w="2160" w:type="dxa"/>
            <w:tcBorders>
              <w:top w:val="single" w:color="auto" w:sz="8" w:space="0"/>
              <w:left w:val="single" w:color="auto" w:sz="8" w:space="0"/>
              <w:bottom w:val="single" w:color="auto" w:sz="8" w:space="0"/>
              <w:right w:val="single" w:color="auto" w:sz="8" w:space="0"/>
            </w:tcBorders>
            <w:noWrap/>
            <w:vAlign w:val="center"/>
          </w:tcPr>
          <w:p>
            <w:pPr>
              <w:snapToGrid w:val="0"/>
              <w:spacing w:before="100" w:beforeAutospacing="1" w:after="100" w:afterAutospacing="1" w:line="320" w:lineRule="exact"/>
              <w:ind w:firstLine="420" w:firstLineChars="200"/>
              <w:jc w:val="left"/>
              <w:rPr>
                <w:rFonts w:ascii="宋体" w:hAnsi="宋体" w:cs="宋体"/>
                <w:kern w:val="0"/>
                <w:szCs w:val="21"/>
              </w:rPr>
            </w:pPr>
            <w:r>
              <w:rPr>
                <w:rFonts w:hint="eastAsia" w:ascii="宋体" w:hAnsi="宋体" w:cs="宋体"/>
                <w:kern w:val="0"/>
                <w:szCs w:val="21"/>
              </w:rPr>
              <w:t>20  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napToGrid w:val="0"/>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验收具体内容</w:t>
            </w:r>
          </w:p>
        </w:tc>
        <w:tc>
          <w:tcPr>
            <w:tcW w:w="8100" w:type="dxa"/>
            <w:gridSpan w:val="6"/>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pStyle w:val="102"/>
              <w:spacing w:before="120" w:after="120"/>
              <w:ind w:firstLine="0" w:firstLineChars="0"/>
              <w:rPr>
                <w:rFonts w:ascii="宋体" w:hAnsi="宋体" w:eastAsia="宋体" w:cs="宋体"/>
                <w:szCs w:val="21"/>
              </w:rPr>
            </w:pPr>
            <w:r>
              <w:rPr>
                <w:rFonts w:hint="eastAsia" w:ascii="宋体" w:hAnsi="宋体" w:eastAsia="宋体" w:cs="宋体"/>
                <w:szCs w:val="21"/>
              </w:rPr>
              <w:t>中标人所提供服务的内容满足采购合同约定的要求、标准。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验收小组意见</w:t>
            </w:r>
          </w:p>
        </w:tc>
        <w:tc>
          <w:tcPr>
            <w:tcW w:w="8100" w:type="dxa"/>
            <w:gridSpan w:val="6"/>
            <w:tcBorders>
              <w:top w:val="single" w:color="auto" w:sz="8" w:space="0"/>
              <w:left w:val="single" w:color="auto" w:sz="8" w:space="0"/>
              <w:bottom w:val="single" w:color="auto" w:sz="4" w:space="0"/>
              <w:right w:val="single" w:color="auto" w:sz="8" w:space="0"/>
            </w:tcBorders>
            <w:noWrap/>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验收结论性意见：同意（不同意）通过项目验收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noWrap/>
            <w:vAlign w:val="center"/>
          </w:tcPr>
          <w:p>
            <w:pPr>
              <w:widowControl/>
              <w:spacing w:line="320" w:lineRule="exact"/>
              <w:jc w:val="left"/>
              <w:rPr>
                <w:rFonts w:ascii="宋体" w:hAnsi="宋体" w:cs="宋体"/>
                <w:kern w:val="0"/>
                <w:szCs w:val="21"/>
              </w:rPr>
            </w:pPr>
          </w:p>
        </w:tc>
        <w:tc>
          <w:tcPr>
            <w:tcW w:w="8100" w:type="dxa"/>
            <w:gridSpan w:val="6"/>
            <w:tcBorders>
              <w:top w:val="single" w:color="auto" w:sz="4" w:space="0"/>
              <w:left w:val="single" w:color="auto" w:sz="8" w:space="0"/>
              <w:bottom w:val="single" w:color="auto" w:sz="8" w:space="0"/>
              <w:right w:val="single" w:color="auto" w:sz="8" w:space="0"/>
            </w:tcBorders>
            <w:noWrap/>
            <w:vAlign w:val="center"/>
          </w:tcPr>
          <w:p>
            <w:pPr>
              <w:pStyle w:val="102"/>
              <w:spacing w:before="120" w:after="120"/>
              <w:ind w:firstLine="0" w:firstLineChars="0"/>
              <w:rPr>
                <w:rFonts w:ascii="宋体" w:hAnsi="宋体" w:eastAsia="宋体" w:cs="宋体"/>
                <w:szCs w:val="21"/>
              </w:rPr>
            </w:pPr>
            <w:r>
              <w:rPr>
                <w:rFonts w:hint="eastAsia" w:ascii="宋体" w:hAnsi="宋体" w:eastAsia="宋体" w:cs="宋体"/>
                <w:szCs w:val="21"/>
              </w:rPr>
              <w:t>有异议的意见和说明理由：</w:t>
            </w:r>
          </w:p>
          <w:p>
            <w:pPr>
              <w:pStyle w:val="102"/>
              <w:spacing w:before="120" w:after="120"/>
              <w:ind w:firstLine="5880" w:firstLineChars="2800"/>
              <w:rPr>
                <w:rFonts w:ascii="宋体" w:hAnsi="宋体" w:eastAsia="宋体" w:cs="宋体"/>
                <w:szCs w:val="21"/>
              </w:rPr>
            </w:pPr>
            <w:r>
              <w:rPr>
                <w:rFonts w:hint="eastAsia" w:ascii="宋体" w:hAnsi="宋体" w:eastAsia="宋体" w:cs="宋体"/>
                <w:szCs w:val="21"/>
              </w:rPr>
              <w:t>签字：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验收小组成员签字：</w:t>
            </w:r>
          </w:p>
          <w:p>
            <w:pPr>
              <w:widowControl/>
              <w:spacing w:before="100" w:beforeAutospacing="1" w:after="100" w:afterAutospacing="1" w:line="320" w:lineRule="exact"/>
              <w:jc w:val="left"/>
              <w:rPr>
                <w:rFonts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监督人员或其他相关人员签字：</w:t>
            </w:r>
          </w:p>
          <w:p>
            <w:pPr>
              <w:widowControl/>
              <w:spacing w:before="100" w:beforeAutospacing="1" w:after="100" w:afterAutospacing="1" w:line="320" w:lineRule="exact"/>
              <w:ind w:firstLine="65" w:firstLineChars="31"/>
              <w:jc w:val="left"/>
              <w:rPr>
                <w:rFonts w:ascii="宋体" w:hAnsi="宋体" w:cs="宋体"/>
                <w:kern w:val="0"/>
                <w:szCs w:val="21"/>
              </w:rPr>
            </w:pPr>
            <w:r>
              <w:rPr>
                <w:rFonts w:hint="eastAsia" w:ascii="宋体" w:hAnsi="宋体" w:cs="宋体"/>
                <w:kern w:val="0"/>
                <w:szCs w:val="21"/>
              </w:rPr>
              <w:t>或受邀机构的意见（盖章）：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noWrap/>
            <w:tcMar>
              <w:top w:w="0" w:type="dxa"/>
              <w:left w:w="108" w:type="dxa"/>
              <w:bottom w:w="0" w:type="dxa"/>
              <w:right w:w="108" w:type="dxa"/>
            </w:tcMar>
            <w:vAlign w:val="center"/>
          </w:tcPr>
          <w:p>
            <w:pPr>
              <w:widowControl/>
              <w:spacing w:before="100" w:beforeAutospacing="1" w:after="100" w:afterAutospacing="1" w:line="320" w:lineRule="exact"/>
              <w:ind w:firstLine="65" w:firstLineChars="31"/>
              <w:jc w:val="left"/>
              <w:rPr>
                <w:rFonts w:ascii="宋体" w:hAnsi="宋体" w:cs="宋体"/>
                <w:kern w:val="0"/>
                <w:szCs w:val="21"/>
              </w:rPr>
            </w:pPr>
            <w:r>
              <w:rPr>
                <w:rFonts w:hint="eastAsia" w:ascii="宋体" w:hAnsi="宋体" w:cs="宋体"/>
                <w:kern w:val="0"/>
                <w:szCs w:val="21"/>
              </w:rPr>
              <w:t>中标或者成交供应商负责人签字或盖章：</w:t>
            </w:r>
          </w:p>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联系电话：          年   月   日</w:t>
            </w:r>
          </w:p>
          <w:p>
            <w:pPr>
              <w:widowControl/>
              <w:spacing w:before="100" w:beforeAutospacing="1" w:after="100" w:afterAutospacing="1" w:line="320" w:lineRule="exact"/>
              <w:jc w:val="left"/>
              <w:rPr>
                <w:rFonts w:ascii="宋体" w:hAnsi="宋体" w:cs="宋体"/>
                <w:kern w:val="0"/>
                <w:szCs w:val="21"/>
              </w:rPr>
            </w:pPr>
          </w:p>
          <w:p>
            <w:pPr>
              <w:widowControl/>
              <w:spacing w:before="100" w:beforeAutospacing="1" w:after="100" w:afterAutospacing="1" w:line="320" w:lineRule="exact"/>
              <w:ind w:firstLine="65" w:firstLineChars="31"/>
              <w:jc w:val="left"/>
              <w:rPr>
                <w:rFonts w:ascii="宋体" w:hAnsi="宋体" w:cs="宋体"/>
                <w:kern w:val="0"/>
                <w:szCs w:val="21"/>
              </w:rPr>
            </w:pPr>
            <w:r>
              <w:rPr>
                <w:rFonts w:hint="eastAsia" w:ascii="宋体" w:hAnsi="宋体" w:cs="宋体"/>
                <w:kern w:val="0"/>
                <w:szCs w:val="21"/>
              </w:rPr>
              <w:t>采购人签字或盖章：</w:t>
            </w:r>
          </w:p>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联系电话：         年   月   日</w:t>
            </w:r>
          </w:p>
        </w:tc>
        <w:tc>
          <w:tcPr>
            <w:tcW w:w="4860" w:type="dxa"/>
            <w:gridSpan w:val="4"/>
            <w:tcBorders>
              <w:top w:val="single" w:color="auto" w:sz="8" w:space="0"/>
              <w:left w:val="nil"/>
              <w:bottom w:val="single" w:color="auto" w:sz="8" w:space="0"/>
              <w:right w:val="single" w:color="auto" w:sz="8" w:space="0"/>
            </w:tcBorders>
            <w:noWrap/>
            <w:vAlign w:val="center"/>
          </w:tcPr>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 受托机构的意见（盖章）：</w:t>
            </w:r>
          </w:p>
          <w:p>
            <w:pPr>
              <w:widowControl/>
              <w:spacing w:before="100" w:beforeAutospacing="1" w:after="100" w:afterAutospacing="1" w:line="320" w:lineRule="exact"/>
              <w:jc w:val="left"/>
              <w:rPr>
                <w:rFonts w:ascii="宋体" w:hAnsi="宋体" w:cs="宋体"/>
                <w:kern w:val="0"/>
                <w:szCs w:val="21"/>
              </w:rPr>
            </w:pPr>
            <w:r>
              <w:rPr>
                <w:rFonts w:hint="eastAsia" w:ascii="宋体" w:hAnsi="宋体" w:cs="宋体"/>
                <w:kern w:val="0"/>
                <w:szCs w:val="21"/>
              </w:rPr>
              <w:t>联系电话：                     年   月   日</w:t>
            </w:r>
          </w:p>
          <w:p>
            <w:pPr>
              <w:widowControl/>
              <w:spacing w:before="100" w:beforeAutospacing="1" w:after="100" w:afterAutospacing="1" w:line="320" w:lineRule="exact"/>
              <w:jc w:val="left"/>
              <w:rPr>
                <w:rFonts w:ascii="宋体" w:hAnsi="宋体" w:cs="宋体"/>
                <w:kern w:val="0"/>
                <w:szCs w:val="21"/>
              </w:rPr>
            </w:pPr>
          </w:p>
          <w:p>
            <w:pPr>
              <w:widowControl/>
              <w:spacing w:before="100" w:beforeAutospacing="1" w:after="100" w:afterAutospacing="1" w:line="320" w:lineRule="exact"/>
              <w:jc w:val="left"/>
              <w:rPr>
                <w:rFonts w:ascii="宋体" w:hAnsi="宋体" w:cs="宋体"/>
                <w:kern w:val="0"/>
                <w:szCs w:val="21"/>
              </w:rPr>
            </w:pPr>
          </w:p>
          <w:p>
            <w:pPr>
              <w:widowControl/>
              <w:spacing w:before="100" w:beforeAutospacing="1" w:after="100" w:afterAutospacing="1" w:line="320" w:lineRule="exact"/>
              <w:jc w:val="left"/>
              <w:rPr>
                <w:rFonts w:ascii="宋体" w:hAnsi="宋体" w:cs="宋体"/>
                <w:kern w:val="0"/>
                <w:szCs w:val="21"/>
              </w:rPr>
            </w:pPr>
          </w:p>
        </w:tc>
      </w:tr>
    </w:tbl>
    <w:p>
      <w:pPr>
        <w:widowControl/>
        <w:jc w:val="left"/>
        <w:rPr>
          <w:rFonts w:ascii="宋体" w:hAnsi="宋体" w:cs="宋体"/>
          <w:szCs w:val="21"/>
        </w:rPr>
        <w:sectPr>
          <w:headerReference r:id="rId11" w:type="default"/>
          <w:footerReference r:id="rId12" w:type="default"/>
          <w:pgSz w:w="11906" w:h="16838"/>
          <w:pgMar w:top="1418" w:right="1133" w:bottom="1246" w:left="1418" w:header="851" w:footer="992" w:gutter="0"/>
          <w:cols w:space="720" w:num="1"/>
          <w:docGrid w:linePitch="312" w:charSpace="0"/>
        </w:sectPr>
      </w:pPr>
      <w:r>
        <w:rPr>
          <w:rFonts w:hint="eastAsia" w:ascii="宋体" w:hAnsi="宋体" w:cs="宋体"/>
          <w:spacing w:val="-10"/>
          <w:kern w:val="0"/>
          <w:szCs w:val="21"/>
        </w:rPr>
        <w:t>备注：本报告单一式4份（采购单位1份、供应商1份、采购监督部门备案1份、采购代理机构1份）</w:t>
      </w:r>
    </w:p>
    <w:p>
      <w:pPr>
        <w:snapToGrid w:val="0"/>
        <w:rPr>
          <w:rFonts w:ascii="宋体" w:hAnsi="宋体" w:cs="仿宋_GB2312"/>
          <w:bCs/>
          <w:kern w:val="44"/>
          <w:sz w:val="44"/>
          <w:szCs w:val="44"/>
        </w:rPr>
      </w:pPr>
    </w:p>
    <w:p>
      <w:pPr>
        <w:pStyle w:val="5"/>
        <w:spacing w:before="0" w:after="0" w:line="460" w:lineRule="exact"/>
        <w:jc w:val="center"/>
        <w:rPr>
          <w:rFonts w:ascii="宋体" w:hAnsi="宋体" w:cs="仿宋_GB2312"/>
        </w:rPr>
      </w:pPr>
      <w:bookmarkStart w:id="185" w:name="_Toc25754"/>
      <w:bookmarkStart w:id="186" w:name="_Toc22323"/>
      <w:bookmarkStart w:id="187" w:name="_Toc22260"/>
      <w:bookmarkStart w:id="188" w:name="_Toc6585"/>
      <w:bookmarkStart w:id="189" w:name="_Toc4019"/>
      <w:r>
        <w:rPr>
          <w:rFonts w:hint="eastAsia" w:ascii="宋体" w:hAnsi="宋体" w:cs="仿宋_GB2312"/>
        </w:rPr>
        <w:t>第七章 质疑、投诉材料格式</w:t>
      </w:r>
      <w:bookmarkEnd w:id="172"/>
      <w:bookmarkEnd w:id="185"/>
      <w:bookmarkEnd w:id="186"/>
      <w:bookmarkEnd w:id="187"/>
      <w:bookmarkEnd w:id="188"/>
      <w:bookmarkEnd w:id="189"/>
    </w:p>
    <w:p>
      <w:pPr>
        <w:spacing w:line="360" w:lineRule="auto"/>
        <w:jc w:val="center"/>
        <w:rPr>
          <w:rFonts w:ascii="宋体" w:hAnsi="宋体" w:cs="宋体"/>
          <w:b/>
          <w:bCs/>
          <w:sz w:val="32"/>
          <w:szCs w:val="32"/>
        </w:rPr>
      </w:pPr>
      <w:r>
        <w:rPr>
          <w:rFonts w:hint="eastAsia" w:ascii="宋体" w:hAnsi="宋体" w:cs="宋体"/>
          <w:b/>
          <w:sz w:val="44"/>
          <w:szCs w:val="44"/>
        </w:rPr>
        <w:t>质疑函</w:t>
      </w:r>
      <w:r>
        <w:rPr>
          <w:rFonts w:hint="eastAsia" w:ascii="宋体" w:hAnsi="宋体" w:cs="宋体"/>
          <w:sz w:val="28"/>
          <w:szCs w:val="28"/>
        </w:rPr>
        <w:t>（格式）</w:t>
      </w:r>
    </w:p>
    <w:p>
      <w:pPr>
        <w:pStyle w:val="20"/>
        <w:spacing w:line="360" w:lineRule="auto"/>
        <w:ind w:firstLine="482" w:firstLineChars="200"/>
        <w:contextualSpacing/>
        <w:rPr>
          <w:rFonts w:hAnsi="宋体" w:cs="宋体"/>
          <w:b/>
          <w:bCs/>
          <w:sz w:val="24"/>
          <w:szCs w:val="24"/>
        </w:rPr>
      </w:pPr>
      <w:r>
        <w:rPr>
          <w:rFonts w:hint="eastAsia" w:hAnsi="宋体" w:cs="宋体"/>
          <w:b/>
          <w:bCs/>
          <w:sz w:val="24"/>
          <w:szCs w:val="24"/>
        </w:rPr>
        <w:t>一、质疑供应商基本信息：</w:t>
      </w:r>
    </w:p>
    <w:p>
      <w:pPr>
        <w:pStyle w:val="20"/>
        <w:spacing w:line="360" w:lineRule="auto"/>
        <w:ind w:firstLine="480" w:firstLineChars="200"/>
        <w:contextualSpacing/>
        <w:rPr>
          <w:rFonts w:hAnsi="宋体" w:cs="宋体"/>
          <w:bCs/>
          <w:sz w:val="24"/>
          <w:szCs w:val="24"/>
          <w:u w:val="single"/>
        </w:rPr>
      </w:pPr>
      <w:r>
        <w:rPr>
          <w:rFonts w:hint="eastAsia" w:hAnsi="宋体" w:cs="宋体"/>
          <w:bCs/>
          <w:sz w:val="24"/>
          <w:szCs w:val="24"/>
        </w:rPr>
        <w:t>质疑供应商：</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地址：邮编：</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联系人：联系电话：</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授权代表：</w:t>
      </w:r>
    </w:p>
    <w:p>
      <w:pPr>
        <w:pStyle w:val="20"/>
        <w:spacing w:line="360" w:lineRule="auto"/>
        <w:ind w:firstLine="480" w:firstLineChars="200"/>
        <w:contextualSpacing/>
        <w:rPr>
          <w:rFonts w:hAnsi="宋体" w:cs="宋体"/>
          <w:bCs/>
          <w:sz w:val="24"/>
          <w:szCs w:val="24"/>
          <w:u w:val="single"/>
        </w:rPr>
      </w:pPr>
      <w:r>
        <w:rPr>
          <w:rFonts w:hint="eastAsia" w:hAnsi="宋体" w:cs="宋体"/>
          <w:bCs/>
          <w:sz w:val="24"/>
          <w:szCs w:val="24"/>
        </w:rPr>
        <w:t>联系电话：</w:t>
      </w:r>
    </w:p>
    <w:p>
      <w:pPr>
        <w:pStyle w:val="20"/>
        <w:spacing w:line="360" w:lineRule="auto"/>
        <w:ind w:firstLine="480" w:firstLineChars="200"/>
        <w:contextualSpacing/>
        <w:rPr>
          <w:rFonts w:hAnsi="宋体" w:cs="宋体"/>
          <w:bCs/>
          <w:sz w:val="24"/>
          <w:szCs w:val="24"/>
        </w:rPr>
      </w:pPr>
      <w:r>
        <w:rPr>
          <w:rFonts w:hint="eastAsia" w:hAnsi="宋体" w:cs="宋体"/>
          <w:bCs/>
          <w:sz w:val="24"/>
          <w:szCs w:val="24"/>
        </w:rPr>
        <w:t>地址：邮编：</w:t>
      </w:r>
    </w:p>
    <w:p>
      <w:pPr>
        <w:pStyle w:val="20"/>
        <w:spacing w:line="360" w:lineRule="auto"/>
        <w:ind w:firstLine="482" w:firstLineChars="200"/>
        <w:contextualSpacing/>
        <w:rPr>
          <w:rFonts w:hAnsi="宋体" w:cs="宋体"/>
          <w:b/>
          <w:bCs/>
          <w:sz w:val="24"/>
          <w:szCs w:val="24"/>
        </w:rPr>
      </w:pPr>
      <w:r>
        <w:rPr>
          <w:rFonts w:hint="eastAsia" w:hAnsi="宋体" w:cs="宋体"/>
          <w:b/>
          <w:bCs/>
          <w:sz w:val="24"/>
          <w:szCs w:val="24"/>
        </w:rPr>
        <w:t>二、质疑项目基本情况：</w:t>
      </w:r>
    </w:p>
    <w:p>
      <w:pPr>
        <w:pStyle w:val="20"/>
        <w:spacing w:line="360" w:lineRule="auto"/>
        <w:ind w:left="25" w:leftChars="12" w:firstLine="472" w:firstLineChars="197"/>
        <w:contextualSpacing/>
        <w:rPr>
          <w:rFonts w:hAnsi="宋体" w:cs="宋体"/>
          <w:sz w:val="24"/>
          <w:szCs w:val="24"/>
        </w:rPr>
      </w:pPr>
      <w:r>
        <w:rPr>
          <w:rFonts w:hint="eastAsia" w:hAnsi="宋体" w:cs="宋体"/>
          <w:bCs/>
          <w:sz w:val="24"/>
          <w:szCs w:val="24"/>
        </w:rPr>
        <w:t>质疑</w:t>
      </w:r>
      <w:r>
        <w:rPr>
          <w:rFonts w:hint="eastAsia" w:hAnsi="宋体" w:cs="宋体"/>
          <w:sz w:val="24"/>
          <w:szCs w:val="24"/>
        </w:rPr>
        <w:t>项目的名称：</w:t>
      </w:r>
    </w:p>
    <w:p>
      <w:pPr>
        <w:pStyle w:val="20"/>
        <w:spacing w:line="360" w:lineRule="auto"/>
        <w:ind w:left="25" w:leftChars="12" w:firstLine="472" w:firstLineChars="197"/>
        <w:contextualSpacing/>
        <w:rPr>
          <w:rFonts w:hAnsi="宋体" w:cs="宋体"/>
          <w:sz w:val="24"/>
          <w:szCs w:val="24"/>
        </w:rPr>
      </w:pPr>
      <w:r>
        <w:rPr>
          <w:rFonts w:hint="eastAsia" w:hAnsi="宋体" w:cs="宋体"/>
          <w:bCs/>
          <w:sz w:val="24"/>
          <w:szCs w:val="24"/>
        </w:rPr>
        <w:t>质疑</w:t>
      </w:r>
      <w:r>
        <w:rPr>
          <w:rFonts w:hint="eastAsia" w:hAnsi="宋体" w:cs="宋体"/>
          <w:sz w:val="24"/>
          <w:szCs w:val="24"/>
        </w:rPr>
        <w:t>项目的编号：</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采购人名称：</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质疑事项：</w:t>
      </w:r>
    </w:p>
    <w:p>
      <w:pPr>
        <w:pStyle w:val="20"/>
        <w:spacing w:line="360" w:lineRule="auto"/>
        <w:ind w:left="25" w:leftChars="12" w:firstLine="352" w:firstLineChars="147"/>
        <w:contextualSpacing/>
        <w:rPr>
          <w:rFonts w:hAnsi="宋体" w:cs="宋体"/>
          <w:sz w:val="24"/>
          <w:szCs w:val="24"/>
        </w:rPr>
      </w:pPr>
      <w:r>
        <w:rPr>
          <w:rFonts w:hint="eastAsia" w:hAnsi="宋体" w:cs="宋体"/>
          <w:sz w:val="24"/>
          <w:szCs w:val="24"/>
        </w:rPr>
        <w:t>□采购文件   采购文件获取日期：</w:t>
      </w:r>
    </w:p>
    <w:p>
      <w:pPr>
        <w:pStyle w:val="20"/>
        <w:spacing w:line="360" w:lineRule="auto"/>
        <w:ind w:left="25" w:leftChars="12" w:firstLine="352" w:firstLineChars="147"/>
        <w:contextualSpacing/>
        <w:rPr>
          <w:rFonts w:hAnsi="宋体" w:cs="宋体"/>
          <w:sz w:val="24"/>
          <w:szCs w:val="24"/>
        </w:rPr>
      </w:pPr>
      <w:r>
        <w:rPr>
          <w:rFonts w:hint="eastAsia" w:hAnsi="宋体" w:cs="宋体"/>
          <w:sz w:val="24"/>
          <w:szCs w:val="24"/>
        </w:rPr>
        <w:t xml:space="preserve">□采购过程   </w:t>
      </w:r>
    </w:p>
    <w:p>
      <w:pPr>
        <w:pStyle w:val="20"/>
        <w:spacing w:line="360" w:lineRule="auto"/>
        <w:ind w:left="25" w:leftChars="12" w:firstLine="352" w:firstLineChars="147"/>
        <w:contextualSpacing/>
        <w:rPr>
          <w:rFonts w:hAnsi="宋体" w:cs="宋体"/>
          <w:bCs/>
          <w:sz w:val="24"/>
          <w:szCs w:val="24"/>
          <w:u w:val="single"/>
        </w:rPr>
      </w:pPr>
      <w:r>
        <w:rPr>
          <w:rFonts w:hint="eastAsia" w:hAnsi="宋体" w:cs="宋体"/>
          <w:sz w:val="24"/>
          <w:szCs w:val="24"/>
        </w:rPr>
        <w:t xml:space="preserve">□成交结果   </w:t>
      </w:r>
    </w:p>
    <w:p>
      <w:pPr>
        <w:pStyle w:val="20"/>
        <w:spacing w:line="360" w:lineRule="auto"/>
        <w:ind w:left="25" w:leftChars="12" w:firstLine="472" w:firstLineChars="196"/>
        <w:contextualSpacing/>
        <w:rPr>
          <w:rFonts w:hAnsi="宋体" w:cs="宋体"/>
          <w:b/>
          <w:sz w:val="24"/>
          <w:szCs w:val="24"/>
        </w:rPr>
      </w:pPr>
      <w:r>
        <w:rPr>
          <w:rFonts w:hint="eastAsia" w:hAnsi="宋体" w:cs="宋体"/>
          <w:b/>
          <w:sz w:val="24"/>
          <w:szCs w:val="24"/>
        </w:rPr>
        <w:t>三、质疑事项具体内容</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质疑事项1：</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事实依据：</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法律依据：</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质疑事项2</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四、与质疑事项相关的质疑请求：</w:t>
      </w:r>
    </w:p>
    <w:p>
      <w:pPr>
        <w:pStyle w:val="20"/>
        <w:spacing w:line="360" w:lineRule="auto"/>
        <w:ind w:left="25" w:leftChars="12" w:firstLine="472" w:firstLineChars="197"/>
        <w:contextualSpacing/>
        <w:rPr>
          <w:rFonts w:hAnsi="宋体" w:cs="宋体"/>
          <w:sz w:val="24"/>
          <w:szCs w:val="24"/>
        </w:rPr>
      </w:pPr>
      <w:r>
        <w:rPr>
          <w:rFonts w:hint="eastAsia" w:hAnsi="宋体" w:cs="宋体"/>
          <w:sz w:val="24"/>
          <w:szCs w:val="24"/>
        </w:rPr>
        <w:t>请求：</w:t>
      </w:r>
    </w:p>
    <w:p>
      <w:pPr>
        <w:pStyle w:val="20"/>
        <w:spacing w:line="360" w:lineRule="auto"/>
        <w:ind w:left="25" w:leftChars="12" w:firstLine="352" w:firstLineChars="147"/>
        <w:contextualSpacing/>
        <w:rPr>
          <w:rFonts w:hAnsi="宋体" w:cs="宋体"/>
          <w:sz w:val="24"/>
          <w:szCs w:val="24"/>
        </w:rPr>
      </w:pPr>
    </w:p>
    <w:p>
      <w:pPr>
        <w:pStyle w:val="20"/>
        <w:spacing w:line="360" w:lineRule="auto"/>
        <w:ind w:left="25" w:leftChars="12" w:firstLine="2632" w:firstLineChars="1097"/>
        <w:contextualSpacing/>
        <w:rPr>
          <w:rFonts w:hAnsi="宋体" w:cs="宋体"/>
          <w:sz w:val="24"/>
          <w:szCs w:val="24"/>
        </w:rPr>
      </w:pPr>
      <w:r>
        <w:rPr>
          <w:rFonts w:hint="eastAsia" w:hAnsi="宋体" w:cs="宋体"/>
          <w:sz w:val="24"/>
          <w:szCs w:val="24"/>
        </w:rPr>
        <w:t xml:space="preserve">签字（签章）：                                       </w:t>
      </w:r>
    </w:p>
    <w:p>
      <w:pPr>
        <w:pStyle w:val="20"/>
        <w:spacing w:line="360" w:lineRule="auto"/>
        <w:ind w:left="25" w:leftChars="12" w:firstLine="2632" w:firstLineChars="1097"/>
        <w:contextualSpacing/>
        <w:rPr>
          <w:rFonts w:hAnsi="宋体" w:cs="宋体"/>
          <w:sz w:val="24"/>
          <w:szCs w:val="24"/>
        </w:rPr>
      </w:pPr>
      <w:r>
        <w:rPr>
          <w:rFonts w:hint="eastAsia" w:hAnsi="宋体" w:cs="宋体"/>
          <w:sz w:val="24"/>
          <w:szCs w:val="24"/>
        </w:rPr>
        <w:t>公章：</w:t>
      </w:r>
    </w:p>
    <w:p>
      <w:pPr>
        <w:pStyle w:val="20"/>
        <w:spacing w:line="360" w:lineRule="auto"/>
        <w:ind w:firstLine="2640" w:firstLineChars="1100"/>
        <w:contextualSpacing/>
        <w:rPr>
          <w:rFonts w:hAnsi="宋体" w:cs="宋体"/>
          <w:sz w:val="24"/>
          <w:szCs w:val="24"/>
        </w:rPr>
      </w:pPr>
      <w:r>
        <w:rPr>
          <w:rFonts w:hint="eastAsia" w:hAnsi="宋体" w:cs="宋体"/>
          <w:sz w:val="24"/>
          <w:szCs w:val="24"/>
        </w:rPr>
        <w:t>日期： 年 月 日</w:t>
      </w:r>
    </w:p>
    <w:p>
      <w:pPr>
        <w:pStyle w:val="20"/>
        <w:spacing w:line="360" w:lineRule="auto"/>
        <w:ind w:firstLine="482" w:firstLineChars="200"/>
        <w:contextualSpacing/>
        <w:rPr>
          <w:rFonts w:ascii="楷体" w:hAnsi="楷体" w:eastAsia="楷体" w:cs="宋体"/>
          <w:b/>
          <w:sz w:val="24"/>
          <w:szCs w:val="24"/>
        </w:rPr>
      </w:pPr>
      <w:r>
        <w:rPr>
          <w:rFonts w:hint="eastAsia" w:ascii="楷体" w:hAnsi="楷体" w:eastAsia="楷体" w:cs="宋体"/>
          <w:b/>
          <w:sz w:val="24"/>
          <w:szCs w:val="24"/>
        </w:rPr>
        <w:t>说明：</w:t>
      </w:r>
    </w:p>
    <w:p>
      <w:pPr>
        <w:pStyle w:val="20"/>
        <w:spacing w:line="360" w:lineRule="auto"/>
        <w:ind w:left="25" w:leftChars="12" w:firstLine="354" w:firstLineChars="147"/>
        <w:contextualSpacing/>
        <w:rPr>
          <w:rFonts w:ascii="楷体" w:hAnsi="楷体" w:eastAsia="楷体" w:cs="宋体"/>
          <w:b/>
          <w:bCs/>
          <w:sz w:val="24"/>
          <w:szCs w:val="24"/>
        </w:rPr>
      </w:pPr>
      <w:r>
        <w:rPr>
          <w:rFonts w:ascii="楷体" w:hAnsi="楷体" w:eastAsia="楷体" w:cs="宋体"/>
          <w:b/>
          <w:sz w:val="24"/>
          <w:szCs w:val="24"/>
        </w:rPr>
        <w:t>1.供应商提出质疑时，应提交质疑函和必要的证明材料</w:t>
      </w:r>
      <w:r>
        <w:rPr>
          <w:rFonts w:hint="eastAsia" w:ascii="楷体" w:hAnsi="楷体" w:eastAsia="楷体" w:cs="宋体"/>
          <w:b/>
          <w:bCs/>
          <w:sz w:val="24"/>
          <w:szCs w:val="24"/>
        </w:rPr>
        <w:t>。</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2.质疑供应商若委托代理人进行质疑的，</w:t>
      </w:r>
      <w:r>
        <w:rPr>
          <w:rFonts w:hint="eastAsia" w:ascii="楷体" w:hAnsi="楷体" w:eastAsia="楷体" w:cs="宋体"/>
          <w:b/>
          <w:sz w:val="24"/>
          <w:szCs w:val="24"/>
        </w:rPr>
        <w:t>质疑函应按要求列明“授权代表”的有关内容，并在附件中提交由质疑供应商签署的授权委托书。授权委托书应载明代理人的姓名或者名称、代理事项、具体权限、期限和相关事项。</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3.质疑函的质疑事项应具体、明确，并有必要的事实依据和法律依据。</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4.质疑函的质疑请求应与质疑事项相关。</w:t>
      </w:r>
    </w:p>
    <w:p>
      <w:pPr>
        <w:pStyle w:val="20"/>
        <w:spacing w:line="360" w:lineRule="auto"/>
        <w:ind w:left="25" w:leftChars="12" w:firstLine="354" w:firstLineChars="147"/>
        <w:contextualSpacing/>
        <w:rPr>
          <w:rFonts w:ascii="楷体" w:hAnsi="楷体" w:eastAsia="楷体" w:cs="宋体"/>
          <w:b/>
          <w:sz w:val="24"/>
          <w:szCs w:val="24"/>
        </w:rPr>
      </w:pPr>
      <w:r>
        <w:rPr>
          <w:rFonts w:ascii="楷体" w:hAnsi="楷体" w:eastAsia="楷体" w:cs="宋体"/>
          <w:b/>
          <w:sz w:val="24"/>
          <w:szCs w:val="24"/>
        </w:rPr>
        <w:t>5.质疑供应商为法人或者其他组织的，</w:t>
      </w:r>
      <w:r>
        <w:rPr>
          <w:rFonts w:hint="eastAsia" w:ascii="楷体" w:hAnsi="楷体" w:eastAsia="楷体" w:cs="宋体"/>
          <w:b/>
          <w:sz w:val="24"/>
          <w:szCs w:val="24"/>
        </w:rPr>
        <w:t>质疑函应由法定代表人、主要负责人，或者其授权代表签字或者盖章，并加盖公章。</w:t>
      </w:r>
    </w:p>
    <w:p>
      <w:pPr>
        <w:pStyle w:val="20"/>
        <w:snapToGrid w:val="0"/>
        <w:rPr>
          <w:rFonts w:hAnsi="宋体" w:cs="宋体"/>
          <w:b/>
          <w:sz w:val="24"/>
          <w:szCs w:val="24"/>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rPr>
          <w:rFonts w:ascii="宋体" w:hAnsi="宋体" w:cs="宋体"/>
          <w:sz w:val="32"/>
          <w:szCs w:val="40"/>
        </w:rPr>
      </w:pPr>
    </w:p>
    <w:p>
      <w:pPr>
        <w:spacing w:line="360" w:lineRule="auto"/>
        <w:jc w:val="center"/>
        <w:rPr>
          <w:rFonts w:ascii="宋体" w:hAnsi="宋体" w:cs="宋体"/>
          <w:sz w:val="24"/>
        </w:rPr>
      </w:pPr>
      <w:r>
        <w:rPr>
          <w:rFonts w:hint="eastAsia" w:ascii="宋体" w:hAnsi="宋体" w:cs="宋体"/>
          <w:sz w:val="44"/>
          <w:szCs w:val="44"/>
        </w:rPr>
        <w:br w:type="page"/>
      </w:r>
      <w:r>
        <w:rPr>
          <w:rFonts w:hint="eastAsia" w:ascii="宋体" w:hAnsi="宋体" w:cs="宋体"/>
          <w:sz w:val="44"/>
          <w:szCs w:val="44"/>
        </w:rPr>
        <w:t>投诉书</w:t>
      </w:r>
      <w:r>
        <w:rPr>
          <w:rFonts w:hint="eastAsia" w:ascii="宋体" w:hAnsi="宋体" w:cs="宋体"/>
          <w:sz w:val="28"/>
          <w:szCs w:val="28"/>
        </w:rPr>
        <w:t>（格式）</w:t>
      </w:r>
    </w:p>
    <w:p>
      <w:pPr>
        <w:pStyle w:val="20"/>
        <w:snapToGrid w:val="0"/>
        <w:spacing w:line="360" w:lineRule="auto"/>
        <w:ind w:firstLine="482" w:firstLineChars="200"/>
        <w:rPr>
          <w:rFonts w:hAnsi="宋体" w:cs="宋体"/>
          <w:b/>
          <w:bCs/>
          <w:sz w:val="24"/>
          <w:szCs w:val="24"/>
        </w:rPr>
      </w:pPr>
      <w:r>
        <w:rPr>
          <w:rFonts w:hint="eastAsia" w:hAnsi="宋体" w:cs="宋体"/>
          <w:b/>
          <w:bCs/>
          <w:sz w:val="24"/>
          <w:szCs w:val="24"/>
        </w:rPr>
        <w:t>一、投诉相关主体基本情况：</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供应商：</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地址：邮编：</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法定代表人/主要负责人：</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联系电话：</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授权代表：联系电话：</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地址：</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邮编：</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被投诉人1：</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地址：</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邮编：</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联系人：联系电话：</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被投诉人2：</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相关供应商：</w:t>
      </w:r>
    </w:p>
    <w:p>
      <w:pPr>
        <w:pStyle w:val="20"/>
        <w:snapToGrid w:val="0"/>
        <w:spacing w:line="360" w:lineRule="auto"/>
        <w:ind w:firstLine="480" w:firstLineChars="200"/>
        <w:rPr>
          <w:rFonts w:hAnsi="宋体" w:cs="宋体"/>
          <w:bCs/>
          <w:sz w:val="24"/>
          <w:szCs w:val="24"/>
          <w:u w:val="single"/>
        </w:rPr>
      </w:pPr>
      <w:r>
        <w:rPr>
          <w:rFonts w:hint="eastAsia" w:hAnsi="宋体" w:cs="宋体"/>
          <w:bCs/>
          <w:sz w:val="24"/>
          <w:szCs w:val="24"/>
        </w:rPr>
        <w:t>地址：邮编：</w:t>
      </w:r>
    </w:p>
    <w:p>
      <w:pPr>
        <w:pStyle w:val="20"/>
        <w:snapToGrid w:val="0"/>
        <w:spacing w:line="360" w:lineRule="auto"/>
        <w:ind w:firstLine="480" w:firstLineChars="200"/>
        <w:rPr>
          <w:rFonts w:hAnsi="宋体" w:cs="宋体"/>
          <w:bCs/>
          <w:sz w:val="24"/>
          <w:szCs w:val="24"/>
        </w:rPr>
      </w:pPr>
      <w:r>
        <w:rPr>
          <w:rFonts w:hint="eastAsia" w:hAnsi="宋体" w:cs="宋体"/>
          <w:bCs/>
          <w:sz w:val="24"/>
          <w:szCs w:val="24"/>
        </w:rPr>
        <w:t>联系人：联系电话：</w:t>
      </w:r>
    </w:p>
    <w:p>
      <w:pPr>
        <w:pStyle w:val="20"/>
        <w:snapToGrid w:val="0"/>
        <w:spacing w:line="360" w:lineRule="auto"/>
        <w:ind w:firstLine="482" w:firstLineChars="200"/>
        <w:rPr>
          <w:rFonts w:hAnsi="宋体" w:cs="宋体"/>
          <w:b/>
          <w:bCs/>
          <w:sz w:val="24"/>
          <w:szCs w:val="24"/>
        </w:rPr>
      </w:pPr>
      <w:r>
        <w:rPr>
          <w:rFonts w:hint="eastAsia" w:hAnsi="宋体" w:cs="宋体"/>
          <w:b/>
          <w:bCs/>
          <w:sz w:val="24"/>
          <w:szCs w:val="24"/>
        </w:rPr>
        <w:t>二、投诉项目基本情况：</w:t>
      </w:r>
    </w:p>
    <w:p>
      <w:pPr>
        <w:pStyle w:val="20"/>
        <w:spacing w:line="360" w:lineRule="auto"/>
        <w:ind w:left="25" w:leftChars="12" w:firstLine="472" w:firstLineChars="197"/>
        <w:rPr>
          <w:rFonts w:hAnsi="宋体" w:cs="宋体"/>
          <w:sz w:val="24"/>
          <w:szCs w:val="24"/>
        </w:rPr>
      </w:pPr>
      <w:r>
        <w:rPr>
          <w:rFonts w:hint="eastAsia" w:hAnsi="宋体" w:cs="宋体"/>
          <w:bCs/>
          <w:sz w:val="24"/>
          <w:szCs w:val="24"/>
        </w:rPr>
        <w:t>采购</w:t>
      </w:r>
      <w:r>
        <w:rPr>
          <w:rFonts w:hint="eastAsia" w:hAnsi="宋体" w:cs="宋体"/>
          <w:sz w:val="24"/>
          <w:szCs w:val="24"/>
        </w:rPr>
        <w:t>项目的名称：</w:t>
      </w:r>
    </w:p>
    <w:p>
      <w:pPr>
        <w:pStyle w:val="20"/>
        <w:spacing w:line="360" w:lineRule="auto"/>
        <w:ind w:left="25" w:leftChars="12" w:firstLine="472" w:firstLineChars="197"/>
        <w:rPr>
          <w:rFonts w:hAnsi="宋体" w:cs="宋体"/>
          <w:sz w:val="24"/>
          <w:szCs w:val="24"/>
        </w:rPr>
      </w:pPr>
      <w:r>
        <w:rPr>
          <w:rFonts w:hint="eastAsia" w:hAnsi="宋体" w:cs="宋体"/>
          <w:bCs/>
          <w:sz w:val="24"/>
          <w:szCs w:val="24"/>
        </w:rPr>
        <w:t>采购</w:t>
      </w:r>
      <w:r>
        <w:rPr>
          <w:rFonts w:hint="eastAsia" w:hAnsi="宋体" w:cs="宋体"/>
          <w:sz w:val="24"/>
          <w:szCs w:val="24"/>
        </w:rPr>
        <w:t>项目的编号：</w:t>
      </w:r>
    </w:p>
    <w:p>
      <w:pPr>
        <w:pStyle w:val="20"/>
        <w:spacing w:line="360" w:lineRule="auto"/>
        <w:ind w:left="25" w:leftChars="12" w:firstLine="472" w:firstLineChars="197"/>
        <w:rPr>
          <w:rFonts w:hAnsi="宋体" w:cs="宋体"/>
          <w:bCs/>
          <w:sz w:val="24"/>
          <w:szCs w:val="24"/>
          <w:u w:val="single"/>
        </w:rPr>
      </w:pPr>
      <w:r>
        <w:rPr>
          <w:rFonts w:hint="eastAsia" w:hAnsi="宋体" w:cs="宋体"/>
          <w:sz w:val="24"/>
          <w:szCs w:val="24"/>
        </w:rPr>
        <w:t>采购人名称：</w:t>
      </w:r>
    </w:p>
    <w:p>
      <w:pPr>
        <w:pStyle w:val="20"/>
        <w:spacing w:line="360" w:lineRule="auto"/>
        <w:ind w:left="25" w:leftChars="12" w:firstLine="472" w:firstLineChars="197"/>
        <w:rPr>
          <w:rFonts w:hAnsi="宋体" w:cs="宋体"/>
          <w:bCs/>
          <w:sz w:val="24"/>
          <w:szCs w:val="24"/>
          <w:u w:val="single"/>
        </w:rPr>
      </w:pPr>
      <w:r>
        <w:rPr>
          <w:rFonts w:hint="eastAsia" w:hAnsi="宋体" w:cs="宋体"/>
          <w:sz w:val="24"/>
          <w:szCs w:val="24"/>
        </w:rPr>
        <w:t>代理机构名称：</w:t>
      </w:r>
    </w:p>
    <w:p>
      <w:pPr>
        <w:pStyle w:val="20"/>
        <w:spacing w:line="360" w:lineRule="auto"/>
        <w:ind w:left="25" w:leftChars="12" w:firstLine="472" w:firstLineChars="197"/>
        <w:rPr>
          <w:rFonts w:hAnsi="宋体" w:cs="宋体"/>
          <w:bCs/>
          <w:sz w:val="24"/>
          <w:szCs w:val="24"/>
          <w:u w:val="single"/>
        </w:rPr>
      </w:pPr>
      <w:r>
        <w:rPr>
          <w:rFonts w:hint="eastAsia" w:hAnsi="宋体" w:cs="宋体"/>
          <w:bCs/>
          <w:sz w:val="24"/>
          <w:szCs w:val="24"/>
        </w:rPr>
        <w:t>竞争性磋商文件公告：</w:t>
      </w:r>
      <w:r>
        <w:rPr>
          <w:rFonts w:hint="eastAsia" w:hAnsi="宋体" w:cs="宋体"/>
          <w:bCs/>
          <w:sz w:val="24"/>
          <w:szCs w:val="24"/>
          <w:u w:val="single"/>
        </w:rPr>
        <w:t>是/否</w:t>
      </w:r>
      <w:r>
        <w:rPr>
          <w:rFonts w:hint="eastAsia" w:hAnsi="宋体" w:cs="宋体"/>
          <w:bCs/>
          <w:sz w:val="24"/>
          <w:szCs w:val="24"/>
        </w:rPr>
        <w:t>公告期限：</w:t>
      </w:r>
    </w:p>
    <w:p>
      <w:pPr>
        <w:pStyle w:val="20"/>
        <w:spacing w:line="360" w:lineRule="auto"/>
        <w:ind w:left="25" w:leftChars="12" w:firstLine="472" w:firstLineChars="197"/>
        <w:rPr>
          <w:rFonts w:hAnsi="宋体" w:cs="宋体"/>
          <w:b/>
          <w:sz w:val="24"/>
          <w:szCs w:val="24"/>
        </w:rPr>
      </w:pPr>
      <w:r>
        <w:rPr>
          <w:rFonts w:hint="eastAsia" w:hAnsi="宋体" w:cs="宋体"/>
          <w:bCs/>
          <w:sz w:val="24"/>
          <w:szCs w:val="24"/>
        </w:rPr>
        <w:t>采购结果公告：</w:t>
      </w:r>
      <w:r>
        <w:rPr>
          <w:rFonts w:hint="eastAsia" w:hAnsi="宋体" w:cs="宋体"/>
          <w:bCs/>
          <w:sz w:val="24"/>
          <w:szCs w:val="24"/>
          <w:u w:val="single"/>
        </w:rPr>
        <w:t>是/否</w:t>
      </w:r>
      <w:r>
        <w:rPr>
          <w:rFonts w:hint="eastAsia" w:hAnsi="宋体" w:cs="宋体"/>
          <w:bCs/>
          <w:sz w:val="24"/>
          <w:szCs w:val="24"/>
        </w:rPr>
        <w:t>公告期限：</w:t>
      </w:r>
    </w:p>
    <w:p>
      <w:pPr>
        <w:pStyle w:val="20"/>
        <w:spacing w:line="360" w:lineRule="auto"/>
        <w:ind w:left="25" w:leftChars="12" w:firstLine="472" w:firstLineChars="196"/>
        <w:rPr>
          <w:rFonts w:hAnsi="宋体" w:cs="宋体"/>
          <w:b/>
          <w:sz w:val="24"/>
          <w:szCs w:val="24"/>
        </w:rPr>
      </w:pPr>
      <w:r>
        <w:rPr>
          <w:rFonts w:hint="eastAsia" w:hAnsi="宋体" w:cs="宋体"/>
          <w:b/>
          <w:sz w:val="24"/>
          <w:szCs w:val="24"/>
        </w:rPr>
        <w:t>三、质疑基本情况</w:t>
      </w:r>
    </w:p>
    <w:p>
      <w:pPr>
        <w:pStyle w:val="20"/>
        <w:spacing w:line="360" w:lineRule="auto"/>
        <w:ind w:firstLine="480" w:firstLineChars="200"/>
        <w:rPr>
          <w:rFonts w:hAnsi="宋体" w:cs="宋体"/>
          <w:sz w:val="24"/>
          <w:szCs w:val="24"/>
        </w:rPr>
      </w:pPr>
      <w:r>
        <w:rPr>
          <w:rFonts w:hint="eastAsia" w:hAnsi="宋体" w:cs="宋体"/>
          <w:sz w:val="24"/>
          <w:szCs w:val="24"/>
        </w:rPr>
        <w:t>投诉人于年月日，向提出质疑，质疑事项为：</w:t>
      </w:r>
    </w:p>
    <w:p>
      <w:pPr>
        <w:pStyle w:val="20"/>
        <w:spacing w:line="360" w:lineRule="auto"/>
        <w:ind w:firstLine="241"/>
        <w:rPr>
          <w:rFonts w:hAnsi="宋体" w:cs="宋体"/>
          <w:bCs/>
          <w:sz w:val="24"/>
          <w:szCs w:val="24"/>
          <w:u w:val="single"/>
        </w:rPr>
      </w:pPr>
    </w:p>
    <w:p>
      <w:pPr>
        <w:pStyle w:val="20"/>
        <w:spacing w:line="360" w:lineRule="auto"/>
        <w:ind w:firstLine="241"/>
        <w:rPr>
          <w:rFonts w:hAnsi="宋体" w:cs="宋体"/>
          <w:bCs/>
          <w:sz w:val="24"/>
          <w:szCs w:val="24"/>
          <w:u w:val="single"/>
        </w:rPr>
      </w:pPr>
    </w:p>
    <w:p>
      <w:pPr>
        <w:pStyle w:val="20"/>
        <w:spacing w:line="360" w:lineRule="auto"/>
        <w:ind w:firstLine="480" w:firstLineChars="200"/>
        <w:rPr>
          <w:rFonts w:hAnsi="宋体" w:cs="宋体"/>
          <w:sz w:val="24"/>
          <w:szCs w:val="24"/>
        </w:rPr>
      </w:pPr>
      <w:r>
        <w:rPr>
          <w:rFonts w:hint="eastAsia" w:hAnsi="宋体" w:cs="宋体"/>
          <w:bCs/>
          <w:sz w:val="24"/>
          <w:szCs w:val="24"/>
          <w:u w:val="single"/>
        </w:rPr>
        <w:t>采购人/代理机构</w:t>
      </w:r>
      <w:r>
        <w:rPr>
          <w:rFonts w:hint="eastAsia" w:hAnsi="宋体" w:cs="宋体"/>
          <w:bCs/>
          <w:sz w:val="24"/>
          <w:szCs w:val="24"/>
        </w:rPr>
        <w:t>于</w:t>
      </w:r>
      <w:r>
        <w:rPr>
          <w:rFonts w:hint="eastAsia" w:hAnsi="宋体" w:cs="宋体"/>
          <w:sz w:val="24"/>
          <w:szCs w:val="24"/>
        </w:rPr>
        <w:t>年月日，</w:t>
      </w:r>
      <w:r>
        <w:rPr>
          <w:rFonts w:hint="eastAsia" w:hAnsi="宋体" w:cs="宋体"/>
          <w:bCs/>
          <w:sz w:val="24"/>
          <w:szCs w:val="24"/>
        </w:rPr>
        <w:t xml:space="preserve">就质疑事项作出了答复/没有在法定期限内作出答复。                                                                                             </w:t>
      </w:r>
    </w:p>
    <w:p>
      <w:pPr>
        <w:pStyle w:val="20"/>
        <w:spacing w:line="360" w:lineRule="auto"/>
        <w:ind w:left="25" w:leftChars="12" w:firstLine="472" w:firstLineChars="196"/>
        <w:rPr>
          <w:rFonts w:hAnsi="宋体" w:cs="宋体"/>
          <w:b/>
          <w:sz w:val="24"/>
          <w:szCs w:val="24"/>
        </w:rPr>
      </w:pPr>
      <w:r>
        <w:rPr>
          <w:rFonts w:hint="eastAsia" w:hAnsi="宋体" w:cs="宋体"/>
          <w:b/>
          <w:sz w:val="24"/>
          <w:szCs w:val="24"/>
        </w:rPr>
        <w:t>四、投诉事项具体内容</w:t>
      </w:r>
    </w:p>
    <w:p>
      <w:pPr>
        <w:pStyle w:val="20"/>
        <w:spacing w:line="360" w:lineRule="auto"/>
        <w:ind w:left="25" w:leftChars="12" w:firstLine="472" w:firstLineChars="197"/>
        <w:rPr>
          <w:rFonts w:hAnsi="宋体" w:cs="宋体"/>
          <w:bCs/>
          <w:sz w:val="24"/>
          <w:szCs w:val="24"/>
          <w:u w:val="single"/>
        </w:rPr>
      </w:pPr>
      <w:r>
        <w:rPr>
          <w:rFonts w:hint="eastAsia" w:hAnsi="宋体" w:cs="宋体"/>
          <w:sz w:val="24"/>
          <w:szCs w:val="24"/>
        </w:rPr>
        <w:t>投诉事项1：</w:t>
      </w:r>
    </w:p>
    <w:p>
      <w:pPr>
        <w:pStyle w:val="20"/>
        <w:spacing w:line="360" w:lineRule="auto"/>
        <w:ind w:firstLine="480" w:firstLineChars="200"/>
        <w:rPr>
          <w:rFonts w:hAnsi="宋体" w:cs="宋体"/>
          <w:bCs/>
          <w:sz w:val="24"/>
          <w:szCs w:val="24"/>
          <w:u w:val="single"/>
        </w:rPr>
      </w:pPr>
      <w:r>
        <w:rPr>
          <w:rFonts w:hint="eastAsia" w:hAnsi="宋体" w:cs="宋体"/>
          <w:bCs/>
          <w:sz w:val="24"/>
          <w:szCs w:val="24"/>
        </w:rPr>
        <w:t>事实依据：</w:t>
      </w:r>
    </w:p>
    <w:p>
      <w:pPr>
        <w:pStyle w:val="20"/>
        <w:spacing w:line="360" w:lineRule="auto"/>
        <w:ind w:left="25" w:leftChars="12" w:firstLine="472" w:firstLineChars="197"/>
        <w:rPr>
          <w:rFonts w:hAnsi="宋体" w:cs="宋体"/>
          <w:sz w:val="24"/>
          <w:szCs w:val="24"/>
        </w:rPr>
      </w:pPr>
    </w:p>
    <w:p>
      <w:pPr>
        <w:pStyle w:val="20"/>
        <w:spacing w:line="360" w:lineRule="auto"/>
        <w:ind w:firstLine="480" w:firstLineChars="200"/>
        <w:rPr>
          <w:rFonts w:hAnsi="宋体" w:cs="宋体"/>
          <w:bCs/>
          <w:sz w:val="24"/>
          <w:szCs w:val="24"/>
          <w:u w:val="single"/>
        </w:rPr>
      </w:pPr>
      <w:r>
        <w:rPr>
          <w:rFonts w:hint="eastAsia" w:hAnsi="宋体" w:cs="宋体"/>
          <w:bCs/>
          <w:sz w:val="24"/>
          <w:szCs w:val="24"/>
        </w:rPr>
        <w:t>法律依据：</w:t>
      </w:r>
    </w:p>
    <w:p>
      <w:pPr>
        <w:pStyle w:val="20"/>
        <w:spacing w:line="360" w:lineRule="auto"/>
        <w:ind w:left="25" w:leftChars="12" w:firstLine="352" w:firstLineChars="147"/>
        <w:rPr>
          <w:rFonts w:hAnsi="宋体" w:cs="宋体"/>
          <w:bCs/>
          <w:sz w:val="24"/>
          <w:szCs w:val="24"/>
          <w:u w:val="single"/>
        </w:rPr>
      </w:pPr>
    </w:p>
    <w:p>
      <w:pPr>
        <w:pStyle w:val="20"/>
        <w:spacing w:line="360" w:lineRule="auto"/>
        <w:ind w:left="25" w:leftChars="12" w:firstLine="472" w:firstLineChars="197"/>
        <w:rPr>
          <w:rFonts w:hAnsi="宋体" w:cs="宋体"/>
          <w:bCs/>
          <w:sz w:val="24"/>
          <w:szCs w:val="24"/>
        </w:rPr>
      </w:pPr>
      <w:r>
        <w:rPr>
          <w:rFonts w:hint="eastAsia" w:hAnsi="宋体" w:cs="宋体"/>
          <w:sz w:val="24"/>
          <w:szCs w:val="24"/>
        </w:rPr>
        <w:t xml:space="preserve">投诉事项2  </w:t>
      </w:r>
    </w:p>
    <w:p>
      <w:pPr>
        <w:pStyle w:val="20"/>
        <w:spacing w:line="360" w:lineRule="auto"/>
        <w:ind w:left="25" w:leftChars="12" w:firstLine="472" w:firstLineChars="197"/>
        <w:rPr>
          <w:rFonts w:hAnsi="宋体" w:cs="宋体"/>
          <w:bCs/>
          <w:sz w:val="24"/>
          <w:szCs w:val="24"/>
        </w:rPr>
      </w:pPr>
      <w:r>
        <w:rPr>
          <w:rFonts w:hint="eastAsia" w:hAnsi="宋体" w:cs="宋体"/>
          <w:bCs/>
          <w:sz w:val="24"/>
          <w:szCs w:val="24"/>
        </w:rPr>
        <w:t>……</w:t>
      </w:r>
    </w:p>
    <w:p>
      <w:pPr>
        <w:pStyle w:val="20"/>
        <w:spacing w:line="360" w:lineRule="auto"/>
        <w:ind w:left="25" w:leftChars="12" w:firstLine="472" w:firstLineChars="196"/>
        <w:rPr>
          <w:rFonts w:hAnsi="宋体" w:cs="宋体"/>
          <w:b/>
          <w:sz w:val="24"/>
          <w:szCs w:val="24"/>
        </w:rPr>
      </w:pPr>
      <w:r>
        <w:rPr>
          <w:rFonts w:hint="eastAsia" w:hAnsi="宋体" w:cs="宋体"/>
          <w:b/>
          <w:sz w:val="24"/>
          <w:szCs w:val="24"/>
        </w:rPr>
        <w:t>五、与投诉事项相关的投诉请求：</w:t>
      </w:r>
    </w:p>
    <w:p>
      <w:pPr>
        <w:pStyle w:val="20"/>
        <w:spacing w:line="360" w:lineRule="auto"/>
        <w:ind w:left="25" w:leftChars="12" w:firstLine="472" w:firstLineChars="197"/>
        <w:rPr>
          <w:rFonts w:hAnsi="宋体" w:cs="宋体"/>
          <w:sz w:val="24"/>
          <w:szCs w:val="24"/>
        </w:rPr>
      </w:pPr>
      <w:r>
        <w:rPr>
          <w:rFonts w:hint="eastAsia" w:hAnsi="宋体" w:cs="宋体"/>
          <w:sz w:val="24"/>
          <w:szCs w:val="24"/>
        </w:rPr>
        <w:t>请求：</w:t>
      </w:r>
    </w:p>
    <w:p>
      <w:pPr>
        <w:pStyle w:val="20"/>
        <w:spacing w:line="360" w:lineRule="auto"/>
        <w:ind w:left="25" w:leftChars="12" w:firstLine="352" w:firstLineChars="147"/>
        <w:rPr>
          <w:rFonts w:hAnsi="宋体" w:cs="宋体"/>
          <w:sz w:val="24"/>
          <w:szCs w:val="24"/>
        </w:rPr>
      </w:pPr>
    </w:p>
    <w:p>
      <w:pPr>
        <w:pStyle w:val="20"/>
        <w:spacing w:line="360" w:lineRule="auto"/>
        <w:ind w:left="25" w:leftChars="12" w:firstLine="2872" w:firstLineChars="1197"/>
        <w:rPr>
          <w:rFonts w:hAnsi="宋体" w:cs="宋体"/>
          <w:sz w:val="24"/>
          <w:szCs w:val="24"/>
        </w:rPr>
      </w:pPr>
      <w:r>
        <w:rPr>
          <w:rFonts w:hint="eastAsia" w:hAnsi="宋体" w:cs="宋体"/>
          <w:sz w:val="24"/>
          <w:szCs w:val="24"/>
        </w:rPr>
        <w:t xml:space="preserve">签字（签章）：                                       </w:t>
      </w:r>
    </w:p>
    <w:p>
      <w:pPr>
        <w:pStyle w:val="20"/>
        <w:spacing w:line="360" w:lineRule="auto"/>
        <w:ind w:left="25" w:leftChars="12" w:firstLine="2872" w:firstLineChars="1197"/>
        <w:rPr>
          <w:rFonts w:hAnsi="宋体" w:cs="宋体"/>
          <w:sz w:val="24"/>
          <w:szCs w:val="24"/>
        </w:rPr>
      </w:pPr>
      <w:r>
        <w:rPr>
          <w:rFonts w:hint="eastAsia" w:hAnsi="宋体" w:cs="宋体"/>
          <w:sz w:val="24"/>
          <w:szCs w:val="24"/>
        </w:rPr>
        <w:t>公章：</w:t>
      </w:r>
    </w:p>
    <w:p>
      <w:pPr>
        <w:pStyle w:val="20"/>
        <w:spacing w:line="360" w:lineRule="auto"/>
        <w:ind w:left="25" w:leftChars="12" w:firstLine="352" w:firstLineChars="147"/>
        <w:rPr>
          <w:rFonts w:hAnsi="宋体" w:cs="宋体"/>
          <w:sz w:val="24"/>
          <w:szCs w:val="24"/>
        </w:rPr>
      </w:pPr>
    </w:p>
    <w:p>
      <w:pPr>
        <w:pStyle w:val="20"/>
        <w:spacing w:line="360" w:lineRule="auto"/>
        <w:ind w:left="25" w:leftChars="12" w:firstLine="2872" w:firstLineChars="1197"/>
        <w:rPr>
          <w:rFonts w:hAnsi="宋体" w:cs="宋体"/>
          <w:sz w:val="24"/>
          <w:szCs w:val="24"/>
        </w:rPr>
      </w:pPr>
      <w:r>
        <w:rPr>
          <w:rFonts w:hint="eastAsia" w:hAnsi="宋体" w:cs="宋体"/>
          <w:sz w:val="24"/>
          <w:szCs w:val="24"/>
        </w:rPr>
        <w:t>日期： 年 月 日</w:t>
      </w:r>
    </w:p>
    <w:p>
      <w:pPr>
        <w:pStyle w:val="20"/>
        <w:spacing w:line="360" w:lineRule="auto"/>
        <w:ind w:left="25" w:leftChars="12" w:firstLine="475" w:firstLineChars="197"/>
        <w:rPr>
          <w:rFonts w:hAnsi="宋体" w:cs="宋体"/>
          <w:b/>
          <w:sz w:val="24"/>
          <w:szCs w:val="24"/>
        </w:rPr>
      </w:pPr>
    </w:p>
    <w:p>
      <w:pPr>
        <w:pStyle w:val="20"/>
        <w:snapToGrid w:val="0"/>
        <w:spacing w:line="360" w:lineRule="auto"/>
        <w:rPr>
          <w:rFonts w:ascii="楷体" w:hAnsi="楷体" w:eastAsia="楷体" w:cs="宋体"/>
          <w:b/>
          <w:sz w:val="24"/>
          <w:szCs w:val="24"/>
        </w:rPr>
      </w:pPr>
      <w:r>
        <w:rPr>
          <w:rFonts w:hint="eastAsia" w:ascii="楷体" w:hAnsi="楷体" w:eastAsia="楷体" w:cs="宋体"/>
          <w:b/>
          <w:sz w:val="24"/>
          <w:szCs w:val="24"/>
        </w:rPr>
        <w:t>说明：</w:t>
      </w:r>
    </w:p>
    <w:p>
      <w:pPr>
        <w:pStyle w:val="20"/>
        <w:spacing w:line="360" w:lineRule="auto"/>
        <w:ind w:left="25" w:leftChars="12" w:firstLine="354" w:firstLineChars="147"/>
        <w:rPr>
          <w:rFonts w:ascii="楷体" w:hAnsi="楷体" w:eastAsia="楷体" w:cs="宋体"/>
          <w:b/>
          <w:bCs/>
          <w:sz w:val="24"/>
          <w:szCs w:val="24"/>
        </w:rPr>
      </w:pPr>
      <w:r>
        <w:rPr>
          <w:rFonts w:ascii="楷体" w:hAnsi="楷体" w:eastAsia="楷体" w:cs="宋体"/>
          <w:b/>
          <w:sz w:val="24"/>
          <w:szCs w:val="24"/>
        </w:rPr>
        <w:t>1.投诉人提起投诉时，应当提交投诉书和必要的证明材料，并按照被投诉人和与投诉事项有关的供应商数量提供投诉书副本</w:t>
      </w:r>
      <w:r>
        <w:rPr>
          <w:rFonts w:hint="eastAsia" w:ascii="楷体" w:hAnsi="楷体" w:eastAsia="楷体" w:cs="宋体"/>
          <w:b/>
          <w:bCs/>
          <w:sz w:val="24"/>
          <w:szCs w:val="24"/>
        </w:rPr>
        <w:t>。</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2.投诉人若委托代理人进行投诉的，投诉书应按要求列明“授权代表”的有关内容，并在附件中提交由投诉人签署的授权委托书。授权委托书应当载明代理人的姓名或者名称、代理事项、具体权限、期限和相关事项。</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3.投诉书应简要列明质疑事项，质疑函、质疑答复等作为附件材料提供。</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4.投诉书的投诉事项应具体、明确，并有必要的事实依据和法律依据。</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5.投诉书的投诉请求应与投诉事项相关。</w:t>
      </w:r>
    </w:p>
    <w:p>
      <w:pPr>
        <w:pStyle w:val="20"/>
        <w:spacing w:line="360" w:lineRule="auto"/>
        <w:ind w:left="25" w:leftChars="12" w:firstLine="354" w:firstLineChars="147"/>
        <w:rPr>
          <w:rFonts w:ascii="楷体" w:hAnsi="楷体" w:eastAsia="楷体" w:cs="宋体"/>
          <w:b/>
          <w:sz w:val="24"/>
          <w:szCs w:val="24"/>
        </w:rPr>
      </w:pPr>
      <w:r>
        <w:rPr>
          <w:rFonts w:ascii="楷体" w:hAnsi="楷体" w:eastAsia="楷体" w:cs="宋体"/>
          <w:b/>
          <w:sz w:val="24"/>
          <w:szCs w:val="24"/>
        </w:rPr>
        <w:t>6.投诉人为法人或者其他组织的，投诉书应由法定代表人、主要负责人，或者其授权代表签字或者盖章，并加盖公章。</w:t>
      </w:r>
    </w:p>
    <w:sectPr>
      <w:headerReference r:id="rId14" w:type="first"/>
      <w:footerReference r:id="rId16" w:type="first"/>
      <w:headerReference r:id="rId13" w:type="default"/>
      <w:footerReference r:id="rId15" w:type="default"/>
      <w:pgSz w:w="11906" w:h="16838"/>
      <w:pgMar w:top="1417" w:right="1417" w:bottom="1417" w:left="1417"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Times New Roman)">
    <w:altName w:val="微软雅黑"/>
    <w:panose1 w:val="00000000000000000000"/>
    <w:charset w:val="00"/>
    <w:family w:val="auto"/>
    <w:pitch w:val="default"/>
    <w:sig w:usb0="00000000" w:usb1="00000000" w:usb2="00000000" w:usb3="00000000" w:csb0="00040001" w:csb1="00000000"/>
  </w:font>
  <w:font w:name="宋体正文">
    <w:altName w:val="宋体"/>
    <w:panose1 w:val="00000000000000000000"/>
    <w:charset w:val="00"/>
    <w:family w:val="auto"/>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宋体...骝乧.">
    <w:altName w:val="宋体"/>
    <w:panose1 w:val="00000000000000000000"/>
    <w:charset w:val="86"/>
    <w:family w:val="roma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jc w:val="both"/>
    </w:pPr>
  </w:p>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03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9.05pt;mso-position-horizontal:center;mso-position-horizontal-relative:margin;mso-wrap-style:none;z-index:251659264;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FT5rQAAAAAwEAAA8AAAAAAAAAAQAgAAAAIgAAAGRy&#10;cy9kb3ducmV2LnhtbFBLAQIUABQAAAAIAIdO4kAZMSJcDQIAABAEAAAOAAAAAAAAAAEAIAAAAB8B&#10;AABkcnMvZTJvRG9jLnhtbFBLBQYAAAAABgAGAFkBAACeBQAAAAA=&#10;">
              <v:fill on="f" focussize="0,0"/>
              <v:stroke on="f"/>
              <v:imagedata o:title=""/>
              <o:lock v:ext="edit" aspectratio="f"/>
              <v:textbox inset="0mm,0mm,0mm,0mm" style="mso-fit-shape-to-text:t;">
                <w:txbxConten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jc w:val="both"/>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0</w:t>
                    </w:r>
                    <w:r>
                      <w:fldChar w:fldCharType="end"/>
                    </w:r>
                  </w:p>
                </w:txbxContent>
              </v:textbox>
            </v:shape>
          </w:pict>
        </mc:Fallback>
      </mc:AlternateContent>
    </w:r>
  </w:p>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439"/>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FT5rQAAAAAwEAAA8AAAAAAAAAAQAgAAAAIgAAAGRy&#10;cy9kb3ducmV2LnhtbFBLAQIUABQAAAAIAIdO4kB7zHyyDQIAABAEAAAOAAAAAAAAAAEAIAAAAB8B&#10;AABkcnMvZTJvRG9jLnhtbFBLBQYAAAAABgAGAFkBAACeBQAAAAA=&#10;">
              <v:fill on="f" focussize="0,0"/>
              <v:stroke on="f"/>
              <v:imagedata o:title=""/>
              <o:lock v:ext="edit" aspectratio="f"/>
              <v:textbox inset="0mm,0mm,0mm,0mm" style="mso-fit-shape-to-text:t;">
                <w:txbxContent>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91</w:t>
                    </w:r>
                    <w:r>
                      <w:fldChar w:fldCharType="end"/>
                    </w:r>
                  </w:p>
                </w:txbxContent>
              </v:textbox>
            </v:shape>
          </w:pict>
        </mc:Fallback>
      </mc:AlternateContent>
    </w:r>
  </w:p>
  <w:p>
    <w:pPr>
      <w:pStyle w:val="2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3"/>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90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740E5"/>
    <w:multiLevelType w:val="singleLevel"/>
    <w:tmpl w:val="DE9740E5"/>
    <w:lvl w:ilvl="0" w:tentative="0">
      <w:start w:val="1"/>
      <w:numFmt w:val="decimal"/>
      <w:suff w:val="nothing"/>
      <w:lvlText w:val="%1、"/>
      <w:lvlJc w:val="left"/>
    </w:lvl>
  </w:abstractNum>
  <w:abstractNum w:abstractNumId="1">
    <w:nsid w:val="F4AEFC11"/>
    <w:multiLevelType w:val="singleLevel"/>
    <w:tmpl w:val="F4AEFC11"/>
    <w:lvl w:ilvl="0" w:tentative="0">
      <w:start w:val="1"/>
      <w:numFmt w:val="chineseCounting"/>
      <w:suff w:val="space"/>
      <w:lvlText w:val="第%1条"/>
      <w:lvlJc w:val="left"/>
      <w:rPr>
        <w:rFonts w:hint="eastAsia"/>
      </w:rPr>
    </w:lvl>
  </w:abstractNum>
  <w:abstractNum w:abstractNumId="2">
    <w:nsid w:val="093A479E"/>
    <w:multiLevelType w:val="singleLevel"/>
    <w:tmpl w:val="093A479E"/>
    <w:lvl w:ilvl="0" w:tentative="0">
      <w:start w:val="2"/>
      <w:numFmt w:val="decimal"/>
      <w:suff w:val="nothing"/>
      <w:lvlText w:val="%1、"/>
      <w:lvlJc w:val="left"/>
    </w:lvl>
  </w:abstractNum>
  <w:abstractNum w:abstractNumId="3">
    <w:nsid w:val="2A7CDF09"/>
    <w:multiLevelType w:val="singleLevel"/>
    <w:tmpl w:val="2A7CDF09"/>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NmMwNjdmNTFlNTY4MjA0NDViNDI5Zjc0MDNiMGIifQ=="/>
  </w:docVars>
  <w:rsids>
    <w:rsidRoot w:val="00172A27"/>
    <w:rsid w:val="000042F5"/>
    <w:rsid w:val="0003117E"/>
    <w:rsid w:val="0003179F"/>
    <w:rsid w:val="000420F1"/>
    <w:rsid w:val="000442B2"/>
    <w:rsid w:val="00045203"/>
    <w:rsid w:val="000457AC"/>
    <w:rsid w:val="00047D9E"/>
    <w:rsid w:val="00047E41"/>
    <w:rsid w:val="0005229B"/>
    <w:rsid w:val="000578CA"/>
    <w:rsid w:val="00081C9B"/>
    <w:rsid w:val="00094570"/>
    <w:rsid w:val="00094DA1"/>
    <w:rsid w:val="000A3980"/>
    <w:rsid w:val="000B3752"/>
    <w:rsid w:val="000C3FFB"/>
    <w:rsid w:val="000C509F"/>
    <w:rsid w:val="000C5B27"/>
    <w:rsid w:val="000D047C"/>
    <w:rsid w:val="000D0979"/>
    <w:rsid w:val="0010086F"/>
    <w:rsid w:val="00100BAB"/>
    <w:rsid w:val="00103633"/>
    <w:rsid w:val="001129BA"/>
    <w:rsid w:val="00117D7F"/>
    <w:rsid w:val="001205C9"/>
    <w:rsid w:val="0012137C"/>
    <w:rsid w:val="00121A53"/>
    <w:rsid w:val="00134412"/>
    <w:rsid w:val="00142117"/>
    <w:rsid w:val="001429CF"/>
    <w:rsid w:val="001469F3"/>
    <w:rsid w:val="00152D06"/>
    <w:rsid w:val="00153135"/>
    <w:rsid w:val="001539B0"/>
    <w:rsid w:val="00166429"/>
    <w:rsid w:val="00172A27"/>
    <w:rsid w:val="00173BFA"/>
    <w:rsid w:val="00173D29"/>
    <w:rsid w:val="00195EA5"/>
    <w:rsid w:val="001B3836"/>
    <w:rsid w:val="001D0284"/>
    <w:rsid w:val="001D4FF9"/>
    <w:rsid w:val="001F2E23"/>
    <w:rsid w:val="001F6031"/>
    <w:rsid w:val="00202F70"/>
    <w:rsid w:val="002061DC"/>
    <w:rsid w:val="00206586"/>
    <w:rsid w:val="00231BE2"/>
    <w:rsid w:val="00263E0B"/>
    <w:rsid w:val="00266768"/>
    <w:rsid w:val="00267E08"/>
    <w:rsid w:val="0027471E"/>
    <w:rsid w:val="002801F7"/>
    <w:rsid w:val="00287B89"/>
    <w:rsid w:val="00293C5F"/>
    <w:rsid w:val="00297AB2"/>
    <w:rsid w:val="002A303B"/>
    <w:rsid w:val="002A4F6F"/>
    <w:rsid w:val="002A58F2"/>
    <w:rsid w:val="002C267F"/>
    <w:rsid w:val="002C27BE"/>
    <w:rsid w:val="002E107C"/>
    <w:rsid w:val="002E70B1"/>
    <w:rsid w:val="002F045B"/>
    <w:rsid w:val="002F38FC"/>
    <w:rsid w:val="002F44F7"/>
    <w:rsid w:val="00313ACC"/>
    <w:rsid w:val="00334AF5"/>
    <w:rsid w:val="00345BE0"/>
    <w:rsid w:val="00367FFB"/>
    <w:rsid w:val="00380705"/>
    <w:rsid w:val="00382218"/>
    <w:rsid w:val="00385ADE"/>
    <w:rsid w:val="00391FCC"/>
    <w:rsid w:val="00393306"/>
    <w:rsid w:val="00394C62"/>
    <w:rsid w:val="003A0ED5"/>
    <w:rsid w:val="003A62B3"/>
    <w:rsid w:val="003B459D"/>
    <w:rsid w:val="003B6402"/>
    <w:rsid w:val="003B6F63"/>
    <w:rsid w:val="003B7C96"/>
    <w:rsid w:val="003C2F0F"/>
    <w:rsid w:val="003C39D5"/>
    <w:rsid w:val="003C7126"/>
    <w:rsid w:val="003F18CC"/>
    <w:rsid w:val="00403C65"/>
    <w:rsid w:val="00411D9B"/>
    <w:rsid w:val="004178E4"/>
    <w:rsid w:val="00420F6A"/>
    <w:rsid w:val="00422A3F"/>
    <w:rsid w:val="004339D3"/>
    <w:rsid w:val="00441E5D"/>
    <w:rsid w:val="00443F38"/>
    <w:rsid w:val="004501C2"/>
    <w:rsid w:val="00460B41"/>
    <w:rsid w:val="004621D7"/>
    <w:rsid w:val="00474FE8"/>
    <w:rsid w:val="00477D0E"/>
    <w:rsid w:val="00482293"/>
    <w:rsid w:val="00493A57"/>
    <w:rsid w:val="004A40F1"/>
    <w:rsid w:val="004A47A4"/>
    <w:rsid w:val="004A4DD3"/>
    <w:rsid w:val="004A701A"/>
    <w:rsid w:val="004B1B49"/>
    <w:rsid w:val="004B580B"/>
    <w:rsid w:val="004C2FCF"/>
    <w:rsid w:val="004C53C1"/>
    <w:rsid w:val="004D0060"/>
    <w:rsid w:val="004D37A1"/>
    <w:rsid w:val="004D656E"/>
    <w:rsid w:val="004D7EE2"/>
    <w:rsid w:val="004E21AB"/>
    <w:rsid w:val="004E29A5"/>
    <w:rsid w:val="004F1291"/>
    <w:rsid w:val="004F1F62"/>
    <w:rsid w:val="004F3669"/>
    <w:rsid w:val="004F40EC"/>
    <w:rsid w:val="004F551F"/>
    <w:rsid w:val="004F7C58"/>
    <w:rsid w:val="00507776"/>
    <w:rsid w:val="0051048D"/>
    <w:rsid w:val="00510FE4"/>
    <w:rsid w:val="005176F8"/>
    <w:rsid w:val="005316F1"/>
    <w:rsid w:val="00540C5F"/>
    <w:rsid w:val="00556988"/>
    <w:rsid w:val="005631DB"/>
    <w:rsid w:val="00595C3E"/>
    <w:rsid w:val="005A703B"/>
    <w:rsid w:val="005C4037"/>
    <w:rsid w:val="005C50D8"/>
    <w:rsid w:val="005D793E"/>
    <w:rsid w:val="005F186A"/>
    <w:rsid w:val="00602F64"/>
    <w:rsid w:val="00607ACF"/>
    <w:rsid w:val="006103CF"/>
    <w:rsid w:val="006179E3"/>
    <w:rsid w:val="006216C6"/>
    <w:rsid w:val="00623BC8"/>
    <w:rsid w:val="00631F41"/>
    <w:rsid w:val="00634D55"/>
    <w:rsid w:val="0066690F"/>
    <w:rsid w:val="00686B94"/>
    <w:rsid w:val="00690F7A"/>
    <w:rsid w:val="006C41D5"/>
    <w:rsid w:val="006C49C6"/>
    <w:rsid w:val="006C5D12"/>
    <w:rsid w:val="006C7F9A"/>
    <w:rsid w:val="006D0252"/>
    <w:rsid w:val="006D684C"/>
    <w:rsid w:val="006F0B25"/>
    <w:rsid w:val="007327F4"/>
    <w:rsid w:val="0073502E"/>
    <w:rsid w:val="00740D49"/>
    <w:rsid w:val="00747F79"/>
    <w:rsid w:val="0077246C"/>
    <w:rsid w:val="007801C8"/>
    <w:rsid w:val="00781943"/>
    <w:rsid w:val="00794272"/>
    <w:rsid w:val="007A0403"/>
    <w:rsid w:val="007A62A9"/>
    <w:rsid w:val="007B496E"/>
    <w:rsid w:val="007B49F9"/>
    <w:rsid w:val="007B7D09"/>
    <w:rsid w:val="007C079F"/>
    <w:rsid w:val="007C0998"/>
    <w:rsid w:val="007C1337"/>
    <w:rsid w:val="007D3C00"/>
    <w:rsid w:val="007D7DD1"/>
    <w:rsid w:val="007F5E3C"/>
    <w:rsid w:val="0080016A"/>
    <w:rsid w:val="008002FC"/>
    <w:rsid w:val="0082505C"/>
    <w:rsid w:val="00827DAD"/>
    <w:rsid w:val="008422BC"/>
    <w:rsid w:val="00844347"/>
    <w:rsid w:val="008501B1"/>
    <w:rsid w:val="00861C9D"/>
    <w:rsid w:val="0087375F"/>
    <w:rsid w:val="008A3DE0"/>
    <w:rsid w:val="008A4521"/>
    <w:rsid w:val="008D484B"/>
    <w:rsid w:val="008E52ED"/>
    <w:rsid w:val="008E55CC"/>
    <w:rsid w:val="008E7E46"/>
    <w:rsid w:val="008F7ED2"/>
    <w:rsid w:val="009064F3"/>
    <w:rsid w:val="00921002"/>
    <w:rsid w:val="00921552"/>
    <w:rsid w:val="00926C61"/>
    <w:rsid w:val="00927668"/>
    <w:rsid w:val="00931421"/>
    <w:rsid w:val="0094048F"/>
    <w:rsid w:val="00943B3A"/>
    <w:rsid w:val="00953F4B"/>
    <w:rsid w:val="00970EA2"/>
    <w:rsid w:val="00977A1B"/>
    <w:rsid w:val="009818D3"/>
    <w:rsid w:val="00982078"/>
    <w:rsid w:val="00985C0D"/>
    <w:rsid w:val="009908FD"/>
    <w:rsid w:val="00991454"/>
    <w:rsid w:val="009A415F"/>
    <w:rsid w:val="009A5299"/>
    <w:rsid w:val="009A56AB"/>
    <w:rsid w:val="009B2CDD"/>
    <w:rsid w:val="009C0D1E"/>
    <w:rsid w:val="009D38FD"/>
    <w:rsid w:val="009F1528"/>
    <w:rsid w:val="009F1EC5"/>
    <w:rsid w:val="009F7F25"/>
    <w:rsid w:val="00A02FD8"/>
    <w:rsid w:val="00A1043A"/>
    <w:rsid w:val="00A156CE"/>
    <w:rsid w:val="00A35716"/>
    <w:rsid w:val="00A5267B"/>
    <w:rsid w:val="00A60E40"/>
    <w:rsid w:val="00A613B3"/>
    <w:rsid w:val="00A61526"/>
    <w:rsid w:val="00A64ADF"/>
    <w:rsid w:val="00A64C47"/>
    <w:rsid w:val="00A74E39"/>
    <w:rsid w:val="00A754C3"/>
    <w:rsid w:val="00A835EA"/>
    <w:rsid w:val="00A87624"/>
    <w:rsid w:val="00A96DE4"/>
    <w:rsid w:val="00AB0ADF"/>
    <w:rsid w:val="00AB0B65"/>
    <w:rsid w:val="00AB6EDD"/>
    <w:rsid w:val="00AC2DD3"/>
    <w:rsid w:val="00AD157A"/>
    <w:rsid w:val="00AF0270"/>
    <w:rsid w:val="00AF58FE"/>
    <w:rsid w:val="00B005E9"/>
    <w:rsid w:val="00B0462D"/>
    <w:rsid w:val="00B079C7"/>
    <w:rsid w:val="00B24C49"/>
    <w:rsid w:val="00B26DEC"/>
    <w:rsid w:val="00B36033"/>
    <w:rsid w:val="00B409A4"/>
    <w:rsid w:val="00B44BC1"/>
    <w:rsid w:val="00B64E15"/>
    <w:rsid w:val="00B84A86"/>
    <w:rsid w:val="00B87431"/>
    <w:rsid w:val="00B92192"/>
    <w:rsid w:val="00B975BF"/>
    <w:rsid w:val="00BA4700"/>
    <w:rsid w:val="00BA4D5C"/>
    <w:rsid w:val="00BB2CB9"/>
    <w:rsid w:val="00BB704B"/>
    <w:rsid w:val="00BC01AC"/>
    <w:rsid w:val="00BE0B56"/>
    <w:rsid w:val="00BE3E5C"/>
    <w:rsid w:val="00BF1043"/>
    <w:rsid w:val="00BF2089"/>
    <w:rsid w:val="00C0189B"/>
    <w:rsid w:val="00C05422"/>
    <w:rsid w:val="00C07EA8"/>
    <w:rsid w:val="00C07FBD"/>
    <w:rsid w:val="00C22AB7"/>
    <w:rsid w:val="00C31789"/>
    <w:rsid w:val="00C32BBF"/>
    <w:rsid w:val="00C420F1"/>
    <w:rsid w:val="00C443B0"/>
    <w:rsid w:val="00C54288"/>
    <w:rsid w:val="00C71884"/>
    <w:rsid w:val="00C75246"/>
    <w:rsid w:val="00C75F53"/>
    <w:rsid w:val="00C765AF"/>
    <w:rsid w:val="00C93EB7"/>
    <w:rsid w:val="00C95168"/>
    <w:rsid w:val="00CB1FAB"/>
    <w:rsid w:val="00CB22E9"/>
    <w:rsid w:val="00CD1127"/>
    <w:rsid w:val="00CD4088"/>
    <w:rsid w:val="00CE2C5B"/>
    <w:rsid w:val="00CF2239"/>
    <w:rsid w:val="00D01D04"/>
    <w:rsid w:val="00D0298A"/>
    <w:rsid w:val="00D13EE6"/>
    <w:rsid w:val="00D22E16"/>
    <w:rsid w:val="00D355A7"/>
    <w:rsid w:val="00D4584F"/>
    <w:rsid w:val="00D5541A"/>
    <w:rsid w:val="00D6600A"/>
    <w:rsid w:val="00D72960"/>
    <w:rsid w:val="00D739AB"/>
    <w:rsid w:val="00D744E2"/>
    <w:rsid w:val="00D76C44"/>
    <w:rsid w:val="00D8326F"/>
    <w:rsid w:val="00D861D2"/>
    <w:rsid w:val="00D86669"/>
    <w:rsid w:val="00D97F07"/>
    <w:rsid w:val="00DA0395"/>
    <w:rsid w:val="00DA7057"/>
    <w:rsid w:val="00DB3B9B"/>
    <w:rsid w:val="00DC0480"/>
    <w:rsid w:val="00DD7BED"/>
    <w:rsid w:val="00DE3FFD"/>
    <w:rsid w:val="00DF13CA"/>
    <w:rsid w:val="00E06115"/>
    <w:rsid w:val="00E169C5"/>
    <w:rsid w:val="00E16FE2"/>
    <w:rsid w:val="00E34CE1"/>
    <w:rsid w:val="00E47C86"/>
    <w:rsid w:val="00EA0422"/>
    <w:rsid w:val="00EA4104"/>
    <w:rsid w:val="00EA5DFD"/>
    <w:rsid w:val="00EB4AE1"/>
    <w:rsid w:val="00EB6C34"/>
    <w:rsid w:val="00EC740C"/>
    <w:rsid w:val="00ED6F5F"/>
    <w:rsid w:val="00EE765E"/>
    <w:rsid w:val="00F07501"/>
    <w:rsid w:val="00F1058B"/>
    <w:rsid w:val="00F165A3"/>
    <w:rsid w:val="00F22140"/>
    <w:rsid w:val="00F34120"/>
    <w:rsid w:val="00F34957"/>
    <w:rsid w:val="00F42F1E"/>
    <w:rsid w:val="00F444F4"/>
    <w:rsid w:val="00F521F0"/>
    <w:rsid w:val="00F7304C"/>
    <w:rsid w:val="00F80F29"/>
    <w:rsid w:val="00F9763A"/>
    <w:rsid w:val="00FB2260"/>
    <w:rsid w:val="00FD5DDB"/>
    <w:rsid w:val="00FD6FD5"/>
    <w:rsid w:val="00FE00D4"/>
    <w:rsid w:val="00FE3840"/>
    <w:rsid w:val="00FF3755"/>
    <w:rsid w:val="037E1CE7"/>
    <w:rsid w:val="03C475CF"/>
    <w:rsid w:val="04090D29"/>
    <w:rsid w:val="0516342C"/>
    <w:rsid w:val="071B7485"/>
    <w:rsid w:val="071D159D"/>
    <w:rsid w:val="0B53254B"/>
    <w:rsid w:val="0BDE2A9B"/>
    <w:rsid w:val="0E3A4E6E"/>
    <w:rsid w:val="0FF336C4"/>
    <w:rsid w:val="11D23448"/>
    <w:rsid w:val="162437A1"/>
    <w:rsid w:val="17286D0C"/>
    <w:rsid w:val="17981ECF"/>
    <w:rsid w:val="1D977549"/>
    <w:rsid w:val="1E025426"/>
    <w:rsid w:val="23C42EC5"/>
    <w:rsid w:val="24F84260"/>
    <w:rsid w:val="276C4316"/>
    <w:rsid w:val="296F6939"/>
    <w:rsid w:val="297C731B"/>
    <w:rsid w:val="2D656721"/>
    <w:rsid w:val="32FD1D03"/>
    <w:rsid w:val="35446C9F"/>
    <w:rsid w:val="37E74955"/>
    <w:rsid w:val="39472477"/>
    <w:rsid w:val="3D4B0156"/>
    <w:rsid w:val="3DF634DF"/>
    <w:rsid w:val="3ECA7CED"/>
    <w:rsid w:val="41411495"/>
    <w:rsid w:val="415428DD"/>
    <w:rsid w:val="440E7F51"/>
    <w:rsid w:val="46A63BDA"/>
    <w:rsid w:val="471C1137"/>
    <w:rsid w:val="48D013E2"/>
    <w:rsid w:val="4B211352"/>
    <w:rsid w:val="4C545E87"/>
    <w:rsid w:val="4FDE2637"/>
    <w:rsid w:val="4FE70DC0"/>
    <w:rsid w:val="522F0F63"/>
    <w:rsid w:val="58596708"/>
    <w:rsid w:val="5AE936B9"/>
    <w:rsid w:val="5BC16969"/>
    <w:rsid w:val="601C7286"/>
    <w:rsid w:val="68994EF5"/>
    <w:rsid w:val="694B0097"/>
    <w:rsid w:val="69B613DE"/>
    <w:rsid w:val="6AF95442"/>
    <w:rsid w:val="6B9A6C3B"/>
    <w:rsid w:val="6EBE6FCA"/>
    <w:rsid w:val="704A4D27"/>
    <w:rsid w:val="70DF71F0"/>
    <w:rsid w:val="7499627D"/>
    <w:rsid w:val="75805C4D"/>
    <w:rsid w:val="7AFE508C"/>
    <w:rsid w:val="7DAD3EEA"/>
    <w:rsid w:val="7E373A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42"/>
    <w:autoRedefine/>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43"/>
    <w:autoRedefine/>
    <w:qFormat/>
    <w:uiPriority w:val="0"/>
    <w:pPr>
      <w:keepNext/>
      <w:keepLines/>
      <w:spacing w:before="260" w:after="260" w:line="416" w:lineRule="auto"/>
      <w:outlineLvl w:val="1"/>
    </w:pPr>
    <w:rPr>
      <w:rFonts w:ascii="Cambria" w:hAnsi="Cambria"/>
      <w:b/>
      <w:bCs/>
      <w:sz w:val="32"/>
      <w:szCs w:val="32"/>
    </w:rPr>
  </w:style>
  <w:style w:type="paragraph" w:styleId="7">
    <w:name w:val="heading 3"/>
    <w:basedOn w:val="1"/>
    <w:next w:val="1"/>
    <w:autoRedefine/>
    <w:qFormat/>
    <w:uiPriority w:val="0"/>
    <w:pPr>
      <w:keepNext/>
      <w:keepLines/>
      <w:spacing w:before="260" w:after="260" w:line="416" w:lineRule="auto"/>
      <w:outlineLvl w:val="2"/>
    </w:pPr>
    <w:rPr>
      <w:b/>
      <w:bCs/>
      <w:sz w:val="32"/>
      <w:szCs w:val="32"/>
    </w:rPr>
  </w:style>
  <w:style w:type="paragraph" w:styleId="8">
    <w:name w:val="heading 4"/>
    <w:basedOn w:val="1"/>
    <w:next w:val="1"/>
    <w:link w:val="44"/>
    <w:autoRedefine/>
    <w:qFormat/>
    <w:uiPriority w:val="0"/>
    <w:pPr>
      <w:tabs>
        <w:tab w:val="left" w:pos="2155"/>
      </w:tabs>
      <w:adjustRightInd w:val="0"/>
      <w:spacing w:before="120" w:line="360" w:lineRule="auto"/>
      <w:ind w:left="2155" w:hanging="1078"/>
      <w:textAlignment w:val="baseline"/>
      <w:outlineLvl w:val="3"/>
    </w:pPr>
    <w:rPr>
      <w:rFonts w:ascii="Arial" w:eastAsia="黑体"/>
      <w:kern w:val="0"/>
      <w:sz w:val="28"/>
      <w:szCs w:val="20"/>
    </w:rPr>
  </w:style>
  <w:style w:type="paragraph" w:styleId="9">
    <w:name w:val="heading 5"/>
    <w:basedOn w:val="1"/>
    <w:next w:val="10"/>
    <w:link w:val="45"/>
    <w:autoRedefine/>
    <w:qFormat/>
    <w:uiPriority w:val="9"/>
    <w:pPr>
      <w:keepNext/>
      <w:keepLines/>
      <w:spacing w:before="280" w:after="290" w:line="376" w:lineRule="auto"/>
      <w:outlineLvl w:val="4"/>
    </w:pPr>
    <w:rPr>
      <w:b/>
      <w:bCs/>
      <w:sz w:val="28"/>
      <w:szCs w:val="28"/>
    </w:rPr>
  </w:style>
  <w:style w:type="paragraph" w:styleId="11">
    <w:name w:val="heading 6"/>
    <w:basedOn w:val="1"/>
    <w:next w:val="1"/>
    <w:autoRedefine/>
    <w:qFormat/>
    <w:uiPriority w:val="0"/>
    <w:pPr>
      <w:keepNext/>
      <w:keepLines/>
      <w:spacing w:before="240" w:after="64" w:line="316" w:lineRule="auto"/>
      <w:outlineLvl w:val="5"/>
    </w:pPr>
    <w:rPr>
      <w:rFonts w:ascii="Arial" w:hAnsi="Arial" w:eastAsia="黑体"/>
      <w:b/>
      <w:bCs/>
      <w:sz w:val="24"/>
    </w:rPr>
  </w:style>
  <w:style w:type="paragraph" w:styleId="12">
    <w:name w:val="heading 7"/>
    <w:basedOn w:val="1"/>
    <w:next w:val="1"/>
    <w:link w:val="46"/>
    <w:autoRedefine/>
    <w:qFormat/>
    <w:uiPriority w:val="0"/>
    <w:pPr>
      <w:keepNext/>
      <w:keepLines/>
      <w:spacing w:before="240" w:after="64" w:line="320" w:lineRule="auto"/>
      <w:outlineLvl w:val="6"/>
    </w:pPr>
    <w:rPr>
      <w:b/>
      <w:bCs/>
      <w:sz w:val="24"/>
    </w:rPr>
  </w:style>
  <w:style w:type="paragraph" w:styleId="13">
    <w:name w:val="heading 8"/>
    <w:basedOn w:val="1"/>
    <w:next w:val="1"/>
    <w:link w:val="47"/>
    <w:autoRedefine/>
    <w:qFormat/>
    <w:uiPriority w:val="9"/>
    <w:pPr>
      <w:keepNext/>
      <w:keepLines/>
      <w:spacing w:before="240" w:after="64" w:line="320" w:lineRule="auto"/>
      <w:outlineLvl w:val="7"/>
    </w:pPr>
    <w:rPr>
      <w:rFonts w:ascii="等线 Light" w:hAnsi="等线 Light" w:eastAsia="等线 Light"/>
      <w:sz w:val="24"/>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9"/>
    <w:autoRedefine/>
    <w:unhideWhenUsed/>
    <w:qFormat/>
    <w:uiPriority w:val="99"/>
    <w:pPr>
      <w:spacing w:after="120"/>
    </w:pPr>
  </w:style>
  <w:style w:type="paragraph" w:styleId="3">
    <w:name w:val="Body Text First Indent 2"/>
    <w:basedOn w:val="2"/>
    <w:next w:val="4"/>
    <w:link w:val="60"/>
    <w:autoRedefine/>
    <w:qFormat/>
    <w:uiPriority w:val="99"/>
    <w:pPr>
      <w:ind w:firstLine="420" w:firstLineChars="200"/>
    </w:pPr>
    <w:rPr>
      <w:rFonts w:ascii="宋体" w:hAnsi="Courier New"/>
      <w:spacing w:val="-4"/>
      <w:sz w:val="18"/>
    </w:rPr>
  </w:style>
  <w:style w:type="paragraph" w:styleId="4">
    <w:name w:val="Body Text First Indent"/>
    <w:basedOn w:val="2"/>
    <w:next w:val="1"/>
    <w:autoRedefine/>
    <w:qFormat/>
    <w:uiPriority w:val="0"/>
    <w:pPr>
      <w:adjustRightInd w:val="0"/>
      <w:spacing w:after="60" w:line="360" w:lineRule="atLeast"/>
      <w:ind w:left="72" w:leftChars="30" w:right="30" w:rightChars="30" w:firstLine="420"/>
      <w:jc w:val="center"/>
      <w:textAlignment w:val="baseline"/>
    </w:pPr>
    <w:rPr>
      <w:rFonts w:eastAsia="楷体_GB2312"/>
      <w:kern w:val="0"/>
      <w:sz w:val="32"/>
    </w:rPr>
  </w:style>
  <w:style w:type="paragraph" w:styleId="10">
    <w:name w:val="Normal Indent"/>
    <w:basedOn w:val="1"/>
    <w:autoRedefine/>
    <w:qFormat/>
    <w:uiPriority w:val="0"/>
    <w:pPr>
      <w:ind w:firstLine="420"/>
    </w:pPr>
    <w:rPr>
      <w:szCs w:val="20"/>
    </w:rPr>
  </w:style>
  <w:style w:type="paragraph" w:styleId="14">
    <w:name w:val="index 8"/>
    <w:basedOn w:val="1"/>
    <w:next w:val="1"/>
    <w:autoRedefine/>
    <w:qFormat/>
    <w:uiPriority w:val="0"/>
    <w:pPr>
      <w:ind w:left="2940"/>
    </w:pPr>
  </w:style>
  <w:style w:type="paragraph" w:styleId="15">
    <w:name w:val="List Number"/>
    <w:basedOn w:val="1"/>
    <w:autoRedefine/>
    <w:qFormat/>
    <w:uiPriority w:val="0"/>
    <w:pPr>
      <w:widowControl/>
      <w:tabs>
        <w:tab w:val="left" w:pos="454"/>
        <w:tab w:val="left" w:pos="720"/>
        <w:tab w:val="left" w:pos="840"/>
      </w:tabs>
      <w:spacing w:afterLines="50"/>
      <w:ind w:left="454" w:hanging="284"/>
      <w:jc w:val="left"/>
    </w:pPr>
    <w:rPr>
      <w:kern w:val="0"/>
      <w:sz w:val="24"/>
      <w:szCs w:val="20"/>
    </w:rPr>
  </w:style>
  <w:style w:type="paragraph" w:styleId="16">
    <w:name w:val="annotation text"/>
    <w:basedOn w:val="1"/>
    <w:link w:val="52"/>
    <w:autoRedefine/>
    <w:qFormat/>
    <w:uiPriority w:val="0"/>
    <w:pPr>
      <w:jc w:val="left"/>
    </w:pPr>
  </w:style>
  <w:style w:type="paragraph" w:styleId="17">
    <w:name w:val="Body Text 3"/>
    <w:basedOn w:val="1"/>
    <w:link w:val="53"/>
    <w:autoRedefine/>
    <w:unhideWhenUsed/>
    <w:qFormat/>
    <w:uiPriority w:val="99"/>
    <w:pPr>
      <w:spacing w:after="120"/>
    </w:pPr>
    <w:rPr>
      <w:sz w:val="16"/>
      <w:szCs w:val="16"/>
    </w:rPr>
  </w:style>
  <w:style w:type="paragraph" w:styleId="18">
    <w:name w:val="Body Text Indent"/>
    <w:basedOn w:val="1"/>
    <w:link w:val="54"/>
    <w:autoRedefine/>
    <w:qFormat/>
    <w:uiPriority w:val="0"/>
    <w:pPr>
      <w:ind w:firstLine="830" w:firstLineChars="352"/>
    </w:pPr>
    <w:rPr>
      <w:rFonts w:ascii="仿宋_GB2312" w:eastAsia="仿宋_GB2312"/>
      <w:kern w:val="0"/>
      <w:sz w:val="32"/>
      <w:szCs w:val="20"/>
    </w:rPr>
  </w:style>
  <w:style w:type="paragraph" w:styleId="19">
    <w:name w:val="List 2"/>
    <w:basedOn w:val="1"/>
    <w:autoRedefine/>
    <w:unhideWhenUsed/>
    <w:qFormat/>
    <w:uiPriority w:val="99"/>
    <w:pPr>
      <w:ind w:left="100" w:leftChars="200" w:hanging="200" w:hangingChars="200"/>
      <w:contextualSpacing/>
    </w:pPr>
  </w:style>
  <w:style w:type="paragraph" w:styleId="20">
    <w:name w:val="Plain Text"/>
    <w:basedOn w:val="1"/>
    <w:next w:val="8"/>
    <w:link w:val="56"/>
    <w:autoRedefine/>
    <w:qFormat/>
    <w:uiPriority w:val="99"/>
    <w:rPr>
      <w:rFonts w:ascii="宋体" w:hAnsi="Courier New"/>
      <w:kern w:val="0"/>
      <w:sz w:val="20"/>
      <w:szCs w:val="21"/>
    </w:rPr>
  </w:style>
  <w:style w:type="paragraph" w:styleId="21">
    <w:name w:val="Date"/>
    <w:basedOn w:val="1"/>
    <w:next w:val="1"/>
    <w:link w:val="57"/>
    <w:autoRedefine/>
    <w:unhideWhenUsed/>
    <w:qFormat/>
    <w:uiPriority w:val="99"/>
    <w:pPr>
      <w:ind w:left="100" w:leftChars="2500"/>
    </w:pPr>
  </w:style>
  <w:style w:type="paragraph" w:styleId="22">
    <w:name w:val="Balloon Text"/>
    <w:basedOn w:val="1"/>
    <w:link w:val="58"/>
    <w:autoRedefine/>
    <w:qFormat/>
    <w:uiPriority w:val="0"/>
    <w:rPr>
      <w:sz w:val="18"/>
      <w:szCs w:val="18"/>
    </w:rPr>
  </w:style>
  <w:style w:type="paragraph" w:styleId="23">
    <w:name w:val="footer"/>
    <w:basedOn w:val="1"/>
    <w:next w:val="1"/>
    <w:link w:val="4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4">
    <w:name w:val="header"/>
    <w:basedOn w:val="1"/>
    <w:link w:val="40"/>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5">
    <w:name w:val="toc 1"/>
    <w:basedOn w:val="1"/>
    <w:next w:val="1"/>
    <w:autoRedefine/>
    <w:unhideWhenUsed/>
    <w:qFormat/>
    <w:uiPriority w:val="39"/>
  </w:style>
  <w:style w:type="paragraph" w:styleId="26">
    <w:name w:val="footnote text"/>
    <w:basedOn w:val="1"/>
    <w:link w:val="87"/>
    <w:autoRedefine/>
    <w:unhideWhenUsed/>
    <w:qFormat/>
    <w:uiPriority w:val="99"/>
    <w:pPr>
      <w:snapToGrid w:val="0"/>
      <w:jc w:val="left"/>
    </w:pPr>
    <w:rPr>
      <w:sz w:val="18"/>
      <w:szCs w:val="18"/>
    </w:rPr>
  </w:style>
  <w:style w:type="paragraph" w:styleId="27">
    <w:name w:val="table of figures"/>
    <w:basedOn w:val="1"/>
    <w:next w:val="1"/>
    <w:autoRedefine/>
    <w:unhideWhenUsed/>
    <w:qFormat/>
    <w:uiPriority w:val="0"/>
    <w:pPr>
      <w:ind w:left="200" w:leftChars="200" w:hanging="200" w:hangingChars="200"/>
    </w:pPr>
    <w:rPr>
      <w:rFonts w:ascii="Calibri" w:hAnsi="Calibri"/>
      <w:sz w:val="28"/>
    </w:rPr>
  </w:style>
  <w:style w:type="paragraph" w:styleId="28">
    <w:name w:val="toc 2"/>
    <w:basedOn w:val="1"/>
    <w:next w:val="1"/>
    <w:autoRedefine/>
    <w:unhideWhenUsed/>
    <w:qFormat/>
    <w:uiPriority w:val="39"/>
    <w:pPr>
      <w:tabs>
        <w:tab w:val="right" w:leader="dot" w:pos="8296"/>
      </w:tabs>
      <w:ind w:left="420" w:leftChars="200"/>
    </w:pPr>
  </w:style>
  <w:style w:type="paragraph" w:styleId="29">
    <w:name w:val="Normal (Web)"/>
    <w:basedOn w:val="1"/>
    <w:autoRedefine/>
    <w:unhideWhenUsed/>
    <w:qFormat/>
    <w:uiPriority w:val="99"/>
    <w:rPr>
      <w:rFonts w:ascii="Calibri" w:hAnsi="Calibri"/>
      <w:kern w:val="0"/>
      <w:sz w:val="24"/>
    </w:rPr>
  </w:style>
  <w:style w:type="paragraph" w:styleId="30">
    <w:name w:val="Title"/>
    <w:basedOn w:val="1"/>
    <w:next w:val="1"/>
    <w:link w:val="50"/>
    <w:autoRedefine/>
    <w:qFormat/>
    <w:uiPriority w:val="0"/>
    <w:pPr>
      <w:spacing w:before="240" w:after="60"/>
      <w:jc w:val="center"/>
      <w:outlineLvl w:val="0"/>
    </w:pPr>
    <w:rPr>
      <w:rFonts w:ascii="Arial" w:hAnsi="Arial" w:cs="Arial"/>
      <w:b/>
      <w:bCs/>
      <w:sz w:val="32"/>
      <w:szCs w:val="32"/>
    </w:rPr>
  </w:style>
  <w:style w:type="paragraph" w:styleId="31">
    <w:name w:val="annotation subject"/>
    <w:basedOn w:val="16"/>
    <w:next w:val="16"/>
    <w:link w:val="59"/>
    <w:autoRedefine/>
    <w:qFormat/>
    <w:uiPriority w:val="99"/>
    <w:rPr>
      <w:b/>
      <w:bCs/>
    </w:rPr>
  </w:style>
  <w:style w:type="table" w:styleId="33">
    <w:name w:val="Table Grid"/>
    <w:basedOn w:val="32"/>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autoRedefine/>
    <w:qFormat/>
    <w:uiPriority w:val="22"/>
    <w:rPr>
      <w:b/>
    </w:rPr>
  </w:style>
  <w:style w:type="character" w:styleId="36">
    <w:name w:val="endnote reference"/>
    <w:autoRedefine/>
    <w:unhideWhenUsed/>
    <w:qFormat/>
    <w:uiPriority w:val="99"/>
    <w:rPr>
      <w:vertAlign w:val="superscript"/>
    </w:rPr>
  </w:style>
  <w:style w:type="character" w:styleId="37">
    <w:name w:val="Hyperlink"/>
    <w:basedOn w:val="34"/>
    <w:autoRedefine/>
    <w:unhideWhenUsed/>
    <w:qFormat/>
    <w:uiPriority w:val="99"/>
    <w:rPr>
      <w:color w:val="0000FF"/>
      <w:u w:val="single"/>
    </w:rPr>
  </w:style>
  <w:style w:type="character" w:styleId="38">
    <w:name w:val="annotation reference"/>
    <w:autoRedefine/>
    <w:qFormat/>
    <w:uiPriority w:val="0"/>
    <w:rPr>
      <w:sz w:val="21"/>
      <w:szCs w:val="21"/>
    </w:rPr>
  </w:style>
  <w:style w:type="character" w:styleId="39">
    <w:name w:val="HTML Sample"/>
    <w:basedOn w:val="34"/>
    <w:autoRedefine/>
    <w:semiHidden/>
    <w:unhideWhenUsed/>
    <w:qFormat/>
    <w:uiPriority w:val="99"/>
    <w:rPr>
      <w:rFonts w:ascii="Courier New" w:hAnsi="Courier New"/>
    </w:rPr>
  </w:style>
  <w:style w:type="character" w:customStyle="1" w:styleId="40">
    <w:name w:val="页眉 Char"/>
    <w:basedOn w:val="34"/>
    <w:link w:val="24"/>
    <w:autoRedefine/>
    <w:qFormat/>
    <w:uiPriority w:val="99"/>
    <w:rPr>
      <w:sz w:val="18"/>
      <w:szCs w:val="18"/>
    </w:rPr>
  </w:style>
  <w:style w:type="character" w:customStyle="1" w:styleId="41">
    <w:name w:val="页脚 Char"/>
    <w:basedOn w:val="34"/>
    <w:link w:val="23"/>
    <w:autoRedefine/>
    <w:qFormat/>
    <w:uiPriority w:val="99"/>
    <w:rPr>
      <w:sz w:val="18"/>
      <w:szCs w:val="18"/>
    </w:rPr>
  </w:style>
  <w:style w:type="character" w:customStyle="1" w:styleId="42">
    <w:name w:val="标题 1 Char"/>
    <w:basedOn w:val="34"/>
    <w:link w:val="5"/>
    <w:autoRedefine/>
    <w:qFormat/>
    <w:uiPriority w:val="9"/>
    <w:rPr>
      <w:rFonts w:ascii="Times New Roman" w:hAnsi="Times New Roman" w:eastAsia="宋体" w:cs="Times New Roman"/>
      <w:b/>
      <w:bCs/>
      <w:kern w:val="44"/>
      <w:sz w:val="44"/>
      <w:szCs w:val="44"/>
    </w:rPr>
  </w:style>
  <w:style w:type="character" w:customStyle="1" w:styleId="43">
    <w:name w:val="标题 2 Char1"/>
    <w:basedOn w:val="34"/>
    <w:link w:val="6"/>
    <w:autoRedefine/>
    <w:qFormat/>
    <w:uiPriority w:val="0"/>
    <w:rPr>
      <w:rFonts w:ascii="Cambria" w:hAnsi="Cambria" w:eastAsia="宋体" w:cs="Times New Roman"/>
      <w:b/>
      <w:bCs/>
      <w:sz w:val="32"/>
      <w:szCs w:val="32"/>
    </w:rPr>
  </w:style>
  <w:style w:type="character" w:customStyle="1" w:styleId="44">
    <w:name w:val="标题 4 Char"/>
    <w:basedOn w:val="34"/>
    <w:link w:val="8"/>
    <w:autoRedefine/>
    <w:qFormat/>
    <w:uiPriority w:val="0"/>
    <w:rPr>
      <w:rFonts w:ascii="Arial" w:hAnsi="Times New Roman" w:eastAsia="黑体" w:cs="Times New Roman"/>
      <w:kern w:val="0"/>
      <w:sz w:val="28"/>
      <w:szCs w:val="20"/>
    </w:rPr>
  </w:style>
  <w:style w:type="character" w:customStyle="1" w:styleId="45">
    <w:name w:val="标题 5 Char"/>
    <w:basedOn w:val="34"/>
    <w:link w:val="9"/>
    <w:autoRedefine/>
    <w:qFormat/>
    <w:uiPriority w:val="9"/>
    <w:rPr>
      <w:rFonts w:ascii="Times New Roman" w:hAnsi="Times New Roman" w:eastAsia="宋体" w:cs="Times New Roman"/>
      <w:b/>
      <w:bCs/>
      <w:sz w:val="28"/>
      <w:szCs w:val="28"/>
    </w:rPr>
  </w:style>
  <w:style w:type="character" w:customStyle="1" w:styleId="46">
    <w:name w:val="标题 7 Char"/>
    <w:basedOn w:val="34"/>
    <w:link w:val="12"/>
    <w:autoRedefine/>
    <w:qFormat/>
    <w:uiPriority w:val="0"/>
    <w:rPr>
      <w:rFonts w:ascii="Times New Roman" w:hAnsi="Times New Roman" w:eastAsia="宋体" w:cs="Times New Roman"/>
      <w:b/>
      <w:bCs/>
      <w:sz w:val="24"/>
      <w:szCs w:val="24"/>
    </w:rPr>
  </w:style>
  <w:style w:type="character" w:customStyle="1" w:styleId="47">
    <w:name w:val="标题 8 Char1"/>
    <w:basedOn w:val="34"/>
    <w:link w:val="13"/>
    <w:autoRedefine/>
    <w:qFormat/>
    <w:uiPriority w:val="9"/>
    <w:rPr>
      <w:rFonts w:ascii="等线 Light" w:hAnsi="等线 Light" w:eastAsia="等线 Light" w:cs="Times New Roman"/>
      <w:sz w:val="24"/>
      <w:szCs w:val="24"/>
    </w:rPr>
  </w:style>
  <w:style w:type="character" w:customStyle="1" w:styleId="48">
    <w:name w:val="正文文本 字符"/>
    <w:basedOn w:val="34"/>
    <w:autoRedefine/>
    <w:qFormat/>
    <w:uiPriority w:val="99"/>
    <w:rPr>
      <w:rFonts w:ascii="Times New Roman" w:hAnsi="Times New Roman" w:eastAsia="宋体" w:cs="Times New Roman"/>
      <w:szCs w:val="24"/>
    </w:rPr>
  </w:style>
  <w:style w:type="character" w:customStyle="1" w:styleId="49">
    <w:name w:val="正文文本 Char1"/>
    <w:link w:val="2"/>
    <w:autoRedefine/>
    <w:qFormat/>
    <w:uiPriority w:val="0"/>
    <w:rPr>
      <w:rFonts w:ascii="Times New Roman" w:hAnsi="Times New Roman" w:eastAsia="宋体" w:cs="Times New Roman"/>
      <w:szCs w:val="24"/>
    </w:rPr>
  </w:style>
  <w:style w:type="character" w:customStyle="1" w:styleId="50">
    <w:name w:val="标题 Char"/>
    <w:basedOn w:val="34"/>
    <w:link w:val="30"/>
    <w:autoRedefine/>
    <w:qFormat/>
    <w:uiPriority w:val="0"/>
    <w:rPr>
      <w:rFonts w:ascii="Arial" w:hAnsi="Arial" w:eastAsia="宋体" w:cs="Arial"/>
      <w:b/>
      <w:bCs/>
      <w:sz w:val="32"/>
      <w:szCs w:val="32"/>
    </w:rPr>
  </w:style>
  <w:style w:type="character" w:customStyle="1" w:styleId="51">
    <w:name w:val="批注文字 字符"/>
    <w:basedOn w:val="34"/>
    <w:autoRedefine/>
    <w:qFormat/>
    <w:uiPriority w:val="0"/>
    <w:rPr>
      <w:rFonts w:ascii="Times New Roman" w:hAnsi="Times New Roman" w:eastAsia="宋体" w:cs="Times New Roman"/>
      <w:szCs w:val="24"/>
    </w:rPr>
  </w:style>
  <w:style w:type="character" w:customStyle="1" w:styleId="52">
    <w:name w:val="批注文字 Char1"/>
    <w:link w:val="16"/>
    <w:autoRedefine/>
    <w:qFormat/>
    <w:uiPriority w:val="0"/>
    <w:rPr>
      <w:rFonts w:ascii="Times New Roman" w:hAnsi="Times New Roman" w:eastAsia="宋体" w:cs="Times New Roman"/>
      <w:szCs w:val="24"/>
    </w:rPr>
  </w:style>
  <w:style w:type="character" w:customStyle="1" w:styleId="53">
    <w:name w:val="正文文本 3 Char"/>
    <w:basedOn w:val="34"/>
    <w:link w:val="17"/>
    <w:autoRedefine/>
    <w:qFormat/>
    <w:uiPriority w:val="99"/>
    <w:rPr>
      <w:rFonts w:ascii="Times New Roman" w:hAnsi="Times New Roman" w:eastAsia="宋体" w:cs="Times New Roman"/>
      <w:sz w:val="16"/>
      <w:szCs w:val="16"/>
    </w:rPr>
  </w:style>
  <w:style w:type="character" w:customStyle="1" w:styleId="54">
    <w:name w:val="正文文本缩进 Char"/>
    <w:basedOn w:val="34"/>
    <w:link w:val="18"/>
    <w:autoRedefine/>
    <w:qFormat/>
    <w:uiPriority w:val="0"/>
    <w:rPr>
      <w:rFonts w:ascii="仿宋_GB2312" w:hAnsi="Times New Roman" w:eastAsia="仿宋_GB2312" w:cs="Times New Roman"/>
      <w:kern w:val="0"/>
      <w:sz w:val="32"/>
      <w:szCs w:val="20"/>
    </w:rPr>
  </w:style>
  <w:style w:type="character" w:customStyle="1" w:styleId="55">
    <w:name w:val="纯文本 字符"/>
    <w:basedOn w:val="34"/>
    <w:autoRedefine/>
    <w:qFormat/>
    <w:uiPriority w:val="0"/>
    <w:rPr>
      <w:rFonts w:hAnsi="Courier New" w:cs="Courier New" w:asciiTheme="minorEastAsia"/>
      <w:szCs w:val="24"/>
    </w:rPr>
  </w:style>
  <w:style w:type="character" w:customStyle="1" w:styleId="56">
    <w:name w:val="纯文本 Char1"/>
    <w:link w:val="20"/>
    <w:autoRedefine/>
    <w:qFormat/>
    <w:uiPriority w:val="0"/>
    <w:rPr>
      <w:rFonts w:ascii="宋体" w:hAnsi="Courier New" w:eastAsia="宋体" w:cs="Times New Roman"/>
      <w:kern w:val="0"/>
      <w:sz w:val="20"/>
      <w:szCs w:val="21"/>
    </w:rPr>
  </w:style>
  <w:style w:type="character" w:customStyle="1" w:styleId="57">
    <w:name w:val="日期 Char"/>
    <w:basedOn w:val="34"/>
    <w:link w:val="21"/>
    <w:autoRedefine/>
    <w:qFormat/>
    <w:uiPriority w:val="99"/>
    <w:rPr>
      <w:rFonts w:ascii="Times New Roman" w:hAnsi="Times New Roman" w:eastAsia="宋体" w:cs="Times New Roman"/>
      <w:szCs w:val="24"/>
    </w:rPr>
  </w:style>
  <w:style w:type="character" w:customStyle="1" w:styleId="58">
    <w:name w:val="批注框文本 Char"/>
    <w:basedOn w:val="34"/>
    <w:link w:val="22"/>
    <w:autoRedefine/>
    <w:semiHidden/>
    <w:qFormat/>
    <w:uiPriority w:val="0"/>
    <w:rPr>
      <w:rFonts w:ascii="Times New Roman" w:hAnsi="Times New Roman" w:eastAsia="宋体" w:cs="Times New Roman"/>
      <w:sz w:val="18"/>
      <w:szCs w:val="18"/>
    </w:rPr>
  </w:style>
  <w:style w:type="character" w:customStyle="1" w:styleId="59">
    <w:name w:val="批注主题 Char"/>
    <w:basedOn w:val="51"/>
    <w:link w:val="31"/>
    <w:autoRedefine/>
    <w:qFormat/>
    <w:uiPriority w:val="99"/>
    <w:rPr>
      <w:rFonts w:ascii="Times New Roman" w:hAnsi="Times New Roman" w:eastAsia="宋体" w:cs="Times New Roman"/>
      <w:b/>
      <w:bCs/>
      <w:szCs w:val="24"/>
    </w:rPr>
  </w:style>
  <w:style w:type="character" w:customStyle="1" w:styleId="60">
    <w:name w:val="正文首行缩进 2 Char"/>
    <w:basedOn w:val="54"/>
    <w:link w:val="3"/>
    <w:autoRedefine/>
    <w:qFormat/>
    <w:uiPriority w:val="99"/>
    <w:rPr>
      <w:rFonts w:ascii="宋体" w:hAnsi="Courier New" w:eastAsia="仿宋_GB2312" w:cs="Times New Roman"/>
      <w:spacing w:val="-4"/>
      <w:kern w:val="0"/>
      <w:sz w:val="18"/>
      <w:szCs w:val="20"/>
    </w:rPr>
  </w:style>
  <w:style w:type="character" w:customStyle="1" w:styleId="61">
    <w:name w:val="纯文本 字符1"/>
    <w:autoRedefine/>
    <w:qFormat/>
    <w:uiPriority w:val="99"/>
    <w:rPr>
      <w:rFonts w:ascii="宋体" w:hAnsi="Courier New"/>
    </w:rPr>
  </w:style>
  <w:style w:type="character" w:customStyle="1" w:styleId="62">
    <w:name w:val="正文文本 Char"/>
    <w:autoRedefine/>
    <w:qFormat/>
    <w:uiPriority w:val="0"/>
    <w:rPr>
      <w:rFonts w:ascii="Times New Roman" w:hAnsi="Times New Roman"/>
      <w:kern w:val="2"/>
      <w:sz w:val="21"/>
      <w:szCs w:val="24"/>
    </w:rPr>
  </w:style>
  <w:style w:type="character" w:customStyle="1" w:styleId="63">
    <w:name w:val="纯文本 字符2"/>
    <w:autoRedefine/>
    <w:qFormat/>
    <w:uiPriority w:val="0"/>
    <w:rPr>
      <w:rFonts w:ascii="宋体" w:hAnsi="Courier New" w:eastAsia="宋体" w:cs="Courier New"/>
      <w:szCs w:val="21"/>
    </w:rPr>
  </w:style>
  <w:style w:type="character" w:customStyle="1" w:styleId="64">
    <w:name w:val="apple-style-span"/>
    <w:autoRedefine/>
    <w:qFormat/>
    <w:uiPriority w:val="0"/>
  </w:style>
  <w:style w:type="character" w:customStyle="1" w:styleId="65">
    <w:name w:val="批注文字 Char"/>
    <w:autoRedefine/>
    <w:qFormat/>
    <w:uiPriority w:val="0"/>
    <w:rPr>
      <w:rFonts w:ascii="Times New Roman" w:hAnsi="Times New Roman"/>
      <w:kern w:val="2"/>
      <w:sz w:val="21"/>
      <w:szCs w:val="24"/>
    </w:rPr>
  </w:style>
  <w:style w:type="character" w:customStyle="1" w:styleId="66">
    <w:name w:val="正文文本 (26) + 间距 0 pt"/>
    <w:autoRedefine/>
    <w:qFormat/>
    <w:uiPriority w:val="0"/>
    <w:rPr>
      <w:rFonts w:ascii="宋体" w:hAnsi="宋体" w:eastAsia="宋体" w:cs="宋体"/>
      <w:color w:val="000000"/>
      <w:spacing w:val="0"/>
      <w:w w:val="100"/>
      <w:position w:val="0"/>
      <w:sz w:val="22"/>
      <w:szCs w:val="22"/>
      <w:u w:val="none"/>
      <w:lang w:val="zh-CN" w:eastAsia="zh-CN" w:bidi="zh-CN"/>
    </w:rPr>
  </w:style>
  <w:style w:type="character" w:customStyle="1" w:styleId="67">
    <w:name w:val="textcontents"/>
    <w:autoRedefine/>
    <w:qFormat/>
    <w:uiPriority w:val="0"/>
  </w:style>
  <w:style w:type="character" w:customStyle="1" w:styleId="68">
    <w:name w:val="标题 1 字符1"/>
    <w:autoRedefine/>
    <w:qFormat/>
    <w:uiPriority w:val="0"/>
    <w:rPr>
      <w:b/>
      <w:bCs/>
      <w:kern w:val="44"/>
      <w:sz w:val="44"/>
      <w:szCs w:val="44"/>
    </w:rPr>
  </w:style>
  <w:style w:type="character" w:customStyle="1" w:styleId="69">
    <w:name w:val="批注文字 Char2"/>
    <w:autoRedefine/>
    <w:qFormat/>
    <w:uiPriority w:val="0"/>
    <w:rPr>
      <w:rFonts w:ascii="Times New Roman" w:hAnsi="Times New Roman"/>
      <w:kern w:val="2"/>
      <w:sz w:val="21"/>
      <w:szCs w:val="24"/>
    </w:rPr>
  </w:style>
  <w:style w:type="character" w:customStyle="1" w:styleId="70">
    <w:name w:val="标题 2 Char"/>
    <w:autoRedefine/>
    <w:qFormat/>
    <w:uiPriority w:val="0"/>
    <w:rPr>
      <w:rFonts w:ascii="Cambria" w:hAnsi="Cambria" w:eastAsia="宋体" w:cs="Times New Roman"/>
      <w:b/>
      <w:bCs/>
      <w:kern w:val="2"/>
      <w:sz w:val="32"/>
      <w:szCs w:val="32"/>
    </w:rPr>
  </w:style>
  <w:style w:type="character" w:customStyle="1" w:styleId="71">
    <w:name w:val="纯文本 Char"/>
    <w:autoRedefine/>
    <w:qFormat/>
    <w:uiPriority w:val="0"/>
    <w:rPr>
      <w:rFonts w:ascii="宋体" w:hAnsi="Courier New" w:eastAsia="宋体" w:cs="Courier New"/>
      <w:szCs w:val="21"/>
    </w:rPr>
  </w:style>
  <w:style w:type="character" w:customStyle="1" w:styleId="72">
    <w:name w:val="标题 8 Char"/>
    <w:autoRedefine/>
    <w:qFormat/>
    <w:uiPriority w:val="0"/>
    <w:rPr>
      <w:rFonts w:ascii="Arial" w:hAnsi="Arial" w:eastAsia="黑体"/>
      <w:kern w:val="2"/>
      <w:sz w:val="24"/>
      <w:szCs w:val="24"/>
    </w:rPr>
  </w:style>
  <w:style w:type="character" w:customStyle="1" w:styleId="73">
    <w:name w:val="font51"/>
    <w:autoRedefine/>
    <w:qFormat/>
    <w:uiPriority w:val="0"/>
    <w:rPr>
      <w:rFonts w:hint="default" w:ascii="Times New Roman" w:hAnsi="Times New Roman" w:cs="Times New Roman"/>
      <w:b/>
      <w:color w:val="000000"/>
      <w:sz w:val="18"/>
      <w:szCs w:val="18"/>
      <w:u w:val="none"/>
    </w:rPr>
  </w:style>
  <w:style w:type="character" w:customStyle="1" w:styleId="74">
    <w:name w:val="批注文字 字符1"/>
    <w:autoRedefine/>
    <w:qFormat/>
    <w:uiPriority w:val="0"/>
    <w:rPr>
      <w:rFonts w:ascii="Times New Roman" w:hAnsi="Times New Roman"/>
      <w:kern w:val="2"/>
      <w:sz w:val="21"/>
      <w:szCs w:val="24"/>
    </w:rPr>
  </w:style>
  <w:style w:type="paragraph" w:customStyle="1" w:styleId="75">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styleId="76">
    <w:name w:val="List Paragraph"/>
    <w:basedOn w:val="1"/>
    <w:autoRedefine/>
    <w:qFormat/>
    <w:uiPriority w:val="34"/>
    <w:pPr>
      <w:ind w:firstLine="420" w:firstLineChars="200"/>
    </w:pPr>
  </w:style>
  <w:style w:type="paragraph" w:customStyle="1" w:styleId="77">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78">
    <w:name w:val="Title1"/>
    <w:basedOn w:val="1"/>
    <w:next w:val="1"/>
    <w:autoRedefine/>
    <w:qFormat/>
    <w:uiPriority w:val="0"/>
    <w:pPr>
      <w:jc w:val="center"/>
      <w:outlineLvl w:val="0"/>
    </w:pPr>
    <w:rPr>
      <w:rFonts w:ascii="Calibri Light" w:hAnsi="Calibri Light" w:eastAsia="Arial Unicode MS"/>
      <w:b/>
    </w:rPr>
  </w:style>
  <w:style w:type="paragraph" w:customStyle="1" w:styleId="79">
    <w:name w:val="默认段落字体 Para Char Char Char Char Char Char Char Char Char1 Char Char Char Char"/>
    <w:basedOn w:val="1"/>
    <w:autoRedefine/>
    <w:qFormat/>
    <w:uiPriority w:val="0"/>
    <w:rPr>
      <w:rFonts w:ascii="Tahoma" w:hAnsi="Tahoma"/>
      <w:sz w:val="24"/>
      <w:szCs w:val="20"/>
    </w:rPr>
  </w:style>
  <w:style w:type="paragraph" w:customStyle="1" w:styleId="80">
    <w:name w:val="样式 0正文 + 首行缩进:  2 字符1"/>
    <w:basedOn w:val="1"/>
    <w:autoRedefine/>
    <w:qFormat/>
    <w:uiPriority w:val="99"/>
    <w:pPr>
      <w:spacing w:line="360" w:lineRule="auto"/>
      <w:ind w:firstLine="200" w:firstLineChars="200"/>
    </w:pPr>
    <w:rPr>
      <w:szCs w:val="20"/>
    </w:rPr>
  </w:style>
  <w:style w:type="paragraph" w:customStyle="1" w:styleId="81">
    <w:name w:val="无间隔1"/>
    <w:autoRedefine/>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82">
    <w:name w:val="Table Paragraph"/>
    <w:basedOn w:val="1"/>
    <w:autoRedefine/>
    <w:qFormat/>
    <w:uiPriority w:val="1"/>
    <w:pPr>
      <w:jc w:val="left"/>
    </w:pPr>
    <w:rPr>
      <w:rFonts w:ascii="Calibri" w:hAnsi="Calibri"/>
      <w:kern w:val="0"/>
      <w:sz w:val="22"/>
      <w:szCs w:val="22"/>
      <w:lang w:eastAsia="en-US"/>
    </w:rPr>
  </w:style>
  <w:style w:type="paragraph" w:customStyle="1" w:styleId="83">
    <w:name w:val="正文-公11"/>
    <w:basedOn w:val="1"/>
    <w:autoRedefine/>
    <w:qFormat/>
    <w:uiPriority w:val="0"/>
    <w:pPr>
      <w:ind w:firstLine="200" w:firstLineChars="200"/>
      <w:jc w:val="left"/>
    </w:pPr>
    <w:rPr>
      <w:rFonts w:eastAsia="仿宋_GB2312"/>
    </w:rPr>
  </w:style>
  <w:style w:type="paragraph" w:customStyle="1" w:styleId="84">
    <w:name w:val="my正文"/>
    <w:basedOn w:val="1"/>
    <w:link w:val="85"/>
    <w:autoRedefine/>
    <w:qFormat/>
    <w:uiPriority w:val="0"/>
    <w:pPr>
      <w:spacing w:line="360" w:lineRule="auto"/>
      <w:ind w:firstLine="480" w:firstLineChars="200"/>
    </w:pPr>
    <w:rPr>
      <w:sz w:val="24"/>
      <w:lang w:val="zh-CN"/>
    </w:rPr>
  </w:style>
  <w:style w:type="character" w:customStyle="1" w:styleId="85">
    <w:name w:val="my正文 Char"/>
    <w:link w:val="84"/>
    <w:autoRedefine/>
    <w:qFormat/>
    <w:uiPriority w:val="0"/>
    <w:rPr>
      <w:rFonts w:ascii="Times New Roman" w:hAnsi="Times New Roman" w:eastAsia="宋体" w:cs="Times New Roman"/>
      <w:sz w:val="24"/>
      <w:szCs w:val="24"/>
      <w:lang w:val="zh-CN"/>
    </w:rPr>
  </w:style>
  <w:style w:type="character" w:customStyle="1" w:styleId="86">
    <w:name w:val="纯文本 Char2"/>
    <w:autoRedefine/>
    <w:qFormat/>
    <w:uiPriority w:val="0"/>
    <w:rPr>
      <w:rFonts w:ascii="宋体" w:hAnsi="Courier New" w:eastAsia="宋体" w:cs="Courier New"/>
      <w:szCs w:val="21"/>
    </w:rPr>
  </w:style>
  <w:style w:type="character" w:customStyle="1" w:styleId="87">
    <w:name w:val="脚注文本 Char"/>
    <w:basedOn w:val="34"/>
    <w:link w:val="26"/>
    <w:autoRedefine/>
    <w:qFormat/>
    <w:uiPriority w:val="99"/>
    <w:rPr>
      <w:rFonts w:ascii="Times New Roman" w:hAnsi="Times New Roman" w:eastAsia="宋体" w:cs="Times New Roman"/>
      <w:sz w:val="18"/>
      <w:szCs w:val="18"/>
    </w:rPr>
  </w:style>
  <w:style w:type="paragraph" w:customStyle="1" w:styleId="88">
    <w:name w:val="p16"/>
    <w:basedOn w:val="1"/>
    <w:autoRedefine/>
    <w:qFormat/>
    <w:uiPriority w:val="99"/>
    <w:pPr>
      <w:widowControl/>
    </w:pPr>
    <w:rPr>
      <w:rFonts w:ascii="宋体" w:hAnsi="宋体" w:cs="宋体"/>
      <w:kern w:val="0"/>
      <w:szCs w:val="21"/>
    </w:rPr>
  </w:style>
  <w:style w:type="character" w:customStyle="1" w:styleId="89">
    <w:name w:val="bookmark-item uuid-1595987425520 code-23021 editdisable multi-line-text-input-box-cls readonly"/>
    <w:autoRedefine/>
    <w:qFormat/>
    <w:uiPriority w:val="0"/>
    <w:rPr>
      <w:rFonts w:ascii="Times New Roman" w:hAnsi="Times New Roman" w:eastAsia="宋体" w:cs="Times New Roman"/>
    </w:rPr>
  </w:style>
  <w:style w:type="character" w:customStyle="1" w:styleId="90">
    <w:name w:val="bookmark-item uuid-1595988095908 code-25009 addword numeric-input-box-cls"/>
    <w:autoRedefine/>
    <w:qFormat/>
    <w:uiPriority w:val="0"/>
    <w:rPr>
      <w:rFonts w:ascii="Times New Roman" w:hAnsi="Times New Roman" w:eastAsia="宋体" w:cs="Times New Roman"/>
    </w:rPr>
  </w:style>
  <w:style w:type="character" w:customStyle="1" w:styleId="91">
    <w:name w:val="bookmark-item uuid-1595988200124 code-25012 editdisable single-line-text-input-box-cls readonly"/>
    <w:autoRedefine/>
    <w:qFormat/>
    <w:uiPriority w:val="0"/>
    <w:rPr>
      <w:rFonts w:ascii="Times New Roman" w:hAnsi="Times New Roman" w:eastAsia="宋体" w:cs="Times New Roman"/>
    </w:rPr>
  </w:style>
  <w:style w:type="character" w:customStyle="1" w:styleId="92">
    <w:name w:val="bookmark-item uuid-1589194982864 code-31006 addword multi-line-text-input-box-cls"/>
    <w:autoRedefine/>
    <w:qFormat/>
    <w:uiPriority w:val="0"/>
    <w:rPr>
      <w:rFonts w:ascii="Times New Roman" w:hAnsi="Times New Roman" w:eastAsia="宋体" w:cs="Times New Roman"/>
    </w:rPr>
  </w:style>
  <w:style w:type="character" w:customStyle="1" w:styleId="93">
    <w:name w:val="bookmark-item uuid-1596004663203 code-00014 editdisable interval-text-box-cls readonly"/>
    <w:autoRedefine/>
    <w:qFormat/>
    <w:uiPriority w:val="0"/>
    <w:rPr>
      <w:rFonts w:ascii="Times New Roman" w:hAnsi="Times New Roman" w:eastAsia="宋体" w:cs="Times New Roman"/>
    </w:rPr>
  </w:style>
  <w:style w:type="character" w:customStyle="1" w:styleId="94">
    <w:name w:val="bookmark-item uuid-1596004721081 code-00009 addword interval-text-box-cls"/>
    <w:autoRedefine/>
    <w:qFormat/>
    <w:uiPriority w:val="0"/>
    <w:rPr>
      <w:rFonts w:ascii="Times New Roman" w:hAnsi="Times New Roman" w:eastAsia="宋体" w:cs="Times New Roman"/>
    </w:rPr>
  </w:style>
  <w:style w:type="character" w:customStyle="1" w:styleId="95">
    <w:name w:val="bookmark-item uuid-1596004745033 code-00010 editdisable single-line-text-input-box-cls readonly"/>
    <w:autoRedefine/>
    <w:qFormat/>
    <w:uiPriority w:val="0"/>
    <w:rPr>
      <w:rFonts w:ascii="Times New Roman" w:hAnsi="Times New Roman" w:eastAsia="宋体" w:cs="Times New Roman"/>
    </w:rPr>
  </w:style>
  <w:style w:type="paragraph" w:customStyle="1" w:styleId="96">
    <w:name w:val="正文1"/>
    <w:basedOn w:val="1"/>
    <w:autoRedefine/>
    <w:qFormat/>
    <w:uiPriority w:val="0"/>
    <w:pPr>
      <w:spacing w:line="360" w:lineRule="auto"/>
      <w:ind w:firstLine="200" w:firstLineChars="200"/>
      <w:jc w:val="left"/>
    </w:pPr>
    <w:rPr>
      <w:rFonts w:ascii="Times New Roman)" w:hAnsi="Times New Roman)" w:eastAsia="宋体正文"/>
      <w:color w:val="000000"/>
      <w:kern w:val="0"/>
      <w:sz w:val="24"/>
      <w:lang w:eastAsia="en-US" w:bidi="en-US"/>
    </w:rPr>
  </w:style>
  <w:style w:type="paragraph" w:customStyle="1" w:styleId="97">
    <w:name w:val="正文2"/>
    <w:basedOn w:val="1"/>
    <w:autoRedefine/>
    <w:qFormat/>
    <w:uiPriority w:val="0"/>
    <w:pPr>
      <w:adjustRightInd w:val="0"/>
      <w:spacing w:before="156" w:line="360" w:lineRule="auto"/>
      <w:ind w:firstLine="510" w:firstLineChars="200"/>
    </w:pPr>
    <w:rPr>
      <w:sz w:val="24"/>
      <w:szCs w:val="20"/>
    </w:rPr>
  </w:style>
  <w:style w:type="character" w:customStyle="1" w:styleId="98">
    <w:name w:val="font21"/>
    <w:basedOn w:val="34"/>
    <w:autoRedefine/>
    <w:qFormat/>
    <w:uiPriority w:val="0"/>
    <w:rPr>
      <w:rFonts w:ascii="Wingdings 2" w:hAnsi="Wingdings 2" w:eastAsia="Wingdings 2" w:cs="Wingdings 2"/>
      <w:color w:val="000000"/>
      <w:sz w:val="22"/>
      <w:szCs w:val="22"/>
      <w:u w:val="none"/>
    </w:rPr>
  </w:style>
  <w:style w:type="character" w:customStyle="1" w:styleId="99">
    <w:name w:val="font11"/>
    <w:basedOn w:val="34"/>
    <w:autoRedefine/>
    <w:qFormat/>
    <w:uiPriority w:val="0"/>
    <w:rPr>
      <w:rFonts w:hint="eastAsia" w:ascii="宋体" w:hAnsi="宋体" w:eastAsia="宋体" w:cs="宋体"/>
      <w:color w:val="000000"/>
      <w:sz w:val="22"/>
      <w:szCs w:val="22"/>
      <w:u w:val="none"/>
    </w:rPr>
  </w:style>
  <w:style w:type="paragraph" w:customStyle="1" w:styleId="100">
    <w:name w:val="p15"/>
    <w:basedOn w:val="1"/>
    <w:autoRedefine/>
    <w:qFormat/>
    <w:uiPriority w:val="0"/>
    <w:pPr>
      <w:widowControl/>
    </w:pPr>
    <w:rPr>
      <w:rFonts w:ascii="宋体" w:hAnsi="宋体" w:cs="宋体"/>
      <w:kern w:val="0"/>
    </w:rPr>
  </w:style>
  <w:style w:type="paragraph" w:customStyle="1" w:styleId="101">
    <w:name w:val="正文-2字符首行缩进"/>
    <w:basedOn w:val="1"/>
    <w:autoRedefine/>
    <w:qFormat/>
    <w:uiPriority w:val="0"/>
    <w:pPr>
      <w:widowControl/>
      <w:spacing w:line="360" w:lineRule="auto"/>
      <w:ind w:firstLine="200" w:firstLineChars="200"/>
    </w:pPr>
    <w:rPr>
      <w:rFonts w:ascii="仿宋_GB2312" w:hAnsi="Calibri" w:eastAsia="仿宋_GB2312"/>
      <w:kern w:val="0"/>
      <w:sz w:val="28"/>
      <w:szCs w:val="22"/>
    </w:rPr>
  </w:style>
  <w:style w:type="paragraph" w:customStyle="1" w:styleId="102">
    <w:name w:val="列出段落1"/>
    <w:basedOn w:val="1"/>
    <w:autoRedefine/>
    <w:qFormat/>
    <w:uiPriority w:val="99"/>
    <w:pPr>
      <w:ind w:firstLine="420" w:firstLineChars="200"/>
    </w:pPr>
    <w:rPr>
      <w:rFonts w:ascii="等线" w:hAnsi="等线" w:eastAsia="等线"/>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02CD6C-0E05-474F-8358-FFBE3FCC39DB}">
  <ds:schemaRefs/>
</ds:datastoreItem>
</file>

<file path=docProps/app.xml><?xml version="1.0" encoding="utf-8"?>
<Properties xmlns="http://schemas.openxmlformats.org/officeDocument/2006/extended-properties" xmlns:vt="http://schemas.openxmlformats.org/officeDocument/2006/docPropsVTypes">
  <Template>Normal.dotm</Template>
  <Pages>88</Pages>
  <Words>58776</Words>
  <Characters>62552</Characters>
  <Lines>479</Lines>
  <Paragraphs>134</Paragraphs>
  <TotalTime>132</TotalTime>
  <ScaleCrop>false</ScaleCrop>
  <LinksUpToDate>false</LinksUpToDate>
  <CharactersWithSpaces>63901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2024-06-12T02:19:00Z</dcterms:created>
  <dc:creator>TSE James</dc:creator>
  <cp:lastModifiedBy>H</cp:lastModifiedBy>
  <cp:lastPrinted>2024-07-23T07:04:22Z</cp:lastPrinted>
  <dcterms:modified xsi:type="dcterms:W3CDTF">2024-07-23T07:41:16Z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C1385A27F0F8468BBB60D9DED4621E9C_13</vt:lpwstr>
  </property>
</Properties>
</file>